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宋体"/>
          <w:b/>
          <w:i w:val="0"/>
          <w:sz w:val="40"/>
        </w:rPr>
        <w:t>实验一：Agent 环境配置与 Skill 开发</w:t>
      </w:r>
    </w:p>
    <w:p>
      <w:pPr>
        <w:spacing w:after="240"/>
        <w:jc w:val="center"/>
      </w:pPr>
      <w:r>
        <w:rPr>
          <w:rFonts w:ascii="Times New Roman" w:hAnsi="Times New Roman" w:eastAsia="宋体"/>
          <w:b/>
          <w:i w:val="0"/>
          <w:sz w:val="28"/>
        </w:rPr>
        <w:t>—— 实验报告 ——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姓名：张力元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学号：2024187007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专业：智能医学工程（2024 级）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日期：2026 年 10 月</w:t>
      </w:r>
    </w:p>
    <w:p>
      <w:pPr>
        <w:spacing w:after="80"/>
      </w:pP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摘要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本实验完成了 Agent 客户端与 DeepSeek 大模型的配置，验证了 Agent 的本地文件读写与环境信息获取能力，并在此基础上开发了两个可复用 Skill。第一个 Skill（deg-analysis）针对 TCGA-KIRC 肾透明细胞癌的 RNA-seq 原始计数数据，实现了 DESeq2 风格的差异表达分析：采用 median-of-ratios 归一化、负二项模型离散度估计与经验贝叶斯收缩、Wald 检验及 Benjamini–Hochberg 多重检验校正，共鉴定出 5485 个显著上调基因与 4313 个显著下调基因（|log2FoldChange| ≥ 1 且 padj &lt; 0.05），结果与肾癌已知标志基因（CA9、VEGFA、EGLN3 上调，UMOD、AQP2 下调）一致。第二个 Skill（medical-dialog-qa）将医疗对话整理为结构化问答记录，且严格不增补原始资料之外的信息。此外，本实验还完成了现有 Skill 的安装与复用，验证了 Skill 化工作流的完整性与可核查性。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一、实验目的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（1）配置 Agent 客户端与国内大模型，建立稳定的 API 连接。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（2）通过读取文件、调用脚本、生成并回读结果，理解 Agent 的工具调用方式与工作区信息获取机制。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（3）将任务编写为 Skill，采用分层参考文档（references/）与脚本模块（scripts/）完成可核查的工作流程。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（4）安装并改造一个现有 Skill，记录来源、测试与修改过程。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二、实验环境与准备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实验所需的软件环境与用途如下表所示。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工具 / 环境</w:t>
            </w:r>
          </w:p>
        </w:tc>
        <w:tc>
          <w:tcPr>
            <w:tcW w:type="dxa" w:w="374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版本 / 说明</w:t>
            </w:r>
          </w:p>
        </w:tc>
        <w:tc>
          <w:tcPr>
            <w:tcW w:type="dxa" w:w="3168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用途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VS Code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最新稳定版</w:t>
            </w:r>
          </w:p>
        </w:tc>
        <w:tc>
          <w:tcPr>
            <w:tcW w:type="dxa" w:w="31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编辑器与 Agent 运行宿主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Claude Code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官方扩展 + CLI</w:t>
            </w:r>
          </w:p>
        </w:tc>
        <w:tc>
          <w:tcPr>
            <w:tcW w:type="dxa" w:w="31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Agent 客户端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CC Switch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官方发行版</w:t>
            </w:r>
          </w:p>
        </w:tc>
        <w:tc>
          <w:tcPr>
            <w:tcW w:type="dxa" w:w="31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服务商 / API 配置切换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DeepSeek API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deepseek-chat</w:t>
            </w:r>
          </w:p>
        </w:tc>
        <w:tc>
          <w:tcPr>
            <w:tcW w:type="dxa" w:w="31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底层大模型服务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Python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3.10+（numpy/pandas/scipy/matplotlib）</w:t>
            </w:r>
          </w:p>
        </w:tc>
        <w:tc>
          <w:tcPr>
            <w:tcW w:type="dxa" w:w="31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差异表达分析脚本运行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Git / GitHub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git + 账号</w:t>
            </w:r>
          </w:p>
        </w:tc>
        <w:tc>
          <w:tcPr>
            <w:tcW w:type="dxa" w:w="31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版本管理与成果发布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三、配置 Agent 与 DeepSeek API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本实验采用直接连接 DeepSeek 的方式。首先在 VS Code 扩展市场安装 Claude Code，并从 CC Switch 官方项目下载安装 CC Switch；随后在 CC Switch 中选择 Claude Code，新增 “DeepSeek” 服务商，填入教师发放的密钥与已验证的模型名 deepseek-chat，启用该配置并重启 VS Code 与扩展会话。为核对连接的服务商，向 Agent 发送一个简单请求，并让其在工作区创建 connection_ok.txt 后回读，确认文件实际生成、内容正确。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配置记录如下：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配置项</w:t>
            </w:r>
          </w:p>
        </w:tc>
        <w:tc>
          <w:tcPr>
            <w:tcW w:type="dxa" w:w="6336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取值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服务商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DeepSeek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模型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deepseek-flash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Base URL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https://api.deepseek.com/anthropic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API Key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sk-****（密钥已隐去）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连接方式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直连 DeepSeek（不经中转）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验证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发送请求 → 创建 connection_ok.txt → 回读一致</w:t>
            </w:r>
          </w:p>
        </w:tc>
      </w:tr>
    </w:tbl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说明：所有成功响应截图中的密钥均已隐去，仅保留响应内容，以核对实际连接的服务商，避免仅凭模型自述判断。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cswitch_edit_dialog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2  DeepSeek 供应商配置：请求地址与模型映射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四、体验 Agent 的文件操作与环境信息获取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（1）创建文件：在 VS Code 中打开实验文件夹，向 Agent 发送提示词“请在当前文件夹创建 实验记录.txt，内容自拟”，Agent 调用文件写入工具生成了该文件，打开后确认内容为“这是我的第一次 Agent 测试”。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（2）修改后回读：手动将文件内容修改并保存，再次要求 Agent 读取，Agent 正确读到了修改后的文本，说明其每次都从工作区重新读取文件，而非沿用缓存。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（3）与网页 Chat 对比：将同样的提示词发送给网页 Chat，其只能“回复一段文字”，无法在本地指定文件夹中创建文件。两者的本质区别在于：网页 Chat 仅有文本生成能力，而 Agent 拥有工具调用（tool call）能力，能够操作本地文件系统、执行脚本并回读结果。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2286000" cy="48974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nnection_ok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897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3  connection_ok.txt 创建并回读成功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五、编写自己的 Skill</w:t>
      </w:r>
    </w:p>
    <w:p>
      <w:pPr>
        <w:spacing w:before="160" w:after="120"/>
      </w:pPr>
      <w:r>
        <w:rPr>
          <w:rFonts w:ascii="Times New Roman" w:hAnsi="Times New Roman" w:eastAsia="宋体"/>
          <w:b/>
          <w:i w:val="0"/>
          <w:color w:val="1F3B73"/>
          <w:sz w:val="28"/>
        </w:rPr>
        <w:t>5.1 Skill 一：差异表达分析（deg-analysis）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 Skill 针对 RNA-seq 原始 read counts 数据完成两组样本之间的基因表达比较。SKILL.md 头部填写 name 与 description，正文说明适用任务、输入输出、参考资料读取条件、脚本调用方法与结果核验要求；references/ 分层存放数据格式、分析方法与筛选标准；scripts/ 中的 run_analysis.py 负责读取数据、检查样本与分组对应，并采用合适方法完成分析。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目录结构：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>deg-analysis/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SKILL.md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references/data_format.md（数据格式与检查要点）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references/method.md（DESeq2 风格分析方法）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references/screening_criteria.md（筛选标准）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scripts/run_analysis.py（分析脚本）</w:t>
      </w:r>
    </w:p>
    <w:p>
      <w:pPr>
        <w:spacing w:after="40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分析方法与筛选标准：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数据为 TCGA-KIRC（肾透明细胞癌）10 例肿瘤与 10 例正常组织的原始计数矩阵，共 60660 个基因。分析流程为：预过滤（总计数 ≥ 10，保留 36307 个基因）→ median-of-ratios 归一化 → 负二项模型离散度估计（基因水平极大似然 + 均值-离散度趋势拟合 + MAP 收缩）→ Wald 检验 → Benjamini–Hochberg 校正。比较方向为 Tumor vs Normal，log2FoldChange &gt; 0 表示在肿瘤中上调。筛选标准为 |log2FoldChange| ≥ 1 且 padj &lt; 0.05。</w:t>
      </w:r>
    </w:p>
    <w:p>
      <w:pPr>
        <w:spacing w:after="40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运行结果：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608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指标</w:t>
            </w:r>
          </w:p>
        </w:tc>
        <w:tc>
          <w:tcPr>
            <w:tcW w:type="dxa" w:w="4608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数值</w:t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预过滤后基因数</w:t>
            </w:r>
          </w:p>
        </w:tc>
        <w:tc>
          <w:tcPr>
            <w:tcW w:type="dxa" w:w="4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36307</w:t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显著上调基因数（log2FC ≥ 1）</w:t>
            </w:r>
          </w:p>
        </w:tc>
        <w:tc>
          <w:tcPr>
            <w:tcW w:type="dxa" w:w="4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5485</w:t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显著下调基因数（log2FC ≤ -1）</w:t>
            </w:r>
          </w:p>
        </w:tc>
        <w:tc>
          <w:tcPr>
            <w:tcW w:type="dxa" w:w="4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4313</w:t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显著差异基因总数</w:t>
            </w:r>
          </w:p>
        </w:tc>
        <w:tc>
          <w:tcPr>
            <w:tcW w:type="dxa" w:w="4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9798</w:t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筛选标准</w:t>
            </w:r>
          </w:p>
        </w:tc>
        <w:tc>
          <w:tcPr>
            <w:tcW w:type="dxa" w:w="4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|log2FoldChange| ≥ 1 且 padj &lt; 0.05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42793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cano_pl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27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1  差异表达分析火山图（Tumor vs Normal）</w:t>
      </w:r>
    </w:p>
    <w:p>
      <w:pPr>
        <w:spacing w:after="40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上调 Top10（蛋白编码基因，按 log2FC 排序）：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基因</w:t>
            </w:r>
          </w:p>
        </w:tc>
        <w:tc>
          <w:tcPr>
            <w:tcW w:type="dxa" w:w="374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gene_id</w:t>
            </w:r>
          </w:p>
        </w:tc>
        <w:tc>
          <w:tcPr>
            <w:tcW w:type="dxa" w:w="1728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log2FC</w:t>
            </w:r>
          </w:p>
        </w:tc>
        <w:tc>
          <w:tcPr>
            <w:tcW w:type="dxa" w:w="230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padj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PPDPFL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ENSG00000168333.14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+11.06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5.8e-299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PAEP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ENSG00000122133.17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+10.46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1.8e-08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SLC18A3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ENSG00000187714.7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+10.03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6.7e-10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FABP7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ENSG00000164434.12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+9.61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5.8e-299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ADAM18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ENSG00000168619.16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+9.57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1.7e-12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C10orf99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ENSG00000188373.5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+9.56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2.3e-12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KRT6A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ENSG00000205420.11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+9.29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0.0001689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C5orf46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ENSG00000178776.5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+9.08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9.9e-11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CA9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ENSG00000107159.13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+8.95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5.8e-299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TUBA3D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ENSG00000075886.11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+8.63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5.8e-299</w:t>
            </w:r>
          </w:p>
        </w:tc>
      </w:tr>
    </w:tbl>
    <w:p>
      <w:pPr>
        <w:spacing w:after="40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下调 Top10（蛋白编码基因，按 log2FC 排序）：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基因</w:t>
            </w:r>
          </w:p>
        </w:tc>
        <w:tc>
          <w:tcPr>
            <w:tcW w:type="dxa" w:w="374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gene_id</w:t>
            </w:r>
          </w:p>
        </w:tc>
        <w:tc>
          <w:tcPr>
            <w:tcW w:type="dxa" w:w="1728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log2FC</w:t>
            </w:r>
          </w:p>
        </w:tc>
        <w:tc>
          <w:tcPr>
            <w:tcW w:type="dxa" w:w="230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padj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CLCA1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ENSG00000016490.16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-8.10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0.02993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LY6L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ENSG00000261667.1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-8.07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6.1e-06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KLK1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ENSG00000167748.11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-7.94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5.8e-299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CALCA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ENSG00000110680.13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-7.62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5.8e-299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UNCX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ENSG00000164853.9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-7.59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5.1e-12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VGLL1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ENSG00000102243.13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-7.43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1.8e-12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SLC14A2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ENSG00000132874.15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-7.32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7.5e-13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UGT2A1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ENSG00000173610.12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-7.20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1.9e-07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FRG2B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ENSG00000225899.8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-6.90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3.9e-06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NR0B2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ENSG00000131910.5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-6.84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7.6e-11</w:t>
            </w:r>
          </w:p>
        </w:tc>
      </w:tr>
    </w:tbl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46124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deg_analysi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612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4  /deg-analysis 在 Claude Code 中运行结果</w:t>
      </w:r>
    </w:p>
    <w:p>
      <w:pPr>
        <w:spacing w:before="160" w:after="120"/>
      </w:pPr>
      <w:r>
        <w:rPr>
          <w:rFonts w:ascii="Times New Roman" w:hAnsi="Times New Roman" w:eastAsia="宋体"/>
          <w:b/>
          <w:i w:val="0"/>
          <w:color w:val="1F3B73"/>
          <w:sz w:val="28"/>
        </w:rPr>
        <w:t>5.2 Skill 二：医疗对话整理（medical-dialog-qa）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 Skill 将原始医疗对话文本整理为结构化问答记录。处理要求与规则写入 references/processing_rules.md，scripts/process_dialog.py 完成文本解析与格式转换。其核心红线是：只做格式转换与归类，不补充、不推断、不改写原始内容；若原文存在信息缺失（如医生未回答），如实标注“（未回答）”而非补全。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目录结构：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>medical-dialog-qa/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SKILL.md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references/processing_rules.md（说话人识别、配对与红线规则）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scripts/process_dialog.py（解析脚本）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examples/input_dialog.txt（示例输入）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示例输入为一段高血压就诊对话，脚本解析后生成 9 条问答记录（节选）：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>问题 1｜患者问：医生，我这几天总觉得头晕……｜医生答：头晕持续多久了？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>问题 3｜患者问：高压有时候到 150 多｜医生答：平时会头痛、耳鸣或者心慌吗？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>问题 7｜患者问：那我是不是得了高血压？｜医生答：单次测量还不能下诊断……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46124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dialog_qa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612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5  /medical-dialog-qa 在 Claude Code 中运行结果</w:t>
      </w:r>
    </w:p>
    <w:p>
      <w:pPr>
        <w:spacing w:before="160" w:after="120"/>
      </w:pPr>
      <w:r>
        <w:rPr>
          <w:rFonts w:ascii="Times New Roman" w:hAnsi="Times New Roman" w:eastAsia="宋体"/>
          <w:b/>
          <w:i w:val="0"/>
          <w:color w:val="1F3B73"/>
          <w:sz w:val="28"/>
        </w:rPr>
        <w:t>5.3 普通提示词与调用 Skill 的对比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在差异表达分析任务上，分别用“普通简短提示词”与“调用 Skill”两轮对比：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296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维度</w:t>
            </w:r>
          </w:p>
        </w:tc>
        <w:tc>
          <w:tcPr>
            <w:tcW w:type="dxa" w:w="3456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普通简短提示词</w:t>
            </w:r>
          </w:p>
        </w:tc>
        <w:tc>
          <w:tcPr>
            <w:tcW w:type="dxa" w:w="446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调用 Skill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完整性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易遗漏归一化/多重校正等步骤</w:t>
            </w:r>
          </w:p>
        </w:tc>
        <w:tc>
          <w:tcPr>
            <w:tcW w:type="dxa" w:w="446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 SKILL.md 流程完整执行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来源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无固定数据来源与检查</w:t>
            </w:r>
          </w:p>
        </w:tc>
        <w:tc>
          <w:tcPr>
            <w:tcW w:type="dxa" w:w="446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明确读取 references 与示例数据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数值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可能凭记忆编造数值</w:t>
            </w:r>
          </w:p>
        </w:tc>
        <w:tc>
          <w:tcPr>
            <w:tcW w:type="dxa" w:w="446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由脚本实际计算并回读核验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异常处理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难以预判样本/分组错位</w:t>
            </w:r>
          </w:p>
        </w:tc>
        <w:tc>
          <w:tcPr>
            <w:tcW w:type="dxa" w:w="446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脚本内断言分组并处理零表达基因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六、安装复用现有 Skill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选择随实验提供的 scientific-writing Skill 作为复用的现有 Skill。首先阅读其 SKILL.md、references/ 与 scripts/，确认其 MIT 许可、依赖与适用场景后，将其安装到当前 Agent 支持的 skills 目录（提交包中为 reused-skill/scientific-writing/）。改造点为：保留其 IMRAD 结构、引用规范与图表规范的核心内容，同时将其面向英文期刊的写作要求适配为中文实验报告场景——新增 references/chinese_adaptation.md，明确中文课程报告可用“实验目的/环境/步骤/结果/讨论/结论”结构、允许第一人称叙述、术语首次出现附英文原文，同时保留“不编造数据、结果与讨论分离”的核验红线。原始来源、改动内容与前后输出对比记录于 reused-skill/MODIFICATION_RECORD.md。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本地仓库方面，已使用 GitHub Copilot 自带的 Git 2.56.0 在提交文件夹内完成 git init、建立 7 条提交，并成功推送到 GitHub 仓库（含真实提交哈希，详见 GIT_COMMIT_RECORD.md）。两个课后项目的任务清单见“课后任务清单.md”，分别列出差异表达分析与医疗对话整理两个 Skill 的任务、验收标准与提交物。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GitHub 仓库链接：https://github.com/18sama/2024187007-agent-lab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461241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push_succes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612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6  git push 成功（main -&gt; main）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七、实验结果与讨论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差异表达分析的结果具有明确的生物学合理性。上调基因中，CA9（log2FC = +8.95）、NDUFA4L2（+7.16）、EGLN3（+4.76）与 VEGFA（+2.77）均为肾透明细胞癌缺氧/VHL 通路的经典标志基因，其高表达与 ccRCC 的分子特征一致；下调基因中，UMOD（-6.60）、SLC12A1（-6.38）、AQP2（-5.98）与 FBP1（-3.26）等均为正常肾小管/集合管功能相关基因，其下调反映了肿瘤对正常肾单位结构的破坏。这一结果交叉验证了分析流程的正确性。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方法层面的局限在于：本实现采用标准的非配对两组比较，未纳入 10 对样本的配对信息，如需进一步控制患者间差异可扩展为 ~ patient + group 的配对设计；且未做 log2FoldChange 收缩，报告值为极大似然估计。这些均在 references/method.md 中如实注明。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八、实验结论与体会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本实验完成了从 Agent 配置、文件操作体验到 Skill 开发与复用的完整流程。通过将差异表达分析封装为 Skill，体会到“SKILL.md 导航 + references 分层知识 + scripts 可执行脚本”结构带来的完整性与可核查性：脚本真正读取数据、执行计算并回读结果，而非仅凭模型自述。同时，工具调用能力使 Agent 区别于普通网页 Chat，能够落地完成真实的数据分析任务。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九、附录：提交文件清单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320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文件 / 目录</w:t>
            </w:r>
          </w:p>
        </w:tc>
        <w:tc>
          <w:tcPr>
            <w:tcW w:type="dxa" w:w="4896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skills/deg-analysis/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差异表达分析 Skill（SKILL.md、references、scripts）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skills/medical-dialog-qa/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医疗对话整理 Skill（含示例输入）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reused-skill/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现有 Skill 安装改造（scientific-writing + 改造记录）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outputs/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deg_results.tsv/csv、volcano_plot.png、deg_summary.txt、dialog_qa_output.md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data/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示例数据（TCGA-KIRC 计数/注释/分组）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connection_ok.txt、实验记录.txt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文件操作体验结果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课后任务清单.md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课后两个项目任务清单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API配置测试清单.md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拿到 Key 后的配置与测试分步清单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实验记录.docx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提示词、来源、测试结果、修改记录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同伴复现记录.md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同伴复现记录（待同学填写）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GIT_COMMIT_RECORD.md、.gitignore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本地仓库准备与提交记录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实验报告.docx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本报告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十、附录二：DeepSeek API 配置与测试操作清单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以下步骤在拿到真实 API Key 后按顺序执行；任何截图与记录均需隐去密钥，仅保留 sk-****。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 0 步 · 获取 Key：打开 platform.deepseek.com 注册/登录 → 左侧进入 API Keys → 创建 API Key → 立即复制（只显示一次）。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 1 步 · 配置 CC Switch：打开 CC Switch → 选择 Claude Code → 新增服务商 DeepSeek → Base URL 填 https://api.deepseek.com/anthropic、API Key 填真实密钥、模型名填 deepseek-flash → 启用；若有“扩展跟随切换”选项按说明开启。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 2 步 · 重启确认：完全退出并重新打开 VS Code（必要时 Reload Window），确认 Claude Code 扩展使用的是刚配置的 DeepSeek 服务。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 3 步 · 连通性测试：在实验文件夹向 Agent 发送“请在当前文件夹创建 connection_ok.txt，内容自拟，然后读取并展示内容”，到文件管理器确认文件确实存在且内容正确，再让 Agent 回读核验。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 4 步 · 截图打码：截取 CC Switch 配置页、请求/响应记录、connection_ok.txt 内容，用涂鸦/马赛克遮住 sk- 之后所有字符，只显示 sk-****；并核对服务商与模型名，不能只凭模型自述判断。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 5 步 · 存档：把过程截图放入 outputs/screenshots/（API Key 由 CC Switch 界面以圆点遮罩，无需额外打码；但不要截图 ~/.claude/settings.json）。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十一、附录三：实验过程截图（按时间顺序）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以下截图完整记录了从环境配置、扩展安装到两个 Skill 运行与 GitHub 推送的全过程。其中 API Key 一栏由 CC Switch 界面自身以圆点遮罩，未暴露明文。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25237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cswitch_websit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A1  CC Switch 官网首页（深色面板为宣传截图，不可点击）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8467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ownload_warning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84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A2  浏览器对 CC Switch 安装包的“不常见下载”提醒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8958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cswitch_provider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89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A3  CC Switch 中已添加 DeepSeek 供应商（使用中）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6831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cswitch_edit_dialog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683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A4  DeepSeek 供应商配置：请求地址与模型映射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1338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eload_wind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133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A5  VS Code 命令面板中重载窗口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439277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xtensions_market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392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A6  扩展市场搜索 Claude Code（未安装状态）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439277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xtension_installe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392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A7  Claude Code 扩展已安装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439277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onnection_tes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392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A8  Claude Code 执行中（Manifesting）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2286000" cy="478394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ogin_promp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78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A9  Claude Code 登录提示（配置未生效时的现象）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2286000" cy="489746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nnection_ok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897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A10  connection_ok.txt 创建并回读成功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439277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deg_analysi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392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A11  /deg-analysis 运行结果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439277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dialog_qa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392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A12  /medical-dialog-qa 运行结果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304604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opilot_chat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046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A13  误将命令粘到 Copilot 聊天框（不会执行）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439277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push_succes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392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A14  终端 git push 成功（main -&gt; main）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