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宋体"/>
          <w:b/>
          <w:i w:val="0"/>
          <w:sz w:val="40"/>
        </w:rPr>
        <w:t>实验一：Agent 环境配置与 Skill 开发</w:t>
      </w:r>
    </w:p>
    <w:p>
      <w:pPr>
        <w:spacing w:after="240"/>
        <w:jc w:val="center"/>
      </w:pPr>
      <w:r>
        <w:rPr>
          <w:rFonts w:ascii="Times New Roman" w:hAnsi="Times New Roman" w:eastAsia="宋体"/>
          <w:b/>
          <w:i w:val="0"/>
          <w:sz w:val="28"/>
        </w:rPr>
        <w:t>—— 实验报告 ——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姓名：张力元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学号：2024187007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专业：智能医学工程（2024 级）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日期：2026 年 10 月</w:t>
      </w:r>
    </w:p>
    <w:p>
      <w:pPr>
        <w:spacing w:after="80"/>
      </w:pP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摘要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本实验完成了 Agent 客户端与 DeepSeek 大模型的配置，验证了 Agent 的本地文件读写与环境信息获取能力，并在此基础上开发了两个可复用 Skill。第一个 Skill（deg-analysis）针对 TCGA-KIRC 肾透明细胞癌的 RNA-seq 原始计数数据，实现了 DESeq2 风格的差异表达分析：采用 median-of-ratios 归一化、负二项模型离散度估计与经验贝叶斯收缩、Wald 检验及 Benjamini–Hochberg 多重检验校正，共鉴定出 5485 个显著上调基因与 4313 个显著下调基因（|log2FoldChange| ≥ 1 且 padj &lt; 0.05），结果与肾癌已知标志基因（CA9、VEGFA、EGLN3 上调，UMOD、AQP2 下调）一致。第二个 Skill（medical-dialog-qa）将医疗对话整理为结构化问答记录，且严格不增补原始资料之外的信息。此外，本实验还完成了现有 Skill 的安装与复用，验证了 Skill 化工作流的完整性与可核查性。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一、实验目的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（1）配置 Agent 客户端与国内大模型，建立稳定的 API 连接。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（2）通过读取文件、调用脚本、生成并回读结果，理解 Agent 的工具调用方式与工作区信息获取机制。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（3）将任务编写为 Skill，采用分层参考文档（references/）与脚本模块（scripts/）完成可核查的工作流程。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（4）安装并改造一个现有 Skill，记录来源、测试与修改过程。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二、实验环境与准备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实验所需的软件环境与用途如下表所示。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工具 / 环境</w:t>
            </w:r>
          </w:p>
        </w:tc>
        <w:tc>
          <w:tcPr>
            <w:tcW w:type="dxa" w:w="374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版本 / 说明</w:t>
            </w:r>
          </w:p>
        </w:tc>
        <w:tc>
          <w:tcPr>
            <w:tcW w:type="dxa" w:w="316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用途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VS Code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最新稳定版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编辑器与 Agent 运行宿主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Code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官方扩展 + CLI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Agent 客户端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CC Switch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官方发行版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服务商 / API 配置切换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 API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deepseek-chat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底层大模型服务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Python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3.10+（numpy/pandas/scipy/matplotlib）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差异表达分析脚本运行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 / GitHub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 + 账号</w:t>
            </w:r>
          </w:p>
        </w:tc>
        <w:tc>
          <w:tcPr>
            <w:tcW w:type="dxa" w:w="316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版本管理与成果发布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三、配置 Agent 与 DeepSeek API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本实验采用直接连接 DeepSeek 的方式。首先在 VS Code 扩展市场安装 Claude Code，并从 CC Switch 官方项目下载安装 CC Switch；随后在 CC Switch 中选择 Claude Code，新增 “DeepSeek” 服务商，填入教师发放的密钥与已验证的模型名 deepseek-chat，启用该配置并重启 VS Code 与扩展会话。为核对连接的服务商，向 Agent 发送一个简单请求，并让其在工作区创建 connection_ok.txt 后回读，确认文件实际生成、内容正确。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配置记录如下：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配置项</w:t>
            </w:r>
          </w:p>
        </w:tc>
        <w:tc>
          <w:tcPr>
            <w:tcW w:type="dxa" w:w="633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取值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服务商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模型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deepseek-flash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Base URL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https://api.deepseek.com/anthropic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API Key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sk-****（密钥已隐去）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连接方式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直连 DeepSeek（不经中转）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验证</w:t>
            </w:r>
          </w:p>
        </w:tc>
        <w:tc>
          <w:tcPr>
            <w:tcW w:type="dxa" w:w="63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发送请求 → 创建 connection_ok.txt → 回读一致</w:t>
            </w:r>
          </w:p>
        </w:tc>
      </w:tr>
    </w:tbl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说明：所有成功响应截图中的密钥均已隐去，仅保留响应内容，以核对实际连接的服务商，避免仅凭模型自述判断。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四、体验 Agent 的文件操作与环境信息获取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（1）创建文件：在 VS Code 中打开实验文件夹，向 Agent 发送提示词“请在当前文件夹创建 实验记录.txt，内容自拟”，Agent 调用文件写入工具生成了该文件，打开后确认内容为“这是我的第一次 Agent 测试”。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（2）修改后回读：手动将文件内容修改并保存，再次要求 Agent 读取，Agent 正确读到了修改后的文本，说明其每次都从工作区重新读取文件，而非沿用缓存。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（3）与网页 Chat 对比：将同样的提示词发送给网页 Chat，其只能“回复一段文字”，无法在本地指定文件夹中创建文件。两者的本质区别在于：网页 Chat 仅有文本生成能力，而 Agent 拥有工具调用（tool call）能力，能够操作本地文件系统、执行脚本并回读结果。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五、编写自己的 Skill</w:t>
      </w:r>
    </w:p>
    <w:p>
      <w:pPr>
        <w:spacing w:before="160" w:after="120"/>
      </w:pPr>
      <w:r>
        <w:rPr>
          <w:rFonts w:ascii="Times New Roman" w:hAnsi="Times New Roman" w:eastAsia="宋体"/>
          <w:b/>
          <w:i w:val="0"/>
          <w:color w:val="1F3B73"/>
          <w:sz w:val="28"/>
        </w:rPr>
        <w:t>5.1 Skill 一：差异表达分析（deg-analysis）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 Skill 针对 RNA-seq 原始 read counts 数据完成两组样本之间的基因表达比较。SKILL.md 头部填写 name 与 description，正文说明适用任务、输入输出、参考资料读取条件、脚本调用方法与结果核验要求；references/ 分层存放数据格式、分析方法与筛选标准；scripts/ 中的 run_analysis.py 负责读取数据、检查样本与分组对应，并采用合适方法完成分析。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目录结构：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deg-analysis/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SKILL.md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references/data_format.md（数据格式与检查要点）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references/method.md（DESeq2 风格分析方法）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references/screening_criteria.md（筛选标准）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scripts/run_analysis.py（分析脚本）</w:t>
      </w:r>
    </w:p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分析方法与筛选标准：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数据为 TCGA-KIRC（肾透明细胞癌）10 例肿瘤与 10 例正常组织的原始计数矩阵，共 60660 个基因。分析流程为：预过滤（总计数 ≥ 10，保留 36307 个基因）→ median-of-ratios 归一化 → 负二项模型离散度估计（基因水平极大似然 + 均值-离散度趋势拟合 + MAP 收缩）→ Wald 检验 → Benjamini–Hochberg 校正。比较方向为 Tumor vs Normal，log2FoldChange &gt; 0 表示在肿瘤中上调。筛选标准为 |log2FoldChange| ≥ 1 且 padj &lt; 0.05。</w:t>
      </w:r>
    </w:p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运行结果：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60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460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数值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预过滤后基因数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36307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显著上调基因数（log2FC ≥ 1）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5485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显著下调基因数（log2FC ≤ -1）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4313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显著差异基因总数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9798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筛选标准</w:t>
            </w:r>
          </w:p>
        </w:tc>
        <w:tc>
          <w:tcPr>
            <w:tcW w:type="dxa" w:w="460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|log2FoldChange| ≥ 1 且 padj &lt; 0.05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427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cano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42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1  差异表达分析火山图（Tumor vs Normal）</w:t>
      </w:r>
    </w:p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上调 Top10（蛋白编码基因，按 log2FC 排序）：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基因</w:t>
            </w:r>
          </w:p>
        </w:tc>
        <w:tc>
          <w:tcPr>
            <w:tcW w:type="dxa" w:w="374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gene_id</w:t>
            </w:r>
          </w:p>
        </w:tc>
        <w:tc>
          <w:tcPr>
            <w:tcW w:type="dxa" w:w="172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log2FC</w:t>
            </w:r>
          </w:p>
        </w:tc>
        <w:tc>
          <w:tcPr>
            <w:tcW w:type="dxa" w:w="230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padj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PPDPFL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ENSG00000168333.14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+11.06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PAEP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ENSG00000122133.17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+10.46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1.8e-08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SLC18A3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ENSG00000187714.7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+10.03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6.7e-10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FABP7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ENSG00000164434.12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+9.61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ADAM18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ENSG00000168619.16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+9.57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1.7e-12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C10orf99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ENSG00000188373.5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+9.56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KRT6A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ENSG00000205420.11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+9.29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0.0001689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C5orf46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ENSG00000178776.5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+9.08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9.9e-11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CA9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ENSG00000107159.13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+8.95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TUBA3D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ENSG00000075886.11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+8.63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</w:tbl>
    <w:p>
      <w:pPr>
        <w:spacing w:after="40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下调 Top10（蛋白编码基因，按 log2FC 排序）：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基因</w:t>
            </w:r>
          </w:p>
        </w:tc>
        <w:tc>
          <w:tcPr>
            <w:tcW w:type="dxa" w:w="374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gene_id</w:t>
            </w:r>
          </w:p>
        </w:tc>
        <w:tc>
          <w:tcPr>
            <w:tcW w:type="dxa" w:w="1728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log2FC</w:t>
            </w:r>
          </w:p>
        </w:tc>
        <w:tc>
          <w:tcPr>
            <w:tcW w:type="dxa" w:w="230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padj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CLCA1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ENSG00000016490.16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-8.10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0.02993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LY6L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ENSG00000261667.1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-8.07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6.1e-06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KLK1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ENSG00000167748.11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-7.94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CALCA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ENSG00000110680.13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-7.62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5.8e-299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UNCX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ENSG00000164853.9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-7.59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VGLL1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ENSG00000102243.13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-7.43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1.8e-12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SLC14A2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ENSG00000132874.15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-7.32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7.5e-13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UGT2A1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ENSG00000173610.12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-7.20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1.9e-07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FRG2B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ENSG00000225899.8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-6.90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3.9e-06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NR0B2</w:t>
            </w:r>
          </w:p>
        </w:tc>
        <w:tc>
          <w:tcPr>
            <w:tcW w:type="dxa" w:w="374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ENSG00000131910.5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-6.84</w:t>
            </w:r>
          </w:p>
        </w:tc>
        <w:tc>
          <w:tcPr>
            <w:tcW w:type="dxa" w:w="230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7.6e-11</w:t>
            </w:r>
          </w:p>
        </w:tc>
      </w:tr>
    </w:tbl>
    <w:p>
      <w:pPr>
        <w:spacing w:before="160" w:after="120"/>
      </w:pPr>
      <w:r>
        <w:rPr>
          <w:rFonts w:ascii="Times New Roman" w:hAnsi="Times New Roman" w:eastAsia="宋体"/>
          <w:b/>
          <w:i w:val="0"/>
          <w:color w:val="1F3B73"/>
          <w:sz w:val="28"/>
        </w:rPr>
        <w:t>5.2 Skill 二：医疗对话整理（medical-dialog-qa）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 Skill 将原始医疗对话文本整理为结构化问答记录。处理要求与规则写入 references/processing_rules.md，scripts/process_dialog.py 完成文本解析与格式转换。其核心红线是：只做格式转换与归类，不补充、不推断、不改写原始内容；若原文存在信息缺失（如医生未回答），如实标注“（未回答）”而非补全。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目录结构：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medical-dialog-qa/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SKILL.md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references/processing_rules.md（说话人识别、配对与红线规则）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scripts/process_dialog.py（解析脚本）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 xml:space="preserve">  examples/input_dialog.txt（示例输入）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示例输入为一段高血压就诊对话，脚本解析后生成 9 条问答记录（节选）：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问题 1｜患者问：医生，我这几天总觉得头晕……｜医生答：头晕持续多久了？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问题 3｜患者问：高压有时候到 150 多｜医生答：平时会头痛、耳鸣或者心慌吗？</w:t>
      </w:r>
    </w:p>
    <w:p>
      <w:pPr>
        <w:spacing w:after="40"/>
        <w:ind w:firstLine="480"/>
      </w:pPr>
      <w:r>
        <w:rPr>
          <w:rFonts w:ascii="Times New Roman" w:hAnsi="Times New Roman" w:eastAsia="宋体"/>
          <w:b w:val="0"/>
          <w:i w:val="0"/>
          <w:sz w:val="21"/>
        </w:rPr>
        <w:t>问题 7｜患者问：那我是不是得了高血压？｜医生答：单次测量还不能下诊断……</w:t>
      </w:r>
    </w:p>
    <w:p>
      <w:pPr>
        <w:spacing w:before="160" w:after="120"/>
      </w:pPr>
      <w:r>
        <w:rPr>
          <w:rFonts w:ascii="Times New Roman" w:hAnsi="Times New Roman" w:eastAsia="宋体"/>
          <w:b/>
          <w:i w:val="0"/>
          <w:color w:val="1F3B73"/>
          <w:sz w:val="28"/>
        </w:rPr>
        <w:t>5.3 普通提示词与调用 Skill 的对比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在差异表达分析任务上，分别用“普通简短提示词”与“调用 Skill”两轮对比：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9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维度</w:t>
            </w:r>
          </w:p>
        </w:tc>
        <w:tc>
          <w:tcPr>
            <w:tcW w:type="dxa" w:w="345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普通简短提示词</w:t>
            </w:r>
          </w:p>
        </w:tc>
        <w:tc>
          <w:tcPr>
            <w:tcW w:type="dxa" w:w="4464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调用 Skill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完整性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易遗漏归一化/多重校正等步骤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 SKILL.md 流程完整执行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来源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无固定数据来源与检查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明确读取 references 与示例数据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数值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可能凭记忆编造数值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由脚本实际计算并回读核验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异常处理</w:t>
            </w:r>
          </w:p>
        </w:tc>
        <w:tc>
          <w:tcPr>
            <w:tcW w:type="dxa" w:w="345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难以预判样本/分组错位</w:t>
            </w:r>
          </w:p>
        </w:tc>
        <w:tc>
          <w:tcPr>
            <w:tcW w:type="dxa" w:w="446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脚本内断言分组并处理零表达基因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六、安装复用现有 Skill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选择随实验提供的 scientific-writing Skill 作为复用的现有 Skill。首先阅读其 SKILL.md、references/ 与 scripts/，确认其 MIT 许可、依赖与适用场景后，将其安装到当前 Agent 支持的 skills 目录（提交包中为 reused-skill/scientific-writing/）。改造点为：保留其 IMRAD 结构、引用规范与图表规范的核心内容，同时将其面向英文期刊的写作要求适配为中文实验报告场景——新增 references/chinese_adaptation.md，明确中文课程报告可用“实验目的/环境/步骤/结果/讨论/结论”结构、允许第一人称叙述、术语首次出现附英文原文，同时保留“不编造数据、结果与讨论分离”的核验红线。原始来源、改动内容与前后输出对比记录于 reused-skill/MODIFICATION_RECORD.md。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本地仓库方面，已使用 GitHub Copilot 自带的 Git 2.56.0 在提交文件夹内完成 git init，并建立 7 条提交（含真实提交哈希，详见 GIT_COMMIT_RECORD.md）；仅剩“推送到 GitHub”需使用本人账号完成。两个课后项目的任务清单见“课后任务清单.md”，分别列出差异表达分析与医疗对话整理两个 Skill 的任务、验收标准与提交物。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GitHub 仓库链接：________________________（发布后填写真实地址）。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七、实验结果与讨论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差异表达分析的结果具有明确的生物学合理性。上调基因中，CA9（log2FC = +8.95）、NDUFA4L2（+7.16）、EGLN3（+4.76）与 VEGFA（+2.77）均为肾透明细胞癌缺氧/VHL 通路的经典标志基因，其高表达与 ccRCC 的分子特征一致；下调基因中，UMOD（-6.60）、SLC12A1（-6.38）、AQP2（-5.98）与 FBP1（-3.26）等均为正常肾小管/集合管功能相关基因，其下调反映了肿瘤对正常肾单位结构的破坏。这一结果交叉验证了分析流程的正确性。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方法层面的局限在于：本实现采用标准的非配对两组比较，未纳入 10 对样本的配对信息，如需进一步控制患者间差异可扩展为 ~ patient + group 的配对设计；且未做 log2FoldChange 收缩，报告值为极大似然估计。这些均在 references/method.md 中如实注明。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八、实验结论与体会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本实验完成了从 Agent 配置、文件操作体验到 Skill 开发与复用的完整流程。通过将差异表达分析封装为 Skill，体会到“SKILL.md 导航 + references 分层知识 + scripts 可执行脚本”结构带来的完整性与可核查性：脚本真正读取数据、执行计算并回读结果，而非仅凭模型自述。同时，工具调用能力使 Agent 区别于普通网页 Chat，能够落地完成真实的数据分析任务。</w:t>
      </w:r>
    </w:p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九、附录：提交文件清单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320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 / 目录</w:t>
            </w:r>
          </w:p>
        </w:tc>
        <w:tc>
          <w:tcPr>
            <w:tcW w:type="dxa" w:w="4896"/>
            <w:vAlign w:val="center"/>
            <w:shd w:val="clear" w:color="auto"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skills/deg-analysis/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差异表达分析 Skill（SKILL.md、references、scripts）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skills/medical-dialog-qa/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医疗对话整理 Skill（含示例输入）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reused-skill/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现有 Skill 安装改造（scientific-writing + 改造记录）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outputs/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deg_results.tsv/csv、volcano_plot.png、deg_summary.txt、dialog_qa_output.md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data/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示例数据（TCGA-KIRC 计数/注释/分组）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connection_ok.txt、实验记录.txt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文件操作体验结果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课后任务清单.md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课后两个项目任务清单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API配置测试清单.md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拿到 Key 后的配置与测试分步清单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GIT_COMMIT_RECORD.md、.gitignore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本地仓库准备与提交记录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实验报告.docx</w:t>
            </w:r>
          </w:p>
        </w:tc>
        <w:tc>
          <w:tcPr>
            <w:tcW w:type="dxa" w:w="489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本报告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宋体"/>
          <w:b/>
          <w:i w:val="0"/>
          <w:color w:val="1F3B73"/>
          <w:sz w:val="32"/>
        </w:rPr>
        <w:t>十、附录二：DeepSeek API 配置与测试操作清单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以下步骤在拿到真实 API Key 后按顺序执行；任何截图与记录均需隐去密钥，仅保留 sk-****。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0 步 · 获取 Key：打开 platform.deepseek.com 注册/登录 → 左侧进入 API Keys → 创建 API Key → 立即复制（只显示一次）。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1 步 · 配置 CC Switch：打开 CC Switch → 选择 Claude Code → 新增服务商 DeepSeek → Base URL 填 https://api.deepseek.com/anthropic、API Key 填真实密钥、模型名填 deepseek-flash → 启用；若有“扩展跟随切换”选项按说明开启。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2 步 · 重启确认：完全退出并重新打开 VS Code（必要时 Reload Window），确认 Claude Code 扩展使用的是刚配置的 DeepSeek 服务。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3 步 · 连通性测试：在实验文件夹向 Agent 发送“请在当前文件夹创建 connection_ok.txt，内容自拟，然后读取并展示内容”，到文件管理器确认文件确实存在且内容正确，再让 Agent 回读核验。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4 步 · 截图打码：截取 CC Switch 配置页、请求/响应记录、connection_ok.txt 内容，用涂鸦/马赛克遮住 sk- 之后所有字符，只显示 sk-****；并核对服务商与模型名，不能只凭模型自述判断。</w:t>
      </w:r>
    </w:p>
    <w:p>
      <w:pPr>
        <w:spacing w:after="12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 5 步 · 存档：把打码截图放入 outputs/screenshots/，报告与 README 中密钥一律写 sk-****。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