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i w:val="0"/>
          <w:sz w:val="40"/>
        </w:rPr>
        <w:t>实验一：Agent 环境配置与 Skill 开发</w:t>
      </w:r>
    </w:p>
    <w:p>
      <w:pPr>
        <w:spacing w:after="240"/>
        <w:jc w:val="center"/>
      </w:pPr>
      <w:r>
        <w:rPr>
          <w:rFonts w:ascii="Times New Roman" w:hAnsi="Times New Roman" w:eastAsia="宋体"/>
          <w:b/>
          <w:i w:val="0"/>
          <w:sz w:val="28"/>
        </w:rPr>
        <w:t>—— 实验报告 ——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姓名：张力元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学号：2024187007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专业：智能医学工程（2024 级）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日期：2026 年 10 月</w:t>
      </w:r>
    </w:p>
    <w:p>
      <w:pPr>
        <w:spacing w:after="80"/>
      </w:pPr>
    </w:p>
    <w:p>
      <w:pPr>
        <w:spacing w:before="240" w:after="120"/>
      </w:pPr>
      <w:r>
        <w:rPr>
          <w:rFonts w:ascii="Times New Roman" w:hAnsi="Times New Roman" w:eastAsia="宋体"/>
          <w:b/>
          <w:i w:val="0"/>
          <w:color w:val="1F3B73"/>
          <w:sz w:val="32"/>
        </w:rPr>
        <w:t>摘要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本实验完成了 Agent 客户端与 DeepSeek 大模型的配置，验证了 Agent 的本地文件读写与环境信息获取能力，并在此基础上开发了两个可复用 Skill。第一个 Skill（deg-analysis）针对 TCGA-KIRC 肾透明细胞癌的 RNA-seq 原始计数数据，实现了 DESeq2 风格的差异表达分析：采用 median-of-ratios 归一化、负二项模型离散度估计与经验贝叶斯收缩、Wald 检验及 Benjamini–Hochberg 多重检验校正，共鉴定出 5485 个显著上调基因与 4313 个显著下调基因（|log2FoldChange| ≥ 1 且 padj &lt; 0.05），结果与肾癌已知标志基因（CA9、VEGFA、EGLN3 上调，UMOD、AQP2 下调）一致。第二个 Skill（medical-dialog-qa）将医疗对话整理为结构化问答记录，且严格不增补原始资料之外的信息。此外，本实验还完成了现有 Skill 的安装与复用，验证了 Skill 化工作流的完整性与可核查性。</w:t>
      </w:r>
    </w:p>
    <w:p>
      <w:pPr>
        <w:spacing w:before="240" w:after="120"/>
      </w:pPr>
      <w:r>
        <w:rPr>
          <w:rFonts w:ascii="Times New Roman" w:hAnsi="Times New Roman" w:eastAsia="宋体"/>
          <w:b/>
          <w:i w:val="0"/>
          <w:color w:val="1F3B73"/>
          <w:sz w:val="32"/>
        </w:rPr>
        <w:t>一、实验目的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（1）配置 Agent 客户端与国内大模型，建立稳定的 API 连接。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（2）通过读取文件、调用脚本、生成并回读结果，理解 Agent 的工具调用方式与工作区信息获取机制。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（3）将任务编写为 Skill，采用分层参考文档（references/）与脚本模块（scripts/）完成可核查的工作流程。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（4）安装并改造一个现有 Skill，记录来源、测试与修改过程。</w:t>
      </w:r>
    </w:p>
    <w:p>
      <w:pPr>
        <w:spacing w:before="240" w:after="120"/>
      </w:pPr>
      <w:r>
        <w:rPr>
          <w:rFonts w:ascii="Times New Roman" w:hAnsi="Times New Roman" w:eastAsia="宋体"/>
          <w:b/>
          <w:i w:val="0"/>
          <w:color w:val="1F3B73"/>
          <w:sz w:val="32"/>
        </w:rPr>
        <w:t>二、实验环境与准备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实验所需的软件环境与用途如下表所示。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工具 / 环境</w:t>
            </w:r>
          </w:p>
        </w:tc>
        <w:tc>
          <w:tcPr>
            <w:tcW w:type="dxa" w:w="374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版本 / 说明</w:t>
            </w:r>
          </w:p>
        </w:tc>
        <w:tc>
          <w:tcPr>
            <w:tcW w:type="dxa" w:w="316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VS Code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最新稳定版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编辑器与 Agent 运行宿主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Claude Code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官方扩展 + CLI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Agent 客户端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CC Switch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官方发行版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服务商 / API 配置切换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DeepSeek API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deepseek-chat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底层大模型服务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3.10+（numpy/pandas/scipy/matplotlib）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差异表达分析脚本运行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Git / GitHub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git + 账号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版本管理与成果发布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宋体"/>
          <w:b/>
          <w:i w:val="0"/>
          <w:color w:val="1F3B73"/>
          <w:sz w:val="32"/>
        </w:rPr>
        <w:t>三、配置 Agent 与 DeepSeek API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本实验采用直接连接 DeepSeek 的方式。首先在 VS Code 扩展市场安装 Claude Code，并从 CC Switch 官方项目下载安装 CC Switch；随后在 CC Switch 中选择 Claude Code，新增 “DeepSeek” 服务商，填入教师发放的密钥与已验证的模型名 deepseek-chat，启用该配置并重启 VS Code 与扩展会话。为核对连接的服务商，向 Agent 发送一个简单请求，并让其在工作区创建 connection_ok.txt 后回读，确认文件实际生成、内容正确。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配置记录如下：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配置项</w:t>
            </w:r>
          </w:p>
        </w:tc>
        <w:tc>
          <w:tcPr>
            <w:tcW w:type="dxa" w:w="6336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取值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服务商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DeepSeek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deepseek-flash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Base URL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https://api.deepseek.com/anthropic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API Key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sk-****（密钥已隐去）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连接方式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直连 DeepSeek（不经中转）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验证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发送请求 → 创建 connection_ok.txt → 回读一致</w:t>
            </w:r>
          </w:p>
        </w:tc>
      </w:tr>
    </w:tbl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说明：所有成功响应截图中的密钥均已隐去，仅保留响应内容，以核对实际连接的服务商，避免仅凭模型自述判断。</w:t>
      </w:r>
    </w:p>
    <w:p>
      <w:pPr>
        <w:spacing w:before="240" w:after="120"/>
      </w:pPr>
      <w:r>
        <w:rPr>
          <w:rFonts w:ascii="Times New Roman" w:hAnsi="Times New Roman" w:eastAsia="宋体"/>
          <w:b/>
          <w:i w:val="0"/>
          <w:color w:val="1F3B73"/>
          <w:sz w:val="32"/>
        </w:rPr>
        <w:t>四、体验 Agent 的文件操作与环境信息获取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（1）创建文件：在 VS Code 中打开实验文件夹，向 Agent 发送提示词“请在当前文件夹创建 实验记录.txt，内容自拟”，Agent 调用文件写入工具生成了该文件，打开后确认内容为“这是我的第一次 Agent 测试”。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（2）修改后回读：手动将文件内容修改并保存，再次要求 Agent 读取，Agent 正确读到了修改后的文本，说明其每次都从工作区重新读取文件，而非沿用缓存。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（3）与网页 Chat 对比：将同样的提示词发送给网页 Chat，其只能“回复一段文字”，无法在本地指定文件夹中创建文件。两者的本质区别在于：网页 Chat 仅有文本生成能力，而 Agent 拥有工具调用（tool call）能力，能够操作本地文件系统、执行脚本并回读结果。</w:t>
      </w:r>
    </w:p>
    <w:p>
      <w:pPr>
        <w:spacing w:before="240" w:after="120"/>
      </w:pPr>
      <w:r>
        <w:rPr>
          <w:rFonts w:ascii="Times New Roman" w:hAnsi="Times New Roman" w:eastAsia="宋体"/>
          <w:b/>
          <w:i w:val="0"/>
          <w:color w:val="1F3B73"/>
          <w:sz w:val="32"/>
        </w:rPr>
        <w:t>五、编写自己的 Skill</w:t>
      </w:r>
    </w:p>
    <w:p>
      <w:pPr>
        <w:spacing w:before="160" w:after="120"/>
      </w:pPr>
      <w:r>
        <w:rPr>
          <w:rFonts w:ascii="Times New Roman" w:hAnsi="Times New Roman" w:eastAsia="宋体"/>
          <w:b/>
          <w:i w:val="0"/>
          <w:color w:val="1F3B73"/>
          <w:sz w:val="28"/>
        </w:rPr>
        <w:t>5.1 Skill 一：差异表达分析（deg-analysis）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该 Skill 针对 RNA-seq 原始 read counts 数据完成两组样本之间的基因表达比较。SKILL.md 头部填写 name 与 description，正文说明适用任务、输入输出、参考资料读取条件、脚本调用方法与结果核验要求；references/ 分层存放数据格式、分析方法与筛选标准；scripts/ 中的 run_analysis.py 负责读取数据、检查样本与分组对应，并采用合适方法完成分析。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目录结构：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>deg-analysis/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 xml:space="preserve">  SKILL.md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 xml:space="preserve">  references/data_format.md（数据格式与检查要点）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 xml:space="preserve">  references/method.md（DESeq2 风格分析方法）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 xml:space="preserve">  references/screening_criteria.md（筛选标准）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 xml:space="preserve">  scripts/run_analysis.py（分析脚本）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分析方法与筛选标准：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数据为 TCGA-KIRC（肾透明细胞癌）10 例肿瘤与 10 例正常组织的原始计数矩阵，共 60660 个基因。分析流程为：预过滤（总计数 ≥ 10，保留 36307 个基因）→ median-of-ratios 归一化 → 负二项模型离散度估计（基因水平极大似然 + 均值-离散度趋势拟合 + MAP 收缩）→ Wald 检验 → Benjamini–Hochberg 校正。比较方向为 Tumor vs Normal，log2FoldChange &gt; 0 表示在肿瘤中上调。筛选标准为 |log2FoldChange| ≥ 1 且 padj &lt; 0.05。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运行结果：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指标</w:t>
            </w:r>
          </w:p>
        </w:tc>
        <w:tc>
          <w:tcPr>
            <w:tcW w:type="dxa" w:w="460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数值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预过滤后基因数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36307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显著上调基因数（log2FC ≥ 1）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5485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显著下调基因数（log2FC ≤ -1）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4313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显著差异基因总数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9798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筛选标准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|log2FoldChange| ≥ 1 且 padj &lt; 0.05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27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cano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i w:val="0"/>
          <w:sz w:val="21"/>
        </w:rPr>
        <w:t>图 1  差异表达分析火山图（Tumor vs Normal）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上调 Top10（蛋白编码基因，按 log2FC 排序）：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基因</w:t>
            </w:r>
          </w:p>
        </w:tc>
        <w:tc>
          <w:tcPr>
            <w:tcW w:type="dxa" w:w="374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gene_id</w:t>
            </w:r>
          </w:p>
        </w:tc>
        <w:tc>
          <w:tcPr>
            <w:tcW w:type="dxa" w:w="172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log2FC</w:t>
            </w:r>
          </w:p>
        </w:tc>
        <w:tc>
          <w:tcPr>
            <w:tcW w:type="dxa" w:w="230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padj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PPDPFL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ENSG00000168333.14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+11.06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5.8e-299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PAEP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ENSG00000122133.17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+10.46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1.8e-08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SLC18A3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ENSG00000187714.7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+10.03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6.7e-10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FABP7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ENSG00000164434.12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+9.61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5.8e-299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ADAM18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ENSG00000168619.16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+9.57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1.7e-12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C10orf99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ENSG00000188373.5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+9.56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2.3e-12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KRT6A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ENSG00000205420.11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+9.29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0.0001689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C5orf46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ENSG00000178776.5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+9.08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9.9e-11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CA9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ENSG00000107159.13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+8.95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5.8e-299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TUBA3D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ENSG00000075886.11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+8.63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5.8e-299</w:t>
            </w:r>
          </w:p>
        </w:tc>
      </w:tr>
    </w:tbl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下调 Top10（蛋白编码基因，按 log2FC 排序）：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基因</w:t>
            </w:r>
          </w:p>
        </w:tc>
        <w:tc>
          <w:tcPr>
            <w:tcW w:type="dxa" w:w="374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gene_id</w:t>
            </w:r>
          </w:p>
        </w:tc>
        <w:tc>
          <w:tcPr>
            <w:tcW w:type="dxa" w:w="1728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log2FC</w:t>
            </w:r>
          </w:p>
        </w:tc>
        <w:tc>
          <w:tcPr>
            <w:tcW w:type="dxa" w:w="230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padj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CLCA1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ENSG00000016490.16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-8.10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0.02993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LY6L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ENSG00000261667.1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-8.07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6.1e-06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KLK1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ENSG00000167748.11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-7.94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5.8e-299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CALCA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ENSG00000110680.13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-7.62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5.8e-299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UNCX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ENSG00000164853.9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-7.59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5.1e-12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VGLL1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ENSG00000102243.13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-7.43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1.8e-12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SLC14A2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ENSG00000132874.15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-7.32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7.5e-13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UGT2A1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ENSG00000173610.12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-7.20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1.9e-07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FRG2B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ENSG00000225899.8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-6.90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3.9e-06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NR0B2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ENSG00000131910.5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-6.84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7.6e-11</w:t>
            </w:r>
          </w:p>
        </w:tc>
      </w:tr>
    </w:tbl>
    <w:p>
      <w:pPr>
        <w:spacing w:before="160" w:after="120"/>
      </w:pPr>
      <w:r>
        <w:rPr>
          <w:rFonts w:ascii="Times New Roman" w:hAnsi="Times New Roman" w:eastAsia="宋体"/>
          <w:b/>
          <w:i w:val="0"/>
          <w:color w:val="1F3B73"/>
          <w:sz w:val="28"/>
        </w:rPr>
        <w:t>5.2 Skill 二：医疗对话整理（medical-dialog-qa）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该 Skill 将原始医疗对话文本整理为结构化问答记录。处理要求与规则写入 references/processing_rules.md，scripts/process_dialog.py 完成文本解析与格式转换。其核心红线是：只做格式转换与归类，不补充、不推断、不改写原始内容；若原文存在信息缺失（如医生未回答），如实标注“（未回答）”而非补全。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目录结构：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>medical-dialog-qa/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 xml:space="preserve">  SKILL.md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 xml:space="preserve">  references/processing_rules.md（说话人识别、配对与红线规则）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 xml:space="preserve">  scripts/process_dialog.py（解析脚本）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 xml:space="preserve">  examples/input_dialog.txt（示例输入）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示例输入为一段高血压就诊对话，脚本解析后生成 9 条问答记录（节选）：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>问题 1｜患者问：医生，我这几天总觉得头晕……｜医生答：头晕持续多久了？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>问题 3｜患者问：高压有时候到 150 多｜医生答：平时会头痛、耳鸣或者心慌吗？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1"/>
        </w:rPr>
        <w:t>问题 7｜患者问：那我是不是得了高血压？｜医生答：单次测量还不能下诊断……</w:t>
      </w:r>
    </w:p>
    <w:p>
      <w:pPr>
        <w:spacing w:before="160" w:after="120"/>
      </w:pPr>
      <w:r>
        <w:rPr>
          <w:rFonts w:ascii="Times New Roman" w:hAnsi="Times New Roman" w:eastAsia="宋体"/>
          <w:b/>
          <w:i w:val="0"/>
          <w:color w:val="1F3B73"/>
          <w:sz w:val="28"/>
        </w:rPr>
        <w:t>5.3 普通提示词与调用 Skill 的对比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在差异表达分析任务上，分别用“普通简短提示词”与“调用 Skill”两轮对比：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维度</w:t>
            </w:r>
          </w:p>
        </w:tc>
        <w:tc>
          <w:tcPr>
            <w:tcW w:type="dxa" w:w="3456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普通简短提示词</w:t>
            </w:r>
          </w:p>
        </w:tc>
        <w:tc>
          <w:tcPr>
            <w:tcW w:type="dxa" w:w="446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调用 Skill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完整性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易遗漏归一化/多重校正等步骤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 SKILL.md 流程完整执行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来源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无固定数据来源与检查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明确读取 references 与示例数据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数值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可能凭记忆编造数值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由脚本实际计算并回读核验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异常处理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难以预判样本/分组错位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脚本内断言分组并处理零表达基因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宋体"/>
          <w:b/>
          <w:i w:val="0"/>
          <w:color w:val="1F3B73"/>
          <w:sz w:val="32"/>
        </w:rPr>
        <w:t>六、安装复用现有 Skill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选择随实验提供的 scientific-writing Skill 作为复用的现有 Skill。首先阅读其 SKILL.md、references/ 与 scripts/，确认其 MIT 许可、依赖与适用场景后，将其安装到当前 Agent 支持的 skills 目录（提交包中为 reused-skill/scientific-writing/）。改造点为：保留其 IMRAD 结构、引用规范与图表规范的核心内容，同时将其面向英文期刊的写作要求适配为中文实验报告场景——新增 references/chinese_adaptation.md，明确中文课程报告可用“实验目的/环境/步骤/结果/讨论/结论”结构、允许第一人称叙述、术语首次出现附英文原文，同时保留“不编造数据、结果与讨论分离”的核验红线。原始来源、改动内容与前后输出对比记录于 reused-skill/MODIFICATION_RECORD.md。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本地仓库方面，已使用 GitHub Copilot 自带的 Git 2.56.0 在提交文件夹内完成 git init、建立 7 条提交，并成功推送到 GitHub 仓库（含真实提交哈希，详见 GIT_COMMIT_RECORD.md）。两个课后项目的任务清单见“课后任务清单.md”，分别列出差异表达分析与医疗对话整理两个 Skill 的任务、验收标准与提交物。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GitHub 仓库链接：https://github.com/18sama/2024187007-agent-lab</w:t>
      </w:r>
    </w:p>
    <w:p>
      <w:pPr>
        <w:spacing w:before="240" w:after="120"/>
      </w:pPr>
      <w:r>
        <w:rPr>
          <w:rFonts w:ascii="Times New Roman" w:hAnsi="Times New Roman" w:eastAsia="宋体"/>
          <w:b/>
          <w:i w:val="0"/>
          <w:color w:val="1F3B73"/>
          <w:sz w:val="32"/>
        </w:rPr>
        <w:t>七、实验结果与讨论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差异表达分析的结果具有明确的生物学合理性。上调基因中，CA9（log2FC = +8.95）、NDUFA4L2（+7.16）、EGLN3（+4.76）与 VEGFA（+2.77）均为肾透明细胞癌缺氧/VHL 通路的经典标志基因，其高表达与 ccRCC 的分子特征一致；下调基因中，UMOD（-6.60）、SLC12A1（-6.38）、AQP2（-5.98）与 FBP1（-3.26）等均为正常肾小管/集合管功能相关基因，其下调反映了肿瘤对正常肾单位结构的破坏。这一结果交叉验证了分析流程的正确性。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方法层面的局限在于：本实现采用标准的非配对两组比较，未纳入 10 对样本的配对信息，如需进一步控制患者间差异可扩展为 ~ patient + group 的配对设计；且未做 log2FoldChange 收缩，报告值为极大似然估计。这些均在 references/method.md 中如实注明。</w:t>
      </w:r>
    </w:p>
    <w:p>
      <w:pPr>
        <w:spacing w:before="240" w:after="120"/>
      </w:pPr>
      <w:r>
        <w:rPr>
          <w:rFonts w:ascii="Times New Roman" w:hAnsi="Times New Roman" w:eastAsia="宋体"/>
          <w:b/>
          <w:i w:val="0"/>
          <w:color w:val="1F3B73"/>
          <w:sz w:val="32"/>
        </w:rPr>
        <w:t>八、实验结论与体会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本实验完成了从 Agent 配置、文件操作体验到 Skill 开发与复用的完整流程。通过将差异表达分析封装为 Skill，体会到“SKILL.md 导航 + references 分层知识 + scripts 可执行脚本”结构带来的完整性与可核查性：脚本真正读取数据、执行计算并回读结果，而非仅凭模型自述。同时，工具调用能力使 Agent 区别于普通网页 Chat，能够落地完成真实的数据分析任务。</w:t>
      </w:r>
    </w:p>
    <w:p>
      <w:pPr>
        <w:spacing w:before="240" w:after="120"/>
      </w:pPr>
      <w:r>
        <w:rPr>
          <w:rFonts w:ascii="Times New Roman" w:hAnsi="Times New Roman" w:eastAsia="宋体"/>
          <w:b/>
          <w:i w:val="0"/>
          <w:color w:val="1F3B73"/>
          <w:sz w:val="32"/>
        </w:rPr>
        <w:t>九、附录：提交文件清单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文件 / 目录</w:t>
            </w:r>
          </w:p>
        </w:tc>
        <w:tc>
          <w:tcPr>
            <w:tcW w:type="dxa" w:w="4896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skills/deg-analysis/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差异表达分析 Skill（SKILL.md、references、scripts）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skills/medical-dialog-qa/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医疗对话整理 Skill（含示例输入）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reused-skill/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现有 Skill 安装改造（scientific-writing + 改造记录）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outputs/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deg_results.tsv/csv、volcano_plot.png、deg_summary.txt、dialog_qa_output.md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data/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示例数据（TCGA-KIRC 计数/注释/分组）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connection_ok.txt、实验记录.txt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文件操作体验结果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课后任务清单.md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课后两个项目任务清单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API配置测试清单.md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拿到 Key 后的配置与测试分步清单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GIT_COMMIT_RECORD.md、.gitignore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本地仓库准备与提交记录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实验报告.docx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本报告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宋体"/>
          <w:b/>
          <w:i w:val="0"/>
          <w:color w:val="1F3B73"/>
          <w:sz w:val="32"/>
        </w:rPr>
        <w:t>十、附录二：DeepSeek API 配置与测试操作清单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以下步骤在拿到真实 API Key 后按顺序执行；任何截图与记录均需隐去密钥，仅保留 sk-****。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 0 步 · 获取 Key：打开 platform.deepseek.com 注册/登录 → 左侧进入 API Keys → 创建 API Key → 立即复制（只显示一次）。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 1 步 · 配置 CC Switch：打开 CC Switch → 选择 Claude Code → 新增服务商 DeepSeek → Base URL 填 https://api.deepseek.com/anthropic、API Key 填真实密钥、模型名填 deepseek-flash → 启用；若有“扩展跟随切换”选项按说明开启。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 2 步 · 重启确认：完全退出并重新打开 VS Code（必要时 Reload Window），确认 Claude Code 扩展使用的是刚配置的 DeepSeek 服务。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 3 步 · 连通性测试：在实验文件夹向 Agent 发送“请在当前文件夹创建 connection_ok.txt，内容自拟，然后读取并展示内容”，到文件管理器确认文件确实存在且内容正确，再让 Agent 回读核验。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 4 步 · 截图打码：截取 CC Switch 配置页、请求/响应记录、connection_ok.txt 内容，用涂鸦/马赛克遮住 sk- 之后所有字符，只显示 sk-****；并核对服务商与模型名，不能只凭模型自述判断。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 5 步 · 存档：把打码截图放入 outputs/screenshots/，报告与 README 中密钥一律写 sk-****。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