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输入网址http://check.wanfangdata.com.cn 进入万方查重首页</w:t>
      </w:r>
    </w:p>
    <w:p>
      <w:pPr>
        <w:numPr>
          <w:numId w:val="0"/>
        </w:numPr>
      </w:pPr>
      <w:r>
        <w:drawing>
          <wp:inline distT="0" distB="0" distL="114300" distR="114300">
            <wp:extent cx="4638675" cy="1913255"/>
            <wp:effectExtent l="0" t="0" r="952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点击硕博版论文进入登录界面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906010" cy="2625090"/>
            <wp:effectExtent l="0" t="0" r="889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登入账号密码进入查重界面，账号：dllgdx  密码：wfdllgdx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5266690" cy="2829560"/>
            <wp:effectExtent l="0" t="0" r="1016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524A6F"/>
    <w:multiLevelType w:val="singleLevel"/>
    <w:tmpl w:val="ED524A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0108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2020-11-07T12:49:33Z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