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62" w:rsidRDefault="00B63F62" w:rsidP="00B63F62">
      <w:pPr>
        <w:spacing w:beforeLines="100" w:before="312" w:afterLines="100" w:after="312"/>
        <w:rPr>
          <w:rFonts w:ascii="宋体" w:eastAsia="宋体" w:hAnsi="宋体"/>
          <w:b/>
          <w:sz w:val="28"/>
          <w:szCs w:val="28"/>
        </w:rPr>
      </w:pPr>
      <w:r w:rsidRPr="00EF35D9">
        <w:rPr>
          <w:rFonts w:ascii="宋体" w:eastAsia="宋体" w:hAnsi="宋体" w:hint="eastAsia"/>
          <w:b/>
          <w:sz w:val="28"/>
          <w:szCs w:val="28"/>
        </w:rPr>
        <w:t>练习题</w:t>
      </w:r>
    </w:p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8"/>
        </w:rPr>
      </w:pPr>
      <w:r w:rsidRPr="00EF35D9">
        <w:rPr>
          <w:rFonts w:ascii="宋体" w:eastAsia="宋体" w:hAnsi="宋体" w:hint="eastAsia"/>
          <w:sz w:val="24"/>
          <w:szCs w:val="28"/>
        </w:rPr>
        <w:t>1.</w:t>
      </w:r>
      <w:r w:rsidRPr="00EF35D9">
        <w:rPr>
          <w:rFonts w:ascii="宋体" w:eastAsia="宋体" w:hAnsi="宋体"/>
          <w:sz w:val="24"/>
          <w:szCs w:val="28"/>
        </w:rPr>
        <w:t xml:space="preserve"> </w:t>
      </w:r>
      <w:r w:rsidRPr="00EF35D9">
        <w:rPr>
          <w:rFonts w:ascii="宋体" w:eastAsia="宋体" w:hAnsi="宋体" w:hint="eastAsia"/>
          <w:sz w:val="24"/>
          <w:szCs w:val="28"/>
        </w:rPr>
        <w:t>某公司拟改变产品的包装，改变包装后产品的销路不能确定，公司经理的估计是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先验概率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销路差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销路一般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销路好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3</m:t>
                  </m:r>
                </m:sub>
              </m:sSub>
            </m:oMath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π(θ)</m:t>
                </m:r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0</w:t>
            </w:r>
            <w:r w:rsidRPr="00EF35D9">
              <w:rPr>
                <w:rFonts w:ascii="宋体" w:eastAsia="宋体" w:hAnsi="宋体"/>
                <w:szCs w:val="28"/>
              </w:rPr>
              <w:t>.2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0</w:t>
            </w:r>
            <w:r w:rsidRPr="00EF35D9">
              <w:rPr>
                <w:rFonts w:ascii="宋体" w:eastAsia="宋体" w:hAnsi="宋体"/>
                <w:szCs w:val="28"/>
              </w:rPr>
              <w:t>.3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0</w:t>
            </w:r>
            <w:r w:rsidRPr="00EF35D9">
              <w:rPr>
                <w:rFonts w:ascii="宋体" w:eastAsia="宋体" w:hAnsi="宋体"/>
                <w:szCs w:val="28"/>
              </w:rPr>
              <w:t>.5</w:t>
            </w:r>
          </w:p>
        </w:tc>
      </w:tr>
    </w:tbl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销路与收益的关系如下表所示：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销路差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销路一般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2</m:t>
                  </m:r>
                </m:sub>
              </m:sSub>
            </m:oMath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 w:rsidRPr="00EF35D9">
              <w:rPr>
                <w:rFonts w:ascii="宋体" w:eastAsia="宋体" w:hAnsi="宋体" w:hint="eastAsia"/>
                <w:szCs w:val="28"/>
              </w:rPr>
              <w:t>销路好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hint="eastAsia"/>
                      <w:szCs w:val="28"/>
                    </w:rPr>
                    <m:t>3</m:t>
                  </m:r>
                </m:sub>
              </m:sSub>
            </m:oMath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改变包装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-40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600</w:t>
            </w:r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 w:cs="Times New Roman"/>
                <w:szCs w:val="28"/>
              </w:rPr>
            </w:pPr>
            <w:r>
              <w:rPr>
                <w:rFonts w:ascii="宋体" w:eastAsia="宋体" w:hAnsi="宋体" w:cs="Times New Roman" w:hint="eastAsia"/>
                <w:szCs w:val="28"/>
              </w:rPr>
              <w:t>包装不变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</w:tr>
    </w:tbl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为了对销路的估计更有把握，公司先在某个地区试销改变了包装的产品，根据以往的经验，试销的结果与产品在未来的实际销路中有如下关系：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试销结果\销路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0.8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0.2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0.2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0.4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0.4</w:t>
            </w:r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</w:t>
            </w:r>
          </w:p>
        </w:tc>
        <w:tc>
          <w:tcPr>
            <w:tcW w:w="1418" w:type="dxa"/>
          </w:tcPr>
          <w:p w:rsidR="00B63F62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0.1</w:t>
            </w:r>
          </w:p>
        </w:tc>
        <w:tc>
          <w:tcPr>
            <w:tcW w:w="1418" w:type="dxa"/>
          </w:tcPr>
          <w:p w:rsidR="00B63F62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0.9</w:t>
            </w:r>
          </w:p>
        </w:tc>
      </w:tr>
    </w:tbl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1). </w:t>
      </w:r>
      <w:r>
        <w:rPr>
          <w:rFonts w:ascii="宋体" w:eastAsia="宋体" w:hAnsi="宋体" w:hint="eastAsia"/>
          <w:sz w:val="24"/>
          <w:szCs w:val="28"/>
        </w:rPr>
        <w:t>画出该决策问题的决策树。</w:t>
      </w:r>
    </w:p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 xml:space="preserve">2). </w:t>
      </w:r>
      <w:r>
        <w:rPr>
          <w:rFonts w:ascii="宋体" w:eastAsia="宋体" w:hAnsi="宋体" w:hint="eastAsia"/>
          <w:sz w:val="24"/>
          <w:szCs w:val="28"/>
        </w:rPr>
        <w:t>试确定与各种销路结果相应的贝叶斯行动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3F62" w:rsidRPr="008F0B0C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(3). </w:t>
      </w:r>
      <w:r>
        <w:rPr>
          <w:rFonts w:ascii="宋体" w:eastAsia="宋体" w:hAnsi="宋体" w:hint="eastAsia"/>
          <w:sz w:val="24"/>
          <w:szCs w:val="24"/>
        </w:rPr>
        <w:t>分析试销费用与是否试销的关系。</w:t>
      </w:r>
    </w:p>
    <w:p w:rsidR="00B63F62" w:rsidRPr="000669E8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 w:rsidRPr="000669E8">
        <w:rPr>
          <w:rFonts w:ascii="宋体" w:eastAsia="宋体" w:hAnsi="宋体" w:hint="eastAsia"/>
          <w:sz w:val="24"/>
          <w:szCs w:val="24"/>
        </w:rPr>
        <w:lastRenderedPageBreak/>
        <w:t>2.</w:t>
      </w:r>
      <w:r w:rsidRPr="000669E8">
        <w:rPr>
          <w:rFonts w:ascii="宋体" w:eastAsia="宋体" w:hAnsi="宋体"/>
          <w:sz w:val="24"/>
          <w:szCs w:val="24"/>
        </w:rPr>
        <w:t xml:space="preserve"> (1) </w:t>
      </w:r>
      <w:r w:rsidRPr="000669E8">
        <w:rPr>
          <w:rFonts w:ascii="宋体" w:eastAsia="宋体" w:hAnsi="宋体" w:hint="eastAsia"/>
          <w:sz w:val="24"/>
          <w:szCs w:val="24"/>
        </w:rPr>
        <w:t>某一复杂系统由100个相互独立工作的部件组成，在整个运行期间部件损坏的概率是0.10。为了使整个系统起作用，至少必须85个部件正常工作，求整个系统起作用的概率。</w:t>
      </w:r>
    </w:p>
    <w:p w:rsidR="00B63F62" w:rsidRDefault="00B63F62" w:rsidP="00B63F62">
      <w:pPr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 w:rsidRPr="000669E8">
        <w:rPr>
          <w:rFonts w:ascii="宋体" w:eastAsia="宋体" w:hAnsi="宋体" w:hint="eastAsia"/>
          <w:sz w:val="24"/>
          <w:szCs w:val="24"/>
        </w:rPr>
        <w:t>(</w:t>
      </w:r>
      <w:r w:rsidRPr="000669E8">
        <w:rPr>
          <w:rFonts w:ascii="宋体" w:eastAsia="宋体" w:hAnsi="宋体"/>
          <w:sz w:val="24"/>
          <w:szCs w:val="24"/>
        </w:rPr>
        <w:t xml:space="preserve">2) </w:t>
      </w:r>
      <w:proofErr w:type="gramStart"/>
      <w:r w:rsidRPr="000669E8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0669E8">
        <w:rPr>
          <w:rFonts w:ascii="宋体" w:eastAsia="宋体" w:hAnsi="宋体" w:hint="eastAsia"/>
          <w:sz w:val="24"/>
          <w:szCs w:val="24"/>
        </w:rPr>
        <w:t>复杂系统由</w:t>
      </w:r>
      <w:r w:rsidRPr="000669E8">
        <w:rPr>
          <w:rFonts w:ascii="宋体" w:eastAsia="宋体" w:hAnsi="宋体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5pt;height:11.1pt" o:ole="">
            <v:imagedata r:id="rId4" o:title=""/>
          </v:shape>
          <o:OLEObject Type="Embed" ProgID="Equation.DSMT4" ShapeID="_x0000_i1025" DrawAspect="Content" ObjectID="_1654966977" r:id="rId5"/>
        </w:object>
      </w:r>
      <w:proofErr w:type="gramStart"/>
      <w:r w:rsidRPr="000669E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0669E8">
        <w:rPr>
          <w:rFonts w:ascii="宋体" w:eastAsia="宋体" w:hAnsi="宋体" w:hint="eastAsia"/>
          <w:sz w:val="24"/>
          <w:szCs w:val="24"/>
        </w:rPr>
        <w:t>相互独立起作用的部件组成，每个部件的可靠性(即部件正常工作的概率</w:t>
      </w:r>
      <w:r w:rsidRPr="000669E8">
        <w:rPr>
          <w:rFonts w:ascii="宋体" w:eastAsia="宋体" w:hAnsi="宋体"/>
          <w:sz w:val="24"/>
          <w:szCs w:val="24"/>
        </w:rPr>
        <w:t>)</w:t>
      </w:r>
      <w:r w:rsidRPr="000669E8">
        <w:rPr>
          <w:rFonts w:ascii="宋体" w:eastAsia="宋体" w:hAnsi="宋体" w:hint="eastAsia"/>
          <w:sz w:val="24"/>
          <w:szCs w:val="24"/>
        </w:rPr>
        <w:t>为0.90，且必须至少80%的部件正常工作才能使整个系统工作，问</w:t>
      </w:r>
      <w:r w:rsidRPr="000669E8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26" type="#_x0000_t75" style="width:9.95pt;height:11.1pt" o:ole="">
            <v:imagedata r:id="rId6" o:title=""/>
          </v:shape>
          <o:OLEObject Type="Embed" ProgID="Equation.DSMT4" ShapeID="_x0000_i1026" DrawAspect="Content" ObjectID="_1654966978" r:id="rId7"/>
        </w:object>
      </w:r>
      <w:r w:rsidRPr="000669E8">
        <w:rPr>
          <w:rFonts w:ascii="宋体" w:eastAsia="宋体" w:hAnsi="宋体" w:hint="eastAsia"/>
          <w:sz w:val="24"/>
          <w:szCs w:val="24"/>
        </w:rPr>
        <w:t>至少多大时才能使系统的可靠性不低于0.95。</w:t>
      </w:r>
    </w:p>
    <w:p w:rsidR="00B63F62" w:rsidRDefault="00B63F62" w:rsidP="00B63F62">
      <w:pPr>
        <w:snapToGrid w:val="0"/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 w:rsidRPr="002D3E3B">
        <w:rPr>
          <w:rFonts w:ascii="宋体" w:eastAsia="宋体" w:hAnsi="宋体" w:hint="eastAsia"/>
          <w:sz w:val="24"/>
          <w:szCs w:val="24"/>
        </w:rPr>
        <w:t>3.</w:t>
      </w:r>
      <w:r w:rsidRPr="002D3E3B">
        <w:rPr>
          <w:rFonts w:ascii="宋体" w:eastAsia="宋体" w:hAnsi="宋体"/>
          <w:sz w:val="24"/>
          <w:szCs w:val="24"/>
        </w:rPr>
        <w:t xml:space="preserve"> </w:t>
      </w:r>
      <w:r w:rsidRPr="002D3E3B">
        <w:rPr>
          <w:rFonts w:ascii="宋体" w:eastAsia="宋体" w:hAnsi="宋体" w:hint="eastAsia"/>
          <w:sz w:val="24"/>
          <w:szCs w:val="24"/>
        </w:rPr>
        <w:t>某农民拟在两种农作物中选择一种。若旱年</w:t>
      </w:r>
      <w:r w:rsidRPr="002D3E3B">
        <w:rPr>
          <w:rFonts w:ascii="宋体" w:eastAsia="宋体" w:hAnsi="宋体"/>
          <w:position w:val="-12"/>
          <w:sz w:val="24"/>
          <w:szCs w:val="24"/>
        </w:rPr>
        <w:object w:dxaOrig="240" w:dyaOrig="360">
          <v:shape id="_x0000_i1027" type="#_x0000_t75" style="width:12.2pt;height:18.3pt" o:ole="">
            <v:imagedata r:id="rId8" o:title=""/>
          </v:shape>
          <o:OLEObject Type="Embed" ProgID="Equation.DSMT4" ShapeID="_x0000_i1027" DrawAspect="Content" ObjectID="_1654966979" r:id="rId9"/>
        </w:object>
      </w:r>
      <w:r w:rsidRPr="002D3E3B">
        <w:rPr>
          <w:rFonts w:ascii="宋体" w:eastAsia="宋体" w:hAnsi="宋体" w:hint="eastAsia"/>
          <w:sz w:val="24"/>
          <w:szCs w:val="24"/>
        </w:rPr>
        <w:t>占60%，正常年景</w:t>
      </w:r>
      <w:r w:rsidRPr="002D3E3B">
        <w:rPr>
          <w:rFonts w:ascii="宋体" w:eastAsia="宋体" w:hAnsi="宋体"/>
          <w:position w:val="-12"/>
          <w:sz w:val="24"/>
          <w:szCs w:val="24"/>
        </w:rPr>
        <w:object w:dxaOrig="260" w:dyaOrig="360">
          <v:shape id="_x0000_i1028" type="#_x0000_t75" style="width:13.3pt;height:18.3pt" o:ole="">
            <v:imagedata r:id="rId10" o:title=""/>
          </v:shape>
          <o:OLEObject Type="Embed" ProgID="Equation.DSMT4" ShapeID="_x0000_i1028" DrawAspect="Content" ObjectID="_1654966980" r:id="rId11"/>
        </w:object>
      </w:r>
      <w:r w:rsidRPr="002D3E3B">
        <w:rPr>
          <w:rFonts w:ascii="宋体" w:eastAsia="宋体" w:hAnsi="宋体" w:hint="eastAsia"/>
          <w:sz w:val="24"/>
          <w:szCs w:val="24"/>
        </w:rPr>
        <w:t>占40%；种植耐旱作物</w:t>
      </w:r>
      <w:r w:rsidRPr="002D3E3B">
        <w:rPr>
          <w:rFonts w:ascii="宋体" w:eastAsia="宋体" w:hAnsi="宋体"/>
          <w:position w:val="-12"/>
          <w:sz w:val="24"/>
          <w:szCs w:val="24"/>
        </w:rPr>
        <w:object w:dxaOrig="240" w:dyaOrig="360">
          <v:shape id="_x0000_i1029" type="#_x0000_t75" style="width:12.2pt;height:18.3pt" o:ole="">
            <v:imagedata r:id="rId12" o:title=""/>
          </v:shape>
          <o:OLEObject Type="Embed" ProgID="Equation.DSMT4" ShapeID="_x0000_i1029" DrawAspect="Content" ObjectID="_1654966981" r:id="rId13"/>
        </w:object>
      </w:r>
      <w:r w:rsidRPr="002D3E3B">
        <w:rPr>
          <w:rFonts w:ascii="宋体" w:eastAsia="宋体" w:hAnsi="宋体" w:hint="eastAsia"/>
          <w:sz w:val="24"/>
          <w:szCs w:val="24"/>
        </w:rPr>
        <w:t>以及种植不耐旱作物</w:t>
      </w:r>
      <w:r w:rsidRPr="002D3E3B">
        <w:rPr>
          <w:rFonts w:ascii="宋体" w:eastAsia="宋体" w:hAnsi="宋体"/>
          <w:position w:val="-12"/>
          <w:sz w:val="24"/>
          <w:szCs w:val="24"/>
        </w:rPr>
        <w:object w:dxaOrig="260" w:dyaOrig="360">
          <v:shape id="_x0000_i1030" type="#_x0000_t75" style="width:13.3pt;height:18.3pt" o:ole="">
            <v:imagedata r:id="rId14" o:title=""/>
          </v:shape>
          <o:OLEObject Type="Embed" ProgID="Equation.DSMT4" ShapeID="_x0000_i1030" DrawAspect="Content" ObjectID="_1654966982" r:id="rId15"/>
        </w:object>
      </w:r>
      <w:r w:rsidRPr="002D3E3B">
        <w:rPr>
          <w:rFonts w:ascii="宋体" w:eastAsia="宋体" w:hAnsi="宋体" w:hint="eastAsia"/>
          <w:sz w:val="24"/>
          <w:szCs w:val="24"/>
        </w:rPr>
        <w:t>的后果矩阵如下表所示(单位：万元</w:t>
      </w:r>
      <w:r w:rsidRPr="002D3E3B">
        <w:rPr>
          <w:rFonts w:ascii="宋体" w:eastAsia="宋体" w:hAnsi="宋体"/>
          <w:sz w:val="24"/>
          <w:szCs w:val="24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B63F62" w:rsidTr="000E24A9">
        <w:trPr>
          <w:jc w:val="center"/>
        </w:trPr>
        <w:tc>
          <w:tcPr>
            <w:tcW w:w="1418" w:type="dxa"/>
            <w:tcBorders>
              <w:tl2br w:val="single" w:sz="4" w:space="0" w:color="auto"/>
            </w:tcBorders>
          </w:tcPr>
          <w:p w:rsidR="00B63F62" w:rsidRPr="00C54385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 xml:space="preserve"> </w:t>
            </w:r>
            <w:r>
              <w:rPr>
                <w:rFonts w:ascii="宋体" w:eastAsia="宋体" w:hAnsi="宋体"/>
                <w:szCs w:val="28"/>
              </w:rPr>
              <w:t xml:space="preserve">   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k</m:t>
                  </m:r>
                </m:sub>
              </m:sSub>
            </m:oMath>
          </w:p>
          <w:p w:rsidR="00B63F62" w:rsidRPr="00C54385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8"/>
              </w:rPr>
              <w:t>20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8"/>
              </w:rPr>
              <w:t>0</w:t>
            </w:r>
          </w:p>
        </w:tc>
      </w:tr>
      <w:tr w:rsidR="00B63F62" w:rsidTr="000E24A9">
        <w:trPr>
          <w:jc w:val="center"/>
        </w:trPr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8"/>
              </w:rPr>
              <w:t>60</w:t>
            </w:r>
          </w:p>
        </w:tc>
        <w:tc>
          <w:tcPr>
            <w:tcW w:w="1418" w:type="dxa"/>
          </w:tcPr>
          <w:p w:rsidR="00B63F62" w:rsidRPr="00EF35D9" w:rsidRDefault="00B63F62" w:rsidP="000E24A9">
            <w:pPr>
              <w:spacing w:beforeLines="100" w:before="312" w:afterLines="100" w:after="312"/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/>
                <w:szCs w:val="28"/>
              </w:rPr>
              <w:t>100</w:t>
            </w:r>
          </w:p>
        </w:tc>
      </w:tr>
    </w:tbl>
    <w:p w:rsidR="00B63F62" w:rsidRDefault="00B63F62" w:rsidP="00B63F62">
      <w:pPr>
        <w:snapToGrid w:val="0"/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1). </w:t>
      </w:r>
      <w:proofErr w:type="gramStart"/>
      <w:r>
        <w:rPr>
          <w:rFonts w:ascii="宋体" w:eastAsia="宋体" w:hAnsi="宋体" w:hint="eastAsia"/>
          <w:sz w:val="24"/>
          <w:szCs w:val="24"/>
        </w:rPr>
        <w:t>设该农民的效用函数为</w:t>
      </w:r>
      <w:proofErr w:type="gramEnd"/>
      <w:r w:rsidRPr="00C54385">
        <w:rPr>
          <w:rFonts w:ascii="宋体" w:eastAsia="宋体" w:hAnsi="宋体"/>
          <w:position w:val="-10"/>
          <w:sz w:val="24"/>
          <w:szCs w:val="24"/>
        </w:rPr>
        <w:object w:dxaOrig="2260" w:dyaOrig="360">
          <v:shape id="_x0000_i1031" type="#_x0000_t75" style="width:113.55pt;height:18.3pt" o:ole="">
            <v:imagedata r:id="rId16" o:title=""/>
          </v:shape>
          <o:OLEObject Type="Embed" ProgID="Equation.DSMT4" ShapeID="_x0000_i1031" DrawAspect="Content" ObjectID="_1654966983" r:id="rId17"/>
        </w:object>
      </w:r>
      <w:r w:rsidRPr="00C54385">
        <w:rPr>
          <w:rFonts w:ascii="宋体" w:eastAsia="宋体" w:hAnsi="宋体"/>
          <w:sz w:val="24"/>
          <w:szCs w:val="24"/>
        </w:rPr>
        <w:t>(</w:t>
      </w:r>
      <w:r w:rsidRPr="00C54385">
        <w:rPr>
          <w:rFonts w:ascii="宋体" w:eastAsia="宋体" w:hAnsi="宋体" w:hint="eastAsia"/>
          <w:sz w:val="24"/>
          <w:szCs w:val="24"/>
        </w:rPr>
        <w:t>单位：万元</w:t>
      </w:r>
      <w:r w:rsidRPr="00C54385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，问该农民应该采取什么行动？</w:t>
      </w:r>
    </w:p>
    <w:p w:rsidR="00B63F62" w:rsidRDefault="00B63F62" w:rsidP="00B63F62">
      <w:pPr>
        <w:snapToGrid w:val="0"/>
        <w:spacing w:beforeLines="30" w:before="93" w:afterLines="30" w:after="93" w:line="288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 xml:space="preserve">2). </w:t>
      </w:r>
      <w:r>
        <w:rPr>
          <w:rFonts w:ascii="宋体" w:eastAsia="宋体" w:hAnsi="宋体" w:hint="eastAsia"/>
          <w:sz w:val="24"/>
          <w:szCs w:val="24"/>
        </w:rPr>
        <w:t>设气象站预报的准确率为0.8，即</w:t>
      </w:r>
    </w:p>
    <w:p w:rsidR="00B63F62" w:rsidRPr="00C54385" w:rsidRDefault="00B63F62" w:rsidP="00B63F62">
      <w:pPr>
        <w:snapToGrid w:val="0"/>
        <w:spacing w:beforeLines="30" w:before="93" w:afterLines="30" w:after="93" w:line="288" w:lineRule="auto"/>
        <w:jc w:val="center"/>
        <w:rPr>
          <w:rFonts w:ascii="宋体" w:eastAsia="宋体" w:hAnsi="宋体"/>
          <w:sz w:val="24"/>
          <w:szCs w:val="24"/>
        </w:rPr>
      </w:pPr>
      <w:r w:rsidRPr="009A555E">
        <w:rPr>
          <w:position w:val="-12"/>
        </w:rPr>
        <w:object w:dxaOrig="3200" w:dyaOrig="360">
          <v:shape id="_x0000_i1032" type="#_x0000_t75" style="width:159.5pt;height:18.3pt" o:ole="">
            <v:imagedata r:id="rId18" o:title=""/>
          </v:shape>
          <o:OLEObject Type="Embed" ProgID="Equation.DSMT4" ShapeID="_x0000_i1032" DrawAspect="Content" ObjectID="_1654966984" r:id="rId19"/>
        </w:object>
      </w:r>
    </w:p>
    <w:p w:rsidR="00B63F62" w:rsidRPr="00EF35D9" w:rsidRDefault="00B63F62" w:rsidP="00B63F62">
      <w:pPr>
        <w:snapToGrid w:val="0"/>
        <w:spacing w:beforeLines="30" w:before="93" w:afterLines="30" w:after="93" w:line="288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C54385">
        <w:rPr>
          <w:rFonts w:ascii="宋体" w:eastAsia="宋体" w:hAnsi="宋体" w:hint="eastAsia"/>
          <w:sz w:val="24"/>
          <w:szCs w:val="24"/>
        </w:rPr>
        <w:t>，</w:t>
      </w:r>
      <w:r w:rsidRPr="00C54385">
        <w:rPr>
          <w:rFonts w:ascii="宋体" w:eastAsia="宋体" w:hAnsi="宋体"/>
          <w:position w:val="-12"/>
          <w:sz w:val="24"/>
          <w:szCs w:val="24"/>
        </w:rPr>
        <w:object w:dxaOrig="240" w:dyaOrig="360">
          <v:shape id="_x0000_i1033" type="#_x0000_t75" style="width:12.2pt;height:18.3pt" o:ole="">
            <v:imagedata r:id="rId20" o:title=""/>
          </v:shape>
          <o:OLEObject Type="Embed" ProgID="Equation.DSMT4" ShapeID="_x0000_i1033" DrawAspect="Content" ObjectID="_1654966985" r:id="rId21"/>
        </w:object>
      </w:r>
      <w:r w:rsidRPr="00C54385">
        <w:rPr>
          <w:rFonts w:ascii="宋体" w:eastAsia="宋体" w:hAnsi="宋体" w:hint="eastAsia"/>
          <w:sz w:val="24"/>
          <w:szCs w:val="24"/>
        </w:rPr>
        <w:t>表示预报干旱，</w:t>
      </w:r>
      <w:r w:rsidRPr="00C54385">
        <w:rPr>
          <w:rFonts w:ascii="宋体" w:eastAsia="宋体" w:hAnsi="宋体"/>
          <w:position w:val="-12"/>
          <w:sz w:val="24"/>
          <w:szCs w:val="24"/>
        </w:rPr>
        <w:object w:dxaOrig="260" w:dyaOrig="360">
          <v:shape id="_x0000_i1034" type="#_x0000_t75" style="width:13.3pt;height:18.3pt" o:ole="">
            <v:imagedata r:id="rId22" o:title=""/>
          </v:shape>
          <o:OLEObject Type="Embed" ProgID="Equation.DSMT4" ShapeID="_x0000_i1034" DrawAspect="Content" ObjectID="_1654966986" r:id="rId23"/>
        </w:object>
      </w:r>
      <w:r w:rsidRPr="00C54385">
        <w:rPr>
          <w:rFonts w:ascii="宋体" w:eastAsia="宋体" w:hAnsi="宋体" w:hint="eastAsia"/>
          <w:sz w:val="24"/>
          <w:szCs w:val="24"/>
        </w:rPr>
        <w:t>表示预报正常年景。</w:t>
      </w:r>
      <w:r>
        <w:rPr>
          <w:rFonts w:ascii="宋体" w:eastAsia="宋体" w:hAnsi="宋体" w:hint="eastAsia"/>
          <w:sz w:val="24"/>
          <w:szCs w:val="24"/>
        </w:rPr>
        <w:t>问题：(</w:t>
      </w:r>
      <w:r>
        <w:rPr>
          <w:rFonts w:ascii="宋体" w:eastAsia="宋体" w:hAnsi="宋体"/>
          <w:sz w:val="24"/>
          <w:szCs w:val="24"/>
        </w:rPr>
        <w:t xml:space="preserve">a) </w:t>
      </w:r>
      <w:r>
        <w:rPr>
          <w:rFonts w:ascii="宋体" w:eastAsia="宋体" w:hAnsi="宋体" w:hint="eastAsia"/>
          <w:sz w:val="24"/>
          <w:szCs w:val="24"/>
        </w:rPr>
        <w:t>求后验概率</w:t>
      </w:r>
      <w:r w:rsidRPr="00C54385">
        <w:rPr>
          <w:rFonts w:ascii="宋体" w:eastAsia="宋体" w:hAnsi="宋体" w:hint="eastAsia"/>
          <w:sz w:val="24"/>
          <w:szCs w:val="24"/>
        </w:rPr>
        <w:t>；(</w:t>
      </w:r>
      <w:r w:rsidRPr="00C54385">
        <w:rPr>
          <w:rFonts w:ascii="宋体" w:eastAsia="宋体" w:hAnsi="宋体"/>
          <w:sz w:val="24"/>
          <w:szCs w:val="24"/>
        </w:rPr>
        <w:t xml:space="preserve">b) </w:t>
      </w:r>
      <w:r w:rsidRPr="00C54385">
        <w:rPr>
          <w:rFonts w:ascii="宋体" w:eastAsia="宋体" w:hAnsi="宋体" w:hint="eastAsia"/>
          <w:sz w:val="24"/>
          <w:szCs w:val="24"/>
        </w:rPr>
        <w:t>进行正规型贝叶斯分析，求贝叶斯规则；(</w:t>
      </w:r>
      <w:r w:rsidRPr="00C54385">
        <w:rPr>
          <w:rFonts w:ascii="宋体" w:eastAsia="宋体" w:hAnsi="宋体"/>
          <w:sz w:val="24"/>
          <w:szCs w:val="24"/>
        </w:rPr>
        <w:t xml:space="preserve">c) </w:t>
      </w:r>
      <w:r w:rsidRPr="00C54385">
        <w:rPr>
          <w:rFonts w:ascii="宋体" w:eastAsia="宋体" w:hAnsi="宋体" w:hint="eastAsia"/>
          <w:sz w:val="24"/>
          <w:szCs w:val="24"/>
        </w:rPr>
        <w:t>讨论两种扩展型贝叶斯分析。</w:t>
      </w:r>
    </w:p>
    <w:p w:rsidR="005D600F" w:rsidRPr="00B63F62" w:rsidRDefault="005D600F">
      <w:bookmarkStart w:id="0" w:name="_GoBack"/>
      <w:bookmarkEnd w:id="0"/>
    </w:p>
    <w:sectPr w:rsidR="005D600F" w:rsidRPr="00B63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62"/>
    <w:rsid w:val="005D600F"/>
    <w:rsid w:val="00B6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6DB10-BFD8-41DD-A6A2-B3CAB0D1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F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2020-06-29T12:09:00Z</dcterms:created>
  <dcterms:modified xsi:type="dcterms:W3CDTF">2020-06-29T12:09:00Z</dcterms:modified>
</cp:coreProperties>
</file>