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BYD-MES 通用版系统</w:t>
        <w:br/>
        <w:t>项目内部交接文档</w:t>
      </w:r>
    </w:p>
    <w:p>
      <w:pPr>
        <w:jc w:val="center"/>
      </w:pPr>
      <w:r>
        <w:rPr>
          <w:color w:val="595959"/>
          <w:sz w:val="24"/>
        </w:rPr>
        <w:t>适用对象：开发、实施、运维及现场支持人员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6803"/>
            <w:shd w:fill="1F4E78"/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t>仓库</w:t>
            </w:r>
          </w:p>
        </w:tc>
        <w:tc>
          <w:tcPr>
            <w:tcW w:type="dxa" w:w="6803"/>
            <w:vAlign w:val="center"/>
          </w:tcPr>
          <w:p>
            <w:r>
              <w:t>github.com/1900401734/BYD-MES</w:t>
            </w:r>
          </w:p>
        </w:tc>
      </w:tr>
      <w:tr>
        <w:tc>
          <w:tcPr>
            <w:tcW w:type="dxa" w:w="2268"/>
            <w:vAlign w:val="center"/>
          </w:tcPr>
          <w:p>
            <w:r>
              <w:t>当前分支</w:t>
            </w:r>
          </w:p>
        </w:tc>
        <w:tc>
          <w:tcPr>
            <w:tcW w:type="dxa" w:w="6803"/>
            <w:vAlign w:val="center"/>
          </w:tcPr>
          <w:p>
            <w:r>
              <w:t>GeneralSystem</w:t>
            </w:r>
          </w:p>
        </w:tc>
      </w:tr>
      <w:tr>
        <w:tc>
          <w:tcPr>
            <w:tcW w:type="dxa" w:w="2268"/>
            <w:vAlign w:val="center"/>
          </w:tcPr>
          <w:p>
            <w:r>
              <w:t>技术栈</w:t>
            </w:r>
          </w:p>
        </w:tc>
        <w:tc>
          <w:tcPr>
            <w:tcW w:type="dxa" w:w="6803"/>
            <w:vAlign w:val="center"/>
          </w:tcPr>
          <w:p>
            <w:r>
              <w:t>.NET Framework 4.7.2 / C# 7.3 / WinForms</w:t>
            </w:r>
          </w:p>
        </w:tc>
      </w:tr>
      <w:tr>
        <w:tc>
          <w:tcPr>
            <w:tcW w:type="dxa" w:w="2268"/>
            <w:vAlign w:val="center"/>
          </w:tcPr>
          <w:p>
            <w:r>
              <w:t>主程序</w:t>
            </w:r>
          </w:p>
        </w:tc>
        <w:tc>
          <w:tcPr>
            <w:tcW w:type="dxa" w:w="6803"/>
            <w:vAlign w:val="center"/>
          </w:tcPr>
          <w:p>
            <w:r>
              <w:t>MesDatas/bydMes.exe</w:t>
            </w:r>
          </w:p>
        </w:tc>
      </w:tr>
      <w:tr>
        <w:tc>
          <w:tcPr>
            <w:tcW w:type="dxa" w:w="2268"/>
            <w:vAlign w:val="center"/>
          </w:tcPr>
          <w:p>
            <w:r>
              <w:t>文档日期</w:t>
            </w:r>
          </w:p>
        </w:tc>
        <w:tc>
          <w:tcPr>
            <w:tcW w:type="dxa" w:w="6803"/>
            <w:vAlign w:val="center"/>
          </w:tcPr>
          <w:p>
            <w:r>
              <w:t>2026-07-27</w:t>
            </w:r>
          </w:p>
        </w:tc>
      </w:tr>
      <w:tr>
        <w:tc>
          <w:tcPr>
            <w:tcW w:type="dxa" w:w="2268"/>
            <w:vAlign w:val="center"/>
          </w:tcPr>
          <w:p>
            <w:r>
              <w:t>保密级别</w:t>
            </w:r>
          </w:p>
        </w:tc>
        <w:tc>
          <w:tcPr>
            <w:tcW w:type="dxa" w:w="6803"/>
            <w:vAlign w:val="center"/>
          </w:tcPr>
          <w:p>
            <w:r>
              <w:t>公司内部使用</w:t>
            </w:r>
          </w:p>
        </w:tc>
      </w:tr>
    </w:tbl>
    <w:p/>
    <w:p>
      <w:pPr>
        <w:pStyle w:val="Heading1"/>
      </w:pPr>
      <w:r>
        <w:t>1. 交接摘要</w:t>
      </w:r>
    </w:p>
    <w:p>
      <w:r>
        <w:t>本项目是面向产线设备的 Windows 桌面 MES 客户端。系统连接 PLC、扫码器、RFID、打印机和 BYD MES 接口，完成条码验证、配方切换、生产数据采集与上传、标签打印、本地追溯、公告展示及在线升级。主程序采用 WinForms 单体结构，核心业务集中在 MesDatas/Form1.cs，现场配置和外设依赖较强。</w:t>
      </w:r>
    </w:p>
    <w:p>
      <w:r>
        <w:t>本次工作区版本重点扩展了配方管理、治具校验、登录模式、多语言与界面自适应，并继续优化 MES/PLC 异步处理链路。接手人员应优先完成现场配置备份、依赖 DLL 核验以及真实设备联调。</w:t>
      </w:r>
    </w:p>
    <w:p>
      <w:pPr>
        <w:pStyle w:val="Heading1"/>
      </w:pPr>
      <w:r>
        <w:t>2. 解决方案与模块职责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57"/>
            <w:shd w:fill="1F4E78"/>
            <w:vAlign w:val="center"/>
          </w:tcPr>
          <w:p>
            <w:r>
              <w:rPr>
                <w:b/>
                <w:color w:val="FFFFFF"/>
              </w:rPr>
              <w:t>工程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</w:rPr>
              <w:t>类型/职责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</w:rPr>
              <w:t>交接关注点</w:t>
            </w:r>
          </w:p>
        </w:tc>
      </w:tr>
      <w:tr>
        <w:tc>
          <w:tcPr>
            <w:tcW w:type="dxa" w:w="1757"/>
            <w:vAlign w:val="center"/>
          </w:tcPr>
          <w:p>
            <w:r>
              <w:t>MesDatas</w:t>
            </w:r>
          </w:p>
        </w:tc>
        <w:tc>
          <w:tcPr>
            <w:tcW w:type="dxa" w:w="3402"/>
            <w:vAlign w:val="center"/>
          </w:tcPr>
          <w:p>
            <w:r>
              <w:t>主 WinForms 客户端；MES、PLC、扫码、打印和配置中心</w:t>
            </w:r>
          </w:p>
        </w:tc>
        <w:tc>
          <w:tcPr>
            <w:tcW w:type="dxa" w:w="3969"/>
            <w:vAlign w:val="center"/>
          </w:tcPr>
          <w:p>
            <w:r>
              <w:t>业务主入口；Form1.cs 体量大、耦合高</w:t>
            </w:r>
          </w:p>
        </w:tc>
      </w:tr>
      <w:tr>
        <w:tc>
          <w:tcPr>
            <w:tcW w:type="dxa" w:w="1757"/>
            <w:vAlign w:val="center"/>
          </w:tcPr>
          <w:p>
            <w:r>
              <w:t>MesDatasCore</w:t>
            </w:r>
          </w:p>
        </w:tc>
        <w:tc>
          <w:tcPr>
            <w:tcW w:type="dxa" w:w="3402"/>
            <w:vAlign w:val="center"/>
          </w:tcPr>
          <w:p>
            <w:r>
              <w:t>公共模型或核心能力库</w:t>
            </w:r>
          </w:p>
        </w:tc>
        <w:tc>
          <w:tcPr>
            <w:tcW w:type="dxa" w:w="3969"/>
            <w:vAlign w:val="center"/>
          </w:tcPr>
          <w:p>
            <w:r>
              <w:t>由主程序及工具复用</w:t>
            </w:r>
          </w:p>
        </w:tc>
      </w:tr>
      <w:tr>
        <w:tc>
          <w:tcPr>
            <w:tcW w:type="dxa" w:w="1757"/>
            <w:vAlign w:val="center"/>
          </w:tcPr>
          <w:p>
            <w:r>
              <w:t>PlcCommunication</w:t>
            </w:r>
          </w:p>
        </w:tc>
        <w:tc>
          <w:tcPr>
            <w:tcW w:type="dxa" w:w="3402"/>
            <w:vAlign w:val="center"/>
          </w:tcPr>
          <w:p>
            <w:r>
              <w:t>PLC 通讯配置与读写封装</w:t>
            </w:r>
          </w:p>
        </w:tc>
        <w:tc>
          <w:tcPr>
            <w:tcW w:type="dxa" w:w="3969"/>
            <w:vAlign w:val="center"/>
          </w:tcPr>
          <w:p>
            <w:r>
              <w:t>现场 PLC 类型、地址和网络参数</w:t>
            </w:r>
          </w:p>
        </w:tc>
      </w:tr>
      <w:tr>
        <w:tc>
          <w:tcPr>
            <w:tcW w:type="dxa" w:w="1757"/>
            <w:vAlign w:val="center"/>
          </w:tcPr>
          <w:p>
            <w:r>
              <w:t>BydMesTool</w:t>
            </w:r>
          </w:p>
        </w:tc>
        <w:tc>
          <w:tcPr>
            <w:tcW w:type="dxa" w:w="3402"/>
            <w:vAlign w:val="center"/>
          </w:tcPr>
          <w:p>
            <w:r>
              <w:t>BYD MES 通讯工具库</w:t>
            </w:r>
          </w:p>
        </w:tc>
        <w:tc>
          <w:tcPr>
            <w:tcW w:type="dxa" w:w="3969"/>
            <w:vAlign w:val="center"/>
          </w:tcPr>
          <w:p>
            <w:r>
              <w:t>接口 DLL、报文格式和账户权限</w:t>
            </w:r>
          </w:p>
        </w:tc>
      </w:tr>
      <w:tr>
        <w:tc>
          <w:tcPr>
            <w:tcW w:type="dxa" w:w="1757"/>
            <w:vAlign w:val="center"/>
          </w:tcPr>
          <w:p>
            <w:r>
              <w:t>BulletinBoard</w:t>
            </w:r>
          </w:p>
        </w:tc>
        <w:tc>
          <w:tcPr>
            <w:tcW w:type="dxa" w:w="3402"/>
            <w:vAlign w:val="center"/>
          </w:tcPr>
          <w:p>
            <w:r>
              <w:t>产线公告/看板程序</w:t>
            </w:r>
          </w:p>
        </w:tc>
        <w:tc>
          <w:tcPr>
            <w:tcW w:type="dxa" w:w="3969"/>
            <w:vAlign w:val="center"/>
          </w:tcPr>
          <w:p>
            <w:r>
              <w:t>本地 MDB 数据与展示刷新</w:t>
            </w:r>
          </w:p>
        </w:tc>
      </w:tr>
      <w:tr>
        <w:tc>
          <w:tcPr>
            <w:tcW w:type="dxa" w:w="1757"/>
            <w:vAlign w:val="center"/>
          </w:tcPr>
          <w:p>
            <w:r>
              <w:t>MBullData</w:t>
            </w:r>
          </w:p>
        </w:tc>
        <w:tc>
          <w:tcPr>
            <w:tcW w:type="dxa" w:w="3402"/>
            <w:vAlign w:val="center"/>
          </w:tcPr>
          <w:p>
            <w:r>
              <w:t>公告板数据模型/组件</w:t>
            </w:r>
          </w:p>
        </w:tc>
        <w:tc>
          <w:tcPr>
            <w:tcW w:type="dxa" w:w="3969"/>
            <w:vAlign w:val="center"/>
          </w:tcPr>
          <w:p>
            <w:r>
              <w:t>与 BulletinBoard 配套</w:t>
            </w:r>
          </w:p>
        </w:tc>
      </w:tr>
      <w:tr>
        <w:tc>
          <w:tcPr>
            <w:tcW w:type="dxa" w:w="1757"/>
            <w:vAlign w:val="center"/>
          </w:tcPr>
          <w:p>
            <w:r>
              <w:t>Save2MdbTool</w:t>
            </w:r>
          </w:p>
        </w:tc>
        <w:tc>
          <w:tcPr>
            <w:tcW w:type="dxa" w:w="3402"/>
            <w:vAlign w:val="center"/>
          </w:tcPr>
          <w:p>
            <w:r>
              <w:t>生产数据保存到 MDB 的工具</w:t>
            </w:r>
          </w:p>
        </w:tc>
        <w:tc>
          <w:tcPr>
            <w:tcW w:type="dxa" w:w="3969"/>
            <w:vAlign w:val="center"/>
          </w:tcPr>
          <w:p>
            <w:r>
              <w:t>本地追溯文件路径和权限</w:t>
            </w:r>
          </w:p>
        </w:tc>
      </w:tr>
      <w:tr>
        <w:tc>
          <w:tcPr>
            <w:tcW w:type="dxa" w:w="1757"/>
            <w:vAlign w:val="center"/>
          </w:tcPr>
          <w:p>
            <w:r>
              <w:t>UpdateBYDServer</w:t>
            </w:r>
          </w:p>
        </w:tc>
        <w:tc>
          <w:tcPr>
            <w:tcW w:type="dxa" w:w="3402"/>
            <w:vAlign w:val="center"/>
          </w:tcPr>
          <w:p>
            <w:r>
              <w:t>客户端升级服务</w:t>
            </w:r>
          </w:p>
        </w:tc>
        <w:tc>
          <w:tcPr>
            <w:tcW w:type="dxa" w:w="3969"/>
            <w:vAlign w:val="center"/>
          </w:tcPr>
          <w:p>
            <w:r>
              <w:t>发布地址、版本策略、服务权限</w:t>
            </w:r>
          </w:p>
        </w:tc>
      </w:tr>
      <w:tr>
        <w:tc>
          <w:tcPr>
            <w:tcW w:type="dxa" w:w="1757"/>
            <w:vAlign w:val="center"/>
          </w:tcPr>
          <w:p>
            <w:r>
              <w:t>ToolSample</w:t>
            </w:r>
          </w:p>
        </w:tc>
        <w:tc>
          <w:tcPr>
            <w:tcW w:type="dxa" w:w="3402"/>
            <w:vAlign w:val="center"/>
          </w:tcPr>
          <w:p>
            <w:r>
              <w:t>工具库调用示例</w:t>
            </w:r>
          </w:p>
        </w:tc>
        <w:tc>
          <w:tcPr>
            <w:tcW w:type="dxa" w:w="3969"/>
            <w:vAlign w:val="center"/>
          </w:tcPr>
          <w:p>
            <w:r>
              <w:t>用于验证集成方式，不是生产入口</w:t>
            </w:r>
          </w:p>
        </w:tc>
      </w:tr>
    </w:tbl>
    <w:p/>
    <w:p>
      <w:pPr>
        <w:pStyle w:val="Heading1"/>
      </w:pPr>
      <w:r>
        <w:t>3. 核心业务链路</w:t>
      </w:r>
    </w:p>
    <w:p>
      <w:pPr>
        <w:pStyle w:val="Heading2"/>
      </w:pPr>
      <w:r>
        <w:t>3.1 启动与初始化</w:t>
      </w:r>
    </w:p>
    <w:p>
      <w:pPr>
        <w:pStyle w:val="ListBullet"/>
      </w:pPr>
      <w:r>
        <w:t>Program.Main 启动 WinForms，加载主界面及本地配置。</w:t>
      </w:r>
    </w:p>
    <w:p>
      <w:pPr>
        <w:pStyle w:val="ListBullet"/>
      </w:pPr>
      <w:r>
        <w:t>初始化语言、数据库、设备信息、PLC、MES、打印机和后台循环任务。</w:t>
      </w:r>
    </w:p>
    <w:p>
      <w:pPr>
        <w:pStyle w:val="ListBullet"/>
      </w:pPr>
      <w:r>
        <w:t>AutoLaunch 负责 Windows 自动启动相关能力；登录模式切换由 FormChangeLoginMode 管理。</w:t>
      </w:r>
    </w:p>
    <w:p>
      <w:pPr>
        <w:pStyle w:val="ListBullet"/>
      </w:pPr>
      <w:r>
        <w:t>启动异常优先检查 App.config、INI、本地 MDB、日志目录、DLL 位数和文件夹写权限。</w:t>
      </w:r>
    </w:p>
    <w:p>
      <w:pPr>
        <w:pStyle w:val="Heading2"/>
      </w:pPr>
      <w:r>
        <w:t>3.2 生产闭环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649"/>
            <w:shd w:fill="1F4E78"/>
            <w:vAlign w:val="center"/>
          </w:tcPr>
          <w:p>
            <w:r>
              <w:rPr>
                <w:b/>
                <w:color w:val="FFFFFF"/>
              </w:rPr>
              <w:t>主要动作</w:t>
            </w:r>
          </w:p>
        </w:tc>
        <w:tc>
          <w:tcPr>
            <w:tcW w:type="dxa" w:w="3118"/>
            <w:shd w:fill="1F4E78"/>
            <w:vAlign w:val="center"/>
          </w:tcPr>
          <w:p>
            <w:r>
              <w:rPr>
                <w:b/>
                <w:color w:val="FFFFFF"/>
              </w:rPr>
              <w:t>失败处置</w:t>
            </w:r>
          </w:p>
        </w:tc>
      </w:tr>
      <w:tr>
        <w:tc>
          <w:tcPr>
            <w:tcW w:type="dxa" w:w="1417"/>
            <w:vAlign w:val="center"/>
          </w:tcPr>
          <w:p>
            <w:r>
              <w:t>1. 工单/配方</w:t>
            </w:r>
          </w:p>
        </w:tc>
        <w:tc>
          <w:tcPr>
            <w:tcW w:type="dxa" w:w="4649"/>
            <w:vAlign w:val="center"/>
          </w:tcPr>
          <w:p>
            <w:r>
              <w:t>选择 RecipeEntity，加载产品和测试参数</w:t>
            </w:r>
          </w:p>
        </w:tc>
        <w:tc>
          <w:tcPr>
            <w:tcW w:type="dxa" w:w="3118"/>
            <w:vAlign w:val="center"/>
          </w:tcPr>
          <w:p>
            <w:r>
              <w:t>检查配方表、RecipeManage 和语言记录</w:t>
            </w:r>
          </w:p>
        </w:tc>
      </w:tr>
      <w:tr>
        <w:tc>
          <w:tcPr>
            <w:tcW w:type="dxa" w:w="1417"/>
            <w:vAlign w:val="center"/>
          </w:tcPr>
          <w:p>
            <w:r>
              <w:t>2. PLC 触发</w:t>
            </w:r>
          </w:p>
        </w:tc>
        <w:tc>
          <w:tcPr>
            <w:tcW w:type="dxa" w:w="4649"/>
            <w:vAlign w:val="center"/>
          </w:tcPr>
          <w:p>
            <w:r>
              <w:t>轮询/接收开始位与条码地址</w:t>
            </w:r>
          </w:p>
        </w:tc>
        <w:tc>
          <w:tcPr>
            <w:tcW w:type="dxa" w:w="3118"/>
            <w:vAlign w:val="center"/>
          </w:tcPr>
          <w:p>
            <w:r>
              <w:t>检查 PLC 类型、IP、寄存器和通讯 DLL</w:t>
            </w:r>
          </w:p>
        </w:tc>
      </w:tr>
      <w:tr>
        <w:tc>
          <w:tcPr>
            <w:tcW w:type="dxa" w:w="1417"/>
            <w:vAlign w:val="center"/>
          </w:tcPr>
          <w:p>
            <w:r>
              <w:t>3. 条码验证</w:t>
            </w:r>
          </w:p>
        </w:tc>
        <w:tc>
          <w:tcPr>
            <w:tcW w:type="dxa" w:w="4649"/>
            <w:vAlign w:val="center"/>
          </w:tcPr>
          <w:p>
            <w:r>
              <w:t>本地规则及 MES 验证，维护成功/上传状态</w:t>
            </w:r>
          </w:p>
        </w:tc>
        <w:tc>
          <w:tcPr>
            <w:tcW w:type="dxa" w:w="3118"/>
            <w:vAlign w:val="center"/>
          </w:tcPr>
          <w:p>
            <w:r>
              <w:t>核对 BarcodeVerification 与 MES 原始报文</w:t>
            </w:r>
          </w:p>
        </w:tc>
      </w:tr>
      <w:tr>
        <w:tc>
          <w:tcPr>
            <w:tcW w:type="dxa" w:w="1417"/>
            <w:vAlign w:val="center"/>
          </w:tcPr>
          <w:p>
            <w:r>
              <w:t>4. 治具验证</w:t>
            </w:r>
          </w:p>
        </w:tc>
        <w:tc>
          <w:tcPr>
            <w:tcW w:type="dxa" w:w="4649"/>
            <w:vAlign w:val="center"/>
          </w:tcPr>
          <w:p>
            <w:r>
              <w:t>FixtureValidationManager 校验治具和产品匹配</w:t>
            </w:r>
          </w:p>
        </w:tc>
        <w:tc>
          <w:tcPr>
            <w:tcW w:type="dxa" w:w="3118"/>
            <w:vAlign w:val="center"/>
          </w:tcPr>
          <w:p>
            <w:r>
              <w:t>确认分隔规则、缓存与现场治具编码</w:t>
            </w:r>
          </w:p>
        </w:tc>
      </w:tr>
      <w:tr>
        <w:tc>
          <w:tcPr>
            <w:tcW w:type="dxa" w:w="1417"/>
            <w:vAlign w:val="center"/>
          </w:tcPr>
          <w:p>
            <w:r>
              <w:t>5. 生产采集</w:t>
            </w:r>
          </w:p>
        </w:tc>
        <w:tc>
          <w:tcPr>
            <w:tcW w:type="dxa" w:w="4649"/>
            <w:vAlign w:val="center"/>
          </w:tcPr>
          <w:p>
            <w:r>
              <w:t>读取测试项并组装 TestItemData</w:t>
            </w:r>
          </w:p>
        </w:tc>
        <w:tc>
          <w:tcPr>
            <w:tcW w:type="dxa" w:w="3118"/>
            <w:vAlign w:val="center"/>
          </w:tcPr>
          <w:p>
            <w:r>
              <w:t>检查 PLC 地址、数值范围和转换逻辑</w:t>
            </w:r>
          </w:p>
        </w:tc>
      </w:tr>
      <w:tr>
        <w:tc>
          <w:tcPr>
            <w:tcW w:type="dxa" w:w="1417"/>
            <w:vAlign w:val="center"/>
          </w:tcPr>
          <w:p>
            <w:r>
              <w:t>6. MES 上传</w:t>
            </w:r>
          </w:p>
        </w:tc>
        <w:tc>
          <w:tcPr>
            <w:tcW w:type="dxa" w:w="4649"/>
            <w:vAlign w:val="center"/>
          </w:tcPr>
          <w:p>
            <w:r>
              <w:t>调用 BYD MES 接口并解析响应</w:t>
            </w:r>
          </w:p>
        </w:tc>
        <w:tc>
          <w:tcPr>
            <w:tcW w:type="dxa" w:w="3118"/>
            <w:vAlign w:val="center"/>
          </w:tcPr>
          <w:p>
            <w:r>
              <w:t>保留请求/响应日志，避免重复上传</w:t>
            </w:r>
          </w:p>
        </w:tc>
      </w:tr>
      <w:tr>
        <w:tc>
          <w:tcPr>
            <w:tcW w:type="dxa" w:w="1417"/>
            <w:vAlign w:val="center"/>
          </w:tcPr>
          <w:p>
            <w:r>
              <w:t>7. 打印/归档</w:t>
            </w:r>
          </w:p>
        </w:tc>
        <w:tc>
          <w:tcPr>
            <w:tcW w:type="dxa" w:w="4649"/>
            <w:vAlign w:val="center"/>
          </w:tcPr>
          <w:p>
            <w:r>
              <w:t>BarTender 打印，本地 MDB 保存追溯</w:t>
            </w:r>
          </w:p>
        </w:tc>
        <w:tc>
          <w:tcPr>
            <w:tcW w:type="dxa" w:w="3118"/>
            <w:vAlign w:val="center"/>
          </w:tcPr>
          <w:p>
            <w:r>
              <w:t>检查模板、打印机、BarTender COM 与磁盘权限</w:t>
            </w:r>
          </w:p>
        </w:tc>
      </w:tr>
    </w:tbl>
    <w:p/>
    <w:p>
      <w:pPr>
        <w:pStyle w:val="Heading1"/>
      </w:pPr>
      <w:r>
        <w:t>4. 当前工作区主要变更</w:t>
      </w:r>
    </w:p>
    <w:p>
      <w:pPr>
        <w:pStyle w:val="ListBullet"/>
      </w:pPr>
      <w:r>
        <w:t>以 RecipeEntity、RecipeManage、RecipeDataGridView 替换旧 Codes 模型和管理组件，统一配方概念。</w:t>
      </w:r>
    </w:p>
    <w:p>
      <w:pPr>
        <w:pStyle w:val="ListBullet"/>
      </w:pPr>
      <w:r>
        <w:t>新增 FixtureValidationManager、FixtureProductValidator 和 TestItemData，补充治具与产品匹配校验。</w:t>
      </w:r>
    </w:p>
    <w:p>
      <w:pPr>
        <w:pStyle w:val="ListBullet"/>
      </w:pPr>
      <w:r>
        <w:t>新增 FormChangeLoginMode，实现运行时登录模式切换。</w:t>
      </w:r>
    </w:p>
    <w:p>
      <w:pPr>
        <w:pStyle w:val="ListBullet"/>
      </w:pPr>
      <w:r>
        <w:t>新增 AutoLaunch、Repository&lt;T&gt;、PascalCaseConverter、SplitContainerExtensions 等通用能力。</w:t>
      </w:r>
    </w:p>
    <w:p>
      <w:pPr>
        <w:pStyle w:val="ListBullet"/>
      </w:pPr>
      <w:r>
        <w:t>新增/完善中、英、泰语言资源，并加入 FontAutoResizer 改善不同文本长度下的界面布局。</w:t>
      </w:r>
    </w:p>
    <w:p>
      <w:pPr>
        <w:pStyle w:val="ListBullet"/>
      </w:pPr>
      <w:r>
        <w:t>继续重构 Form1 的异步 MES/PLC/扫码流程，降低 UI 阻塞和重复验证/上传风险。</w:t>
      </w:r>
    </w:p>
    <w:p>
      <w:pPr>
        <w:pStyle w:val="ListBullet"/>
      </w:pPr>
      <w:r>
        <w:t>扩展 BulletinBoard 的数据访问与界面逻辑，并补充 PlcCommunication 多语言资源。</w:t>
      </w:r>
    </w:p>
    <w:p>
      <w:pPr>
        <w:pStyle w:val="ListBullet"/>
      </w:pPr>
      <w:r>
        <w:t>加入 Mbslave1.mbs，供 Modbus 从站模拟或现场联调使用。</w:t>
      </w:r>
    </w:p>
    <w:p>
      <w:pPr>
        <w:pStyle w:val="Heading1"/>
      </w:pPr>
      <w:r>
        <w:t>5. 开发环境与构建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6803"/>
            <w:shd w:fill="1F4E78"/>
            <w:vAlign w:val="center"/>
          </w:tcPr>
          <w:p>
            <w:r>
              <w:rPr>
                <w:b/>
                <w:color w:val="FFFFFF"/>
              </w:rPr>
              <w:t>建议/要求</w:t>
            </w:r>
          </w:p>
        </w:tc>
      </w:tr>
      <w:tr>
        <w:tc>
          <w:tcPr>
            <w:tcW w:type="dxa" w:w="2268"/>
            <w:vAlign w:val="center"/>
          </w:tcPr>
          <w:p>
            <w:r>
              <w:t>操作系统</w:t>
            </w:r>
          </w:p>
        </w:tc>
        <w:tc>
          <w:tcPr>
            <w:tcW w:type="dxa" w:w="6803"/>
            <w:vAlign w:val="center"/>
          </w:tcPr>
          <w:p>
            <w:r>
              <w:t>Windows 10/11；需要桌面交互和现场驱动</w:t>
            </w:r>
          </w:p>
        </w:tc>
      </w:tr>
      <w:tr>
        <w:tc>
          <w:tcPr>
            <w:tcW w:type="dxa" w:w="2268"/>
            <w:vAlign w:val="center"/>
          </w:tcPr>
          <w:p>
            <w:r>
              <w:t>IDE</w:t>
            </w:r>
          </w:p>
        </w:tc>
        <w:tc>
          <w:tcPr>
            <w:tcW w:type="dxa" w:w="6803"/>
            <w:vAlign w:val="center"/>
          </w:tcPr>
          <w:p>
            <w:r>
              <w:t>Visual Studio 2022，安装 .NET 桌面开发工作负载</w:t>
            </w:r>
          </w:p>
        </w:tc>
      </w:tr>
      <w:tr>
        <w:tc>
          <w:tcPr>
            <w:tcW w:type="dxa" w:w="2268"/>
            <w:vAlign w:val="center"/>
          </w:tcPr>
          <w:p>
            <w:r>
              <w:t>框架</w:t>
            </w:r>
          </w:p>
        </w:tc>
        <w:tc>
          <w:tcPr>
            <w:tcW w:type="dxa" w:w="6803"/>
            <w:vAlign w:val="center"/>
          </w:tcPr>
          <w:p>
            <w:r>
              <w:t>.NET Framework 4.7.2；主工程部分配置使用 C# 7.3</w:t>
            </w:r>
          </w:p>
        </w:tc>
      </w:tr>
      <w:tr>
        <w:tc>
          <w:tcPr>
            <w:tcW w:type="dxa" w:w="2268"/>
            <w:vAlign w:val="center"/>
          </w:tcPr>
          <w:p>
            <w:r>
              <w:t>包管理</w:t>
            </w:r>
          </w:p>
        </w:tc>
        <w:tc>
          <w:tcPr>
            <w:tcW w:type="dxa" w:w="6803"/>
            <w:vAlign w:val="center"/>
          </w:tcPr>
          <w:p>
            <w:r>
              <w:t>packages.config；首次构建先执行 NuGet Restore</w:t>
            </w:r>
          </w:p>
        </w:tc>
      </w:tr>
      <w:tr>
        <w:tc>
          <w:tcPr>
            <w:tcW w:type="dxa" w:w="2268"/>
            <w:vAlign w:val="center"/>
          </w:tcPr>
          <w:p>
            <w:r>
              <w:t>构建入口</w:t>
            </w:r>
          </w:p>
        </w:tc>
        <w:tc>
          <w:tcPr>
            <w:tcW w:type="dxa" w:w="6803"/>
            <w:vAlign w:val="center"/>
          </w:tcPr>
          <w:p>
            <w:r>
              <w:t>MesDatas.sln；优先验证 Debug|x86，再验证现场实际 Release 配置</w:t>
            </w:r>
          </w:p>
        </w:tc>
      </w:tr>
      <w:tr>
        <w:tc>
          <w:tcPr>
            <w:tcW w:type="dxa" w:w="2268"/>
            <w:vAlign w:val="center"/>
          </w:tcPr>
          <w:p>
            <w:r>
              <w:t>主输出</w:t>
            </w:r>
          </w:p>
        </w:tc>
        <w:tc>
          <w:tcPr>
            <w:tcW w:type="dxa" w:w="6803"/>
            <w:vAlign w:val="center"/>
          </w:tcPr>
          <w:p>
            <w:r>
              <w:t>MesDatas/bin/&lt;Configuration&gt;/bydMes.exe</w:t>
            </w:r>
          </w:p>
        </w:tc>
      </w:tr>
    </w:tbl>
    <w:p/>
    <w:p>
      <w:pPr>
        <w:pStyle w:val="Heading3"/>
      </w:pPr>
      <w:r>
        <w:t>建议构建步骤：</w:t>
      </w:r>
    </w:p>
    <w:p>
      <w:pPr>
        <w:pStyle w:val="ListBullet"/>
      </w:pPr>
      <w:r>
        <w:t>克隆仓库并确认 Git LFS/大文件（如有）完整。</w:t>
      </w:r>
    </w:p>
    <w:p>
      <w:pPr>
        <w:pStyle w:val="ListBullet"/>
      </w:pPr>
      <w:r>
        <w:t>使用 Visual Studio 还原 NuGet 包，检查 packages 目录。</w:t>
      </w:r>
    </w:p>
    <w:p>
      <w:pPr>
        <w:pStyle w:val="ListBullet"/>
      </w:pPr>
      <w:r>
        <w:t>核对 MesDatas/Dll、bin/Debug 中的厂商 DLL，以及 BarTender、RFID、PLC 驱动。</w:t>
      </w:r>
    </w:p>
    <w:p>
      <w:pPr>
        <w:pStyle w:val="ListBullet"/>
      </w:pPr>
      <w:r>
        <w:t>将工程中的历史绝对 HintPath 改为当前机器可解析路径，或把依赖整理到仓库内统一目录后再构建。</w:t>
      </w:r>
    </w:p>
    <w:p>
      <w:pPr>
        <w:pStyle w:val="ListBullet"/>
      </w:pPr>
      <w:r>
        <w:t>构建 MesDatas.sln，先解决位数和 COM 引用问题，再连接真实设备。</w:t>
      </w:r>
    </w:p>
    <w:p>
      <w:pPr>
        <w:pStyle w:val="Heading1"/>
      </w:pPr>
      <w:r>
        <w:t>6. 配置、数据与外部依赖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3685"/>
            <w:shd w:fill="1F4E78"/>
            <w:vAlign w:val="center"/>
          </w:tcPr>
          <w:p>
            <w:r>
              <w:rPr>
                <w:b/>
                <w:color w:val="FFFFFF"/>
              </w:rPr>
              <w:t>位置/组件</w:t>
            </w:r>
          </w:p>
        </w:tc>
        <w:tc>
          <w:tcPr>
            <w:tcW w:type="dxa" w:w="4082"/>
            <w:shd w:fill="1F4E78"/>
            <w:vAlign w:val="center"/>
          </w:tcPr>
          <w:p>
            <w:r>
              <w:rPr>
                <w:b/>
                <w:color w:val="FFFFFF"/>
              </w:rPr>
              <w:t>注意事项</w:t>
            </w:r>
          </w:p>
        </w:tc>
      </w:tr>
      <w:tr>
        <w:tc>
          <w:tcPr>
            <w:tcW w:type="dxa" w:w="1417"/>
            <w:vAlign w:val="center"/>
          </w:tcPr>
          <w:p>
            <w:r>
              <w:t>应用配置</w:t>
            </w:r>
          </w:p>
        </w:tc>
        <w:tc>
          <w:tcPr>
            <w:tcW w:type="dxa" w:w="3685"/>
            <w:vAlign w:val="center"/>
          </w:tcPr>
          <w:p>
            <w:r>
              <w:t>各工程 App.config、主程序 INI/语言路径</w:t>
            </w:r>
          </w:p>
        </w:tc>
        <w:tc>
          <w:tcPr>
            <w:tcW w:type="dxa" w:w="4082"/>
            <w:vAlign w:val="center"/>
          </w:tcPr>
          <w:p>
            <w:r>
              <w:t>上线前备份；不要把生产密码写入交接文档</w:t>
            </w:r>
          </w:p>
        </w:tc>
      </w:tr>
      <w:tr>
        <w:tc>
          <w:tcPr>
            <w:tcW w:type="dxa" w:w="1417"/>
            <w:vAlign w:val="center"/>
          </w:tcPr>
          <w:p>
            <w:r>
              <w:t>本地数据库</w:t>
            </w:r>
          </w:p>
        </w:tc>
        <w:tc>
          <w:tcPr>
            <w:tcW w:type="dxa" w:w="3685"/>
            <w:vAlign w:val="center"/>
          </w:tcPr>
          <w:p>
            <w:r>
              <w:t>MDB/Access + SqlSugar</w:t>
            </w:r>
          </w:p>
        </w:tc>
        <w:tc>
          <w:tcPr>
            <w:tcW w:type="dxa" w:w="4082"/>
            <w:vAlign w:val="center"/>
          </w:tcPr>
          <w:p>
            <w:r>
              <w:t>确认数据库文件、连接串、目录写权限和备份周期</w:t>
            </w:r>
          </w:p>
        </w:tc>
      </w:tr>
      <w:tr>
        <w:tc>
          <w:tcPr>
            <w:tcW w:type="dxa" w:w="1417"/>
            <w:vAlign w:val="center"/>
          </w:tcPr>
          <w:p>
            <w:r>
              <w:t>MES 接口</w:t>
            </w:r>
          </w:p>
        </w:tc>
        <w:tc>
          <w:tcPr>
            <w:tcW w:type="dxa" w:w="3685"/>
            <w:vAlign w:val="center"/>
          </w:tcPr>
          <w:p>
            <w:r>
              <w:t>BYDMESCOM / BydMesTool / mescom_bgd</w:t>
            </w:r>
          </w:p>
        </w:tc>
        <w:tc>
          <w:tcPr>
            <w:tcW w:type="dxa" w:w="4082"/>
            <w:vAlign w:val="center"/>
          </w:tcPr>
          <w:p>
            <w:r>
              <w:t>依赖现场网络、账户、接口版本及服务器白名单</w:t>
            </w:r>
          </w:p>
        </w:tc>
      </w:tr>
      <w:tr>
        <w:tc>
          <w:tcPr>
            <w:tcW w:type="dxa" w:w="1417"/>
            <w:vAlign w:val="center"/>
          </w:tcPr>
          <w:p>
            <w:r>
              <w:t>PLC</w:t>
            </w:r>
          </w:p>
        </w:tc>
        <w:tc>
          <w:tcPr>
            <w:tcW w:type="dxa" w:w="3685"/>
            <w:vAlign w:val="center"/>
          </w:tcPr>
          <w:p>
            <w:r>
              <w:t>PlcCommunication、HslCommunication、AYNETTEK.HFModbus</w:t>
            </w:r>
          </w:p>
        </w:tc>
        <w:tc>
          <w:tcPr>
            <w:tcW w:type="dxa" w:w="4082"/>
            <w:vAlign w:val="center"/>
          </w:tcPr>
          <w:p>
            <w:r>
              <w:t>型号、协议、地址表必须与 PLC 程序一致</w:t>
            </w:r>
          </w:p>
        </w:tc>
      </w:tr>
      <w:tr>
        <w:tc>
          <w:tcPr>
            <w:tcW w:type="dxa" w:w="1417"/>
            <w:vAlign w:val="center"/>
          </w:tcPr>
          <w:p>
            <w:r>
              <w:t>打印</w:t>
            </w:r>
          </w:p>
        </w:tc>
        <w:tc>
          <w:tcPr>
            <w:tcW w:type="dxa" w:w="3685"/>
            <w:vAlign w:val="center"/>
          </w:tcPr>
          <w:p>
            <w:r>
              <w:t>BarTender COM + 标签模板 + Windows 打印机</w:t>
            </w:r>
          </w:p>
        </w:tc>
        <w:tc>
          <w:tcPr>
            <w:tcW w:type="dxa" w:w="4082"/>
            <w:vAlign w:val="center"/>
          </w:tcPr>
          <w:p>
            <w:r>
              <w:t>COM 位数、模板路径和默认打印机均会影响运行</w:t>
            </w:r>
          </w:p>
        </w:tc>
      </w:tr>
      <w:tr>
        <w:tc>
          <w:tcPr>
            <w:tcW w:type="dxa" w:w="1417"/>
            <w:vAlign w:val="center"/>
          </w:tcPr>
          <w:p>
            <w:r>
              <w:t>RFID</w:t>
            </w:r>
          </w:p>
        </w:tc>
        <w:tc>
          <w:tcPr>
            <w:tcW w:type="dxa" w:w="3685"/>
            <w:vAlign w:val="center"/>
          </w:tcPr>
          <w:p>
            <w:r>
              <w:t>HFrfid.dll</w:t>
            </w:r>
          </w:p>
        </w:tc>
        <w:tc>
          <w:tcPr>
            <w:tcW w:type="dxa" w:w="4082"/>
            <w:vAlign w:val="center"/>
          </w:tcPr>
          <w:p>
            <w:r>
              <w:t>确认读写器驱动、端口和权限</w:t>
            </w:r>
          </w:p>
        </w:tc>
      </w:tr>
      <w:tr>
        <w:tc>
          <w:tcPr>
            <w:tcW w:type="dxa" w:w="1417"/>
            <w:vAlign w:val="center"/>
          </w:tcPr>
          <w:p>
            <w:r>
              <w:t>日志</w:t>
            </w:r>
          </w:p>
        </w:tc>
        <w:tc>
          <w:tcPr>
            <w:tcW w:type="dxa" w:w="3685"/>
            <w:vAlign w:val="center"/>
          </w:tcPr>
          <w:p>
            <w:r>
              <w:t>NLog.config；历史版本提及 D:\上位机日志</w:t>
            </w:r>
          </w:p>
        </w:tc>
        <w:tc>
          <w:tcPr>
            <w:tcW w:type="dxa" w:w="4082"/>
            <w:vAlign w:val="center"/>
          </w:tcPr>
          <w:p>
            <w:r>
              <w:t>确认目录存在、可写、容量和清理策略</w:t>
            </w:r>
          </w:p>
        </w:tc>
      </w:tr>
      <w:tr>
        <w:tc>
          <w:tcPr>
            <w:tcW w:type="dxa" w:w="1417"/>
            <w:vAlign w:val="center"/>
          </w:tcPr>
          <w:p>
            <w:r>
              <w:t>发布升级</w:t>
            </w:r>
          </w:p>
        </w:tc>
        <w:tc>
          <w:tcPr>
            <w:tcW w:type="dxa" w:w="3685"/>
            <w:vAlign w:val="center"/>
          </w:tcPr>
          <w:p>
            <w:r>
              <w:t>ClickOnce/UpdateBYDServer；工程内含 D:\GeneralSystem\BYD_MES</w:t>
            </w:r>
          </w:p>
        </w:tc>
        <w:tc>
          <w:tcPr>
            <w:tcW w:type="dxa" w:w="4082"/>
            <w:vAlign w:val="center"/>
          </w:tcPr>
          <w:p>
            <w:r>
              <w:t>发布机路径不可直接视为通用配置</w:t>
            </w:r>
          </w:p>
        </w:tc>
      </w:tr>
    </w:tbl>
    <w:p/>
    <w:p>
      <w:pPr>
        <w:pStyle w:val="Heading1"/>
      </w:pPr>
      <w:r>
        <w:t>7. 日常运维与故障排查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4252"/>
            <w:shd w:fill="1F4E78"/>
            <w:vAlign w:val="center"/>
          </w:tcPr>
          <w:p>
            <w:r>
              <w:rPr>
                <w:b/>
                <w:color w:val="FFFFFF"/>
              </w:rPr>
              <w:t>优先检查</w:t>
            </w:r>
          </w:p>
        </w:tc>
        <w:tc>
          <w:tcPr>
            <w:tcW w:type="dxa" w:w="3231"/>
            <w:shd w:fill="1F4E78"/>
            <w:vAlign w:val="center"/>
          </w:tcPr>
          <w:p>
            <w:r>
              <w:rPr>
                <w:b/>
                <w:color w:val="FFFFFF"/>
              </w:rPr>
              <w:t>证据保留</w:t>
            </w:r>
          </w:p>
        </w:tc>
      </w:tr>
      <w:tr>
        <w:tc>
          <w:tcPr>
            <w:tcW w:type="dxa" w:w="1701"/>
            <w:vAlign w:val="center"/>
          </w:tcPr>
          <w:p>
            <w:r>
              <w:t>程序无法启动</w:t>
            </w:r>
          </w:p>
        </w:tc>
        <w:tc>
          <w:tcPr>
            <w:tcW w:type="dxa" w:w="4252"/>
            <w:vAlign w:val="center"/>
          </w:tcPr>
          <w:p>
            <w:r>
              <w:t>.NET 4.7.2、DLL/COM 位数、配置、MDB 权限</w:t>
            </w:r>
          </w:p>
        </w:tc>
        <w:tc>
          <w:tcPr>
            <w:tcW w:type="dxa" w:w="3231"/>
            <w:vAlign w:val="center"/>
          </w:tcPr>
          <w:p>
            <w:r>
              <w:t>Windows 事件、NLog、异常截图</w:t>
            </w:r>
          </w:p>
        </w:tc>
      </w:tr>
      <w:tr>
        <w:tc>
          <w:tcPr>
            <w:tcW w:type="dxa" w:w="1701"/>
            <w:vAlign w:val="center"/>
          </w:tcPr>
          <w:p>
            <w:r>
              <w:t>PLC 不通</w:t>
            </w:r>
          </w:p>
        </w:tc>
        <w:tc>
          <w:tcPr>
            <w:tcW w:type="dxa" w:w="4252"/>
            <w:vAlign w:val="center"/>
          </w:tcPr>
          <w:p>
            <w:r>
              <w:t>IP/端口、协议、PLC 模式、寄存器、网线/防火墙</w:t>
            </w:r>
          </w:p>
        </w:tc>
        <w:tc>
          <w:tcPr>
            <w:tcW w:type="dxa" w:w="3231"/>
            <w:vAlign w:val="center"/>
          </w:tcPr>
          <w:p>
            <w:r>
              <w:t>通讯日志、ping、PLC 监控值</w:t>
            </w:r>
          </w:p>
        </w:tc>
      </w:tr>
      <w:tr>
        <w:tc>
          <w:tcPr>
            <w:tcW w:type="dxa" w:w="1701"/>
            <w:vAlign w:val="center"/>
          </w:tcPr>
          <w:p>
            <w:r>
              <w:t>条码验证失败</w:t>
            </w:r>
          </w:p>
        </w:tc>
        <w:tc>
          <w:tcPr>
            <w:tcW w:type="dxa" w:w="4252"/>
            <w:vAlign w:val="center"/>
          </w:tcPr>
          <w:p>
            <w:r>
              <w:t>条码规则、配方、MES 网络/账户、返回报文</w:t>
            </w:r>
          </w:p>
        </w:tc>
        <w:tc>
          <w:tcPr>
            <w:tcW w:type="dxa" w:w="3231"/>
            <w:vAlign w:val="center"/>
          </w:tcPr>
          <w:p>
            <w:r>
              <w:t>完整条码、请求/响应、时间点</w:t>
            </w:r>
          </w:p>
        </w:tc>
      </w:tr>
      <w:tr>
        <w:tc>
          <w:tcPr>
            <w:tcW w:type="dxa" w:w="1701"/>
            <w:vAlign w:val="center"/>
          </w:tcPr>
          <w:p>
            <w:r>
              <w:t>重复上传</w:t>
            </w:r>
          </w:p>
        </w:tc>
        <w:tc>
          <w:tcPr>
            <w:tcW w:type="dxa" w:w="4252"/>
            <w:vAlign w:val="center"/>
          </w:tcPr>
          <w:p>
            <w:r>
              <w:t>isVerifyOK/保存状态、触发位复位、并发任务</w:t>
            </w:r>
          </w:p>
        </w:tc>
        <w:tc>
          <w:tcPr>
            <w:tcW w:type="dxa" w:w="3231"/>
            <w:vAlign w:val="center"/>
          </w:tcPr>
          <w:p>
            <w:r>
              <w:t>同一条码的完整时间线</w:t>
            </w:r>
          </w:p>
        </w:tc>
      </w:tr>
      <w:tr>
        <w:tc>
          <w:tcPr>
            <w:tcW w:type="dxa" w:w="1701"/>
            <w:vAlign w:val="center"/>
          </w:tcPr>
          <w:p>
            <w:r>
              <w:t>治具不匹配</w:t>
            </w:r>
          </w:p>
        </w:tc>
        <w:tc>
          <w:tcPr>
            <w:tcW w:type="dxa" w:w="4252"/>
            <w:vAlign w:val="center"/>
          </w:tcPr>
          <w:p>
            <w:r>
              <w:t>治具规则、分隔符、产品映射、缓存数据</w:t>
            </w:r>
          </w:p>
        </w:tc>
        <w:tc>
          <w:tcPr>
            <w:tcW w:type="dxa" w:w="3231"/>
            <w:vAlign w:val="center"/>
          </w:tcPr>
          <w:p>
            <w:r>
              <w:t>治具码、产品码、配方 ID</w:t>
            </w:r>
          </w:p>
        </w:tc>
      </w:tr>
      <w:tr>
        <w:tc>
          <w:tcPr>
            <w:tcW w:type="dxa" w:w="1701"/>
            <w:vAlign w:val="center"/>
          </w:tcPr>
          <w:p>
            <w:r>
              <w:t>打印失败</w:t>
            </w:r>
          </w:p>
        </w:tc>
        <w:tc>
          <w:tcPr>
            <w:tcW w:type="dxa" w:w="4252"/>
            <w:vAlign w:val="center"/>
          </w:tcPr>
          <w:p>
            <w:r>
              <w:t>BarTender、模板、打印机、COM 位数和权限</w:t>
            </w:r>
          </w:p>
        </w:tc>
        <w:tc>
          <w:tcPr>
            <w:tcW w:type="dxa" w:w="3231"/>
            <w:vAlign w:val="center"/>
          </w:tcPr>
          <w:p>
            <w:r>
              <w:t>模板版本、打印队列、错误码</w:t>
            </w:r>
          </w:p>
        </w:tc>
      </w:tr>
      <w:tr>
        <w:tc>
          <w:tcPr>
            <w:tcW w:type="dxa" w:w="1701"/>
            <w:vAlign w:val="center"/>
          </w:tcPr>
          <w:p>
            <w:r>
              <w:t>界面文字缺失</w:t>
            </w:r>
          </w:p>
        </w:tc>
        <w:tc>
          <w:tcPr>
            <w:tcW w:type="dxa" w:w="4252"/>
            <w:vAlign w:val="center"/>
          </w:tcPr>
          <w:p>
            <w:r>
              <w:t>当前语言 ID、resx、数据库多语言记录、字体缩放</w:t>
            </w:r>
          </w:p>
        </w:tc>
        <w:tc>
          <w:tcPr>
            <w:tcW w:type="dxa" w:w="3231"/>
            <w:vAlign w:val="center"/>
          </w:tcPr>
          <w:p>
            <w:r>
              <w:t>语言、分辨率、DPI、页面截图</w:t>
            </w:r>
          </w:p>
        </w:tc>
      </w:tr>
      <w:tr>
        <w:tc>
          <w:tcPr>
            <w:tcW w:type="dxa" w:w="1701"/>
            <w:vAlign w:val="center"/>
          </w:tcPr>
          <w:p>
            <w:r>
              <w:t>数据未落库</w:t>
            </w:r>
          </w:p>
        </w:tc>
        <w:tc>
          <w:tcPr>
            <w:tcW w:type="dxa" w:w="4252"/>
            <w:vAlign w:val="center"/>
          </w:tcPr>
          <w:p>
            <w:r>
              <w:t>MDB 路径、磁盘空间、文件锁、SqlSugar 异常</w:t>
            </w:r>
          </w:p>
        </w:tc>
        <w:tc>
          <w:tcPr>
            <w:tcW w:type="dxa" w:w="3231"/>
            <w:vAlign w:val="center"/>
          </w:tcPr>
          <w:p>
            <w:r>
              <w:t>数据库副本、日志、失败记录</w:t>
            </w:r>
          </w:p>
        </w:tc>
      </w:tr>
    </w:tbl>
    <w:p/>
    <w:p>
      <w:pPr>
        <w:pStyle w:val="Heading1"/>
      </w:pPr>
      <w:r>
        <w:t>8. 发布与回滚</w:t>
      </w:r>
    </w:p>
    <w:p>
      <w:pPr>
        <w:pStyle w:val="ListBullet"/>
      </w:pPr>
      <w:r>
        <w:t>发布前：备份程序目录、配置、MDB、标签模板和 PLC/MES 参数；记录当前 Git 提交号。</w:t>
      </w:r>
    </w:p>
    <w:p>
      <w:pPr>
        <w:pStyle w:val="ListBullet"/>
      </w:pPr>
      <w:r>
        <w:t>离线验证：完成启动、语言切换、配方 CRUD、登录模式、模拟 PLC、条码失败/成功和打印测试。</w:t>
      </w:r>
    </w:p>
    <w:p>
      <w:pPr>
        <w:pStyle w:val="ListBullet"/>
      </w:pPr>
      <w:r>
        <w:t>现场验证：安排停线窗口，依次联调 PLC、扫码、治具、MES 上传和打印；使用测试工单/测试条码。</w:t>
      </w:r>
    </w:p>
    <w:p>
      <w:pPr>
        <w:pStyle w:val="ListBullet"/>
      </w:pPr>
      <w:r>
        <w:t>回滚：停止客户端，保留故障日志和数据库副本，恢复上一个完整发布包及对应配置；不要只替换单个 DLL。</w:t>
      </w:r>
    </w:p>
    <w:p>
      <w:pPr>
        <w:pStyle w:val="ListBullet"/>
      </w:pPr>
      <w:r>
        <w:t>回滚后：验证 PLC 触发位已复位，确认没有挂起条码或待上传数据，再恢复生产。</w:t>
      </w:r>
    </w:p>
    <w:p>
      <w:pPr>
        <w:pStyle w:val="Heading1"/>
      </w:pPr>
      <w:r>
        <w:t>9. 已知风险与技术债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shd w:fill="1F4E78"/>
            <w:vAlign w:val="center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4535"/>
            <w:shd w:fill="1F4E78"/>
            <w:vAlign w:val="center"/>
          </w:tcPr>
          <w:p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3515"/>
            <w:shd w:fill="1F4E78"/>
            <w:vAlign w:val="center"/>
          </w:tcPr>
          <w:p>
            <w:r>
              <w:rPr>
                <w:b/>
                <w:color w:val="FFFFFF"/>
              </w:rPr>
              <w:t>建议</w:t>
            </w:r>
          </w:p>
        </w:tc>
      </w:tr>
      <w:tr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4535"/>
            <w:vAlign w:val="center"/>
          </w:tcPr>
          <w:p>
            <w:r>
              <w:t>Form1.cs 承担 UI、通讯、状态机和业务规则，修改回归面大</w:t>
            </w:r>
          </w:p>
        </w:tc>
        <w:tc>
          <w:tcPr>
            <w:tcW w:type="dxa" w:w="3515"/>
            <w:vAlign w:val="center"/>
          </w:tcPr>
          <w:p>
            <w:r>
              <w:t>新增功能优先下沉到 Service；每次只做小范围可验证修改</w:t>
            </w:r>
          </w:p>
        </w:tc>
      </w:tr>
      <w:tr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4535"/>
            <w:vAlign w:val="center"/>
          </w:tcPr>
          <w:p>
            <w:r>
              <w:t>存在绝对 HintPath、bin/Debug DLL 和第三方 COM 依赖</w:t>
            </w:r>
          </w:p>
        </w:tc>
        <w:tc>
          <w:tcPr>
            <w:tcW w:type="dxa" w:w="3515"/>
            <w:vAlign w:val="center"/>
          </w:tcPr>
          <w:p>
            <w:r>
              <w:t>建立受控的 dependencies 目录及依赖清单/版本校验</w:t>
            </w:r>
          </w:p>
        </w:tc>
      </w:tr>
      <w:tr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4535"/>
            <w:vAlign w:val="center"/>
          </w:tcPr>
          <w:p>
            <w:r>
              <w:t>现场设备和 MES 环境难以自动化覆盖</w:t>
            </w:r>
          </w:p>
        </w:tc>
        <w:tc>
          <w:tcPr>
            <w:tcW w:type="dxa" w:w="3515"/>
            <w:vAlign w:val="center"/>
          </w:tcPr>
          <w:p>
            <w:r>
              <w:t>维护可重复的 Modbus 模拟脚本、测试条码和验收清单</w:t>
            </w:r>
          </w:p>
        </w:tc>
      </w:tr>
      <w:tr>
        <w:tc>
          <w:tcPr>
            <w:tcW w:type="dxa" w:w="1134"/>
            <w:vAlign w:val="center"/>
          </w:tcPr>
          <w:p>
            <w:r>
              <w:t>中</w:t>
            </w:r>
          </w:p>
        </w:tc>
        <w:tc>
          <w:tcPr>
            <w:tcW w:type="dxa" w:w="4535"/>
            <w:vAlign w:val="center"/>
          </w:tcPr>
          <w:p>
            <w:r>
              <w:t>Debug x86、Release AnyCPU 等平台配置不一致</w:t>
            </w:r>
          </w:p>
        </w:tc>
        <w:tc>
          <w:tcPr>
            <w:tcW w:type="dxa" w:w="3515"/>
            <w:vAlign w:val="center"/>
          </w:tcPr>
          <w:p>
            <w:r>
              <w:t>明确生产位数并统一解决方案配置</w:t>
            </w:r>
          </w:p>
        </w:tc>
      </w:tr>
      <w:tr>
        <w:tc>
          <w:tcPr>
            <w:tcW w:type="dxa" w:w="1134"/>
            <w:vAlign w:val="center"/>
          </w:tcPr>
          <w:p>
            <w:r>
              <w:t>中</w:t>
            </w:r>
          </w:p>
        </w:tc>
        <w:tc>
          <w:tcPr>
            <w:tcW w:type="dxa" w:w="4535"/>
            <w:vAlign w:val="center"/>
          </w:tcPr>
          <w:p>
            <w:r>
              <w:t>packages.config 与旧式 csproj 增加恢复成本</w:t>
            </w:r>
          </w:p>
        </w:tc>
        <w:tc>
          <w:tcPr>
            <w:tcW w:type="dxa" w:w="3515"/>
            <w:vAlign w:val="center"/>
          </w:tcPr>
          <w:p>
            <w:r>
              <w:t>短期固定开发环境；升级前先做兼容性评估</w:t>
            </w:r>
          </w:p>
        </w:tc>
      </w:tr>
      <w:tr>
        <w:tc>
          <w:tcPr>
            <w:tcW w:type="dxa" w:w="1134"/>
            <w:vAlign w:val="center"/>
          </w:tcPr>
          <w:p>
            <w:r>
              <w:t>中</w:t>
            </w:r>
          </w:p>
        </w:tc>
        <w:tc>
          <w:tcPr>
            <w:tcW w:type="dxa" w:w="4535"/>
            <w:vAlign w:val="center"/>
          </w:tcPr>
          <w:p>
            <w:r>
              <w:t>多语言同时来自 resx 与数据库，容易漏翻译</w:t>
            </w:r>
          </w:p>
        </w:tc>
        <w:tc>
          <w:tcPr>
            <w:tcW w:type="dxa" w:w="3515"/>
            <w:vAlign w:val="center"/>
          </w:tcPr>
          <w:p>
            <w:r>
              <w:t>新增界面时同步三语资源并逐页检查</w:t>
            </w:r>
          </w:p>
        </w:tc>
      </w:tr>
      <w:tr>
        <w:tc>
          <w:tcPr>
            <w:tcW w:type="dxa" w:w="1134"/>
            <w:vAlign w:val="center"/>
          </w:tcPr>
          <w:p>
            <w:r>
              <w:t>中</w:t>
            </w:r>
          </w:p>
        </w:tc>
        <w:tc>
          <w:tcPr>
            <w:tcW w:type="dxa" w:w="4535"/>
            <w:vAlign w:val="center"/>
          </w:tcPr>
          <w:p>
            <w:r>
              <w:t>配置和数据库可能包含现场敏感信息</w:t>
            </w:r>
          </w:p>
        </w:tc>
        <w:tc>
          <w:tcPr>
            <w:tcW w:type="dxa" w:w="3515"/>
            <w:vAlign w:val="center"/>
          </w:tcPr>
          <w:p>
            <w:r>
              <w:t>使用脱敏模板；生产凭据通过受控渠道交接</w:t>
            </w:r>
          </w:p>
        </w:tc>
      </w:tr>
    </w:tbl>
    <w:p/>
    <w:p>
      <w:pPr>
        <w:pStyle w:val="Heading1"/>
      </w:pPr>
      <w:r>
        <w:t>10. 接手人首周清单</w:t>
      </w:r>
    </w:p>
    <w:p>
      <w:pPr>
        <w:pStyle w:val="ListBullet"/>
      </w:pPr>
      <w:r>
        <w:t>取得 GitHub 仓库权限、MES 测试账户、PLC 地址表、标签模板和现场网络说明。</w:t>
      </w:r>
    </w:p>
    <w:p>
      <w:pPr>
        <w:pStyle w:val="ListBullet"/>
      </w:pPr>
      <w:r>
        <w:t>在隔离环境完成一次干净克隆、NuGet 还原和全解决方案构建。</w:t>
      </w:r>
    </w:p>
    <w:p>
      <w:pPr>
        <w:pStyle w:val="ListBullet"/>
      </w:pPr>
      <w:r>
        <w:t>确认生产使用的分支、构建配置、版本号、发布目录和回滚包。</w:t>
      </w:r>
    </w:p>
    <w:p>
      <w:pPr>
        <w:pStyle w:val="ListBullet"/>
      </w:pPr>
      <w:r>
        <w:t>跟线跑通一条完整链路：配方 -&gt; PLC -&gt; 扫码 -&gt; 治具 -&gt; MES -&gt; 打印 -&gt; 本地追溯。</w:t>
      </w:r>
    </w:p>
    <w:p>
      <w:pPr>
        <w:pStyle w:val="ListBullet"/>
      </w:pPr>
      <w:r>
        <w:t>核对日志位置、MDB 备份、磁盘监控、升级服务和故障联系人。</w:t>
      </w:r>
    </w:p>
    <w:p>
      <w:pPr>
        <w:pStyle w:val="ListBullet"/>
      </w:pPr>
      <w:r>
        <w:t>将现场特有参数录入受控配置台账，不在 Git 或普通聊天中传播生产凭据。</w:t>
      </w:r>
    </w:p>
    <w:p>
      <w:pPr>
        <w:pStyle w:val="Heading1"/>
      </w:pPr>
      <w:r>
        <w:t>11. 交接验收记录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685"/>
            <w:shd w:fill="1F4E78"/>
            <w:vAlign w:val="center"/>
          </w:tcPr>
          <w:p>
            <w:r>
              <w:rPr>
                <w:b/>
                <w:color w:val="FFFFFF"/>
              </w:rPr>
              <w:t>验收项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负责人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098"/>
            <w:shd w:fill="1F4E78"/>
            <w:vAlign w:val="center"/>
          </w:tcPr>
          <w:p>
            <w:r>
              <w:rPr>
                <w:b/>
                <w:color w:val="FFFFFF"/>
              </w:rPr>
              <w:t>结论/备注</w:t>
            </w:r>
          </w:p>
        </w:tc>
      </w:tr>
      <w:tr>
        <w:tc>
          <w:tcPr>
            <w:tcW w:type="dxa" w:w="3685"/>
            <w:vAlign w:val="center"/>
          </w:tcPr>
          <w:p>
            <w:r>
              <w:t>开发环境可构建</w:t>
            </w:r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2098"/>
            <w:vAlign w:val="center"/>
          </w:tcPr>
          <w:p>
            <w:r/>
          </w:p>
        </w:tc>
      </w:tr>
      <w:tr>
        <w:tc>
          <w:tcPr>
            <w:tcW w:type="dxa" w:w="3685"/>
            <w:vAlign w:val="center"/>
          </w:tcPr>
          <w:p>
            <w:r>
              <w:t>模拟 PLC 联调通过</w:t>
            </w:r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2098"/>
            <w:vAlign w:val="center"/>
          </w:tcPr>
          <w:p>
            <w:r/>
          </w:p>
        </w:tc>
      </w:tr>
      <w:tr>
        <w:tc>
          <w:tcPr>
            <w:tcW w:type="dxa" w:w="3685"/>
            <w:vAlign w:val="center"/>
          </w:tcPr>
          <w:p>
            <w:r>
              <w:t>MES 测试环境联调通过</w:t>
            </w:r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2098"/>
            <w:vAlign w:val="center"/>
          </w:tcPr>
          <w:p>
            <w:r/>
          </w:p>
        </w:tc>
      </w:tr>
      <w:tr>
        <w:tc>
          <w:tcPr>
            <w:tcW w:type="dxa" w:w="3685"/>
            <w:vAlign w:val="center"/>
          </w:tcPr>
          <w:p>
            <w:r>
              <w:t>打印与模板验证通过</w:t>
            </w:r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2098"/>
            <w:vAlign w:val="center"/>
          </w:tcPr>
          <w:p>
            <w:r/>
          </w:p>
        </w:tc>
      </w:tr>
      <w:tr>
        <w:tc>
          <w:tcPr>
            <w:tcW w:type="dxa" w:w="3685"/>
            <w:vAlign w:val="center"/>
          </w:tcPr>
          <w:p>
            <w:r>
              <w:t>配置/MDB/发布包已备份</w:t>
            </w:r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2098"/>
            <w:vAlign w:val="center"/>
          </w:tcPr>
          <w:p>
            <w:r/>
          </w:p>
        </w:tc>
      </w:tr>
      <w:tr>
        <w:tc>
          <w:tcPr>
            <w:tcW w:type="dxa" w:w="3685"/>
            <w:vAlign w:val="center"/>
          </w:tcPr>
          <w:p>
            <w:r>
              <w:t>生产回滚演练完成</w:t>
            </w:r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2098"/>
            <w:vAlign w:val="center"/>
          </w:tcPr>
          <w:p>
            <w:r/>
          </w:p>
        </w:tc>
      </w:tr>
    </w:tbl>
    <w:p/>
    <w:p>
      <w:r>
        <w:t>说明：本文档依据 2026-07-27 的仓库结构及 GeneralSystem 工作区生成。生产账号、密码、真实 IP、数据库连接串和客户数据未写入本文档，应通过公司授权的保密渠道另行交接。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BYD-MES 项目内部交接文档 | 公司内部使用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