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卫星通信应急车损坏评估检测报告</w:t>
      </w:r>
    </w:p>
    <w:p>
      <w:pPr>
        <w:ind w:firstLine="0"/>
        <w:jc w:val="center"/>
      </w:pPr>
      <w:r>
        <w:rPr>
          <w:b/>
        </w:rPr>
        <w:t>（检测对象：云A6J6F2 动中通卫星应急通信车）</w:t>
      </w:r>
    </w:p>
    <w:p>
      <w:pPr>
        <w:ind w:firstLine="0"/>
        <w:jc w:val="center"/>
      </w:pPr>
      <w:r>
        <w:rPr>
          <w:b w:val="0"/>
        </w:rPr>
        <w:t>文件编号：____________    版本号：V____    密级：□公开 □内部 □秘密</w:t>
      </w:r>
    </w:p>
    <w:p/>
    <w:p>
      <w:pPr>
        <w:pStyle w:val="Heading1"/>
      </w:pPr>
      <w:r>
        <w:rPr>
          <w:b/>
        </w:rPr>
        <w:t>1 报告基本信息</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2381"/>
            <w:vAlign w:val="center"/>
            <w:shd w:val="clear" w:color="auto" w:fill="F2F2F2"/>
            <w:cantSplit/>
          </w:tcPr>
          <w:p>
            <w:pPr>
              <w:spacing w:line="240" w:lineRule="auto"/>
              <w:ind w:firstLine="0"/>
              <w:jc w:val="center"/>
            </w:pPr>
            <w:r/>
            <w:r>
              <w:rPr>
                <w:b/>
                <w:sz w:val="21"/>
              </w:rPr>
              <w:t>报告编号</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项目名称</w:t>
            </w:r>
          </w:p>
        </w:tc>
        <w:tc>
          <w:tcPr>
            <w:tcW w:type="dxa" w:w="6690"/>
            <w:vAlign w:val="center"/>
            <w:cantSplit/>
          </w:tcPr>
          <w:p>
            <w:pPr>
              <w:spacing w:line="240" w:lineRule="auto"/>
              <w:ind w:firstLine="0"/>
              <w:jc w:val="left"/>
            </w:pPr>
            <w:r/>
            <w:r>
              <w:rPr>
                <w:b w:val="0"/>
                <w:sz w:val="21"/>
              </w:rPr>
              <w:t>云南移动卫星应急车损坏评估检测</w:t>
            </w:r>
          </w:p>
        </w:tc>
      </w:tr>
      <w:tr>
        <w:trPr>
          <w:cantSplit/>
        </w:trPr>
        <w:tc>
          <w:tcPr>
            <w:tcW w:type="dxa" w:w="2381"/>
            <w:vAlign w:val="center"/>
            <w:shd w:val="clear" w:color="auto" w:fill="F2F2F2"/>
            <w:cantSplit/>
          </w:tcPr>
          <w:p>
            <w:pPr>
              <w:spacing w:line="240" w:lineRule="auto"/>
              <w:ind w:firstLine="0"/>
              <w:jc w:val="center"/>
            </w:pPr>
            <w:r/>
            <w:r>
              <w:rPr>
                <w:b/>
                <w:sz w:val="21"/>
              </w:rPr>
              <w:t>检测对象</w:t>
            </w:r>
          </w:p>
        </w:tc>
        <w:tc>
          <w:tcPr>
            <w:tcW w:type="dxa" w:w="6690"/>
            <w:vAlign w:val="center"/>
            <w:cantSplit/>
          </w:tcPr>
          <w:p>
            <w:pPr>
              <w:spacing w:line="240" w:lineRule="auto"/>
              <w:ind w:firstLine="0"/>
              <w:jc w:val="left"/>
            </w:pPr>
            <w:r/>
            <w:r>
              <w:rPr>
                <w:b w:val="0"/>
                <w:sz w:val="21"/>
              </w:rPr>
              <w:t>云A6J6F2卫星应急车（车载动中通VSAT卫星应急通信车）</w:t>
            </w:r>
          </w:p>
        </w:tc>
      </w:tr>
      <w:tr>
        <w:trPr>
          <w:cantSplit/>
        </w:trPr>
        <w:tc>
          <w:tcPr>
            <w:tcW w:type="dxa" w:w="2381"/>
            <w:vAlign w:val="center"/>
            <w:shd w:val="clear" w:color="auto" w:fill="F2F2F2"/>
            <w:cantSplit/>
          </w:tcPr>
          <w:p>
            <w:pPr>
              <w:spacing w:line="240" w:lineRule="auto"/>
              <w:ind w:firstLine="0"/>
              <w:jc w:val="center"/>
            </w:pPr>
            <w:r/>
            <w:r>
              <w:rPr>
                <w:b/>
                <w:sz w:val="21"/>
              </w:rPr>
              <w:t>检测性质</w:t>
            </w:r>
          </w:p>
        </w:tc>
        <w:tc>
          <w:tcPr>
            <w:tcW w:type="dxa" w:w="6690"/>
            <w:vAlign w:val="center"/>
            <w:cantSplit/>
          </w:tcPr>
          <w:p>
            <w:pPr>
              <w:spacing w:line="240" w:lineRule="auto"/>
              <w:ind w:firstLine="0"/>
              <w:jc w:val="left"/>
            </w:pPr>
            <w:r/>
            <w:r>
              <w:rPr>
                <w:b w:val="0"/>
                <w:sz w:val="21"/>
              </w:rPr>
              <w:t>受冲击损坏初步评估检测</w:t>
            </w:r>
          </w:p>
        </w:tc>
      </w:tr>
      <w:tr>
        <w:trPr>
          <w:cantSplit/>
        </w:trPr>
        <w:tc>
          <w:tcPr>
            <w:tcW w:type="dxa" w:w="2381"/>
            <w:vAlign w:val="center"/>
            <w:shd w:val="clear" w:color="auto" w:fill="F2F2F2"/>
            <w:cantSplit/>
          </w:tcPr>
          <w:p>
            <w:pPr>
              <w:spacing w:line="240" w:lineRule="auto"/>
              <w:ind w:firstLine="0"/>
              <w:jc w:val="center"/>
            </w:pPr>
            <w:r/>
            <w:r>
              <w:rPr>
                <w:b/>
                <w:sz w:val="21"/>
              </w:rPr>
              <w:t>检测地点</w:t>
            </w:r>
          </w:p>
        </w:tc>
        <w:tc>
          <w:tcPr>
            <w:tcW w:type="dxa" w:w="6690"/>
            <w:vAlign w:val="center"/>
            <w:cantSplit/>
          </w:tcPr>
          <w:p>
            <w:pPr>
              <w:spacing w:line="240" w:lineRule="auto"/>
              <w:ind w:firstLine="0"/>
              <w:jc w:val="left"/>
            </w:pPr>
            <w:r/>
            <w:r>
              <w:rPr>
                <w:b w:val="0"/>
                <w:sz w:val="21"/>
              </w:rPr>
              <w:t>云南省____________</w:t>
            </w:r>
          </w:p>
        </w:tc>
      </w:tr>
      <w:tr>
        <w:trPr>
          <w:cantSplit/>
        </w:trPr>
        <w:tc>
          <w:tcPr>
            <w:tcW w:type="dxa" w:w="2381"/>
            <w:vAlign w:val="center"/>
            <w:shd w:val="clear" w:color="auto" w:fill="F2F2F2"/>
            <w:cantSplit/>
          </w:tcPr>
          <w:p>
            <w:pPr>
              <w:spacing w:line="240" w:lineRule="auto"/>
              <w:ind w:firstLine="0"/>
              <w:jc w:val="center"/>
            </w:pPr>
            <w:r/>
            <w:r>
              <w:rPr>
                <w:b/>
                <w:sz w:val="21"/>
              </w:rPr>
              <w:t>检测时间</w:t>
            </w:r>
          </w:p>
        </w:tc>
        <w:tc>
          <w:tcPr>
            <w:tcW w:type="dxa" w:w="6690"/>
            <w:vAlign w:val="center"/>
            <w:cantSplit/>
          </w:tcPr>
          <w:p>
            <w:pPr>
              <w:spacing w:line="240" w:lineRule="auto"/>
              <w:ind w:firstLine="0"/>
              <w:jc w:val="left"/>
            </w:pPr>
            <w:r/>
            <w:r>
              <w:rPr>
                <w:b w:val="0"/>
                <w:sz w:val="21"/>
              </w:rPr>
              <w:t>2026年10月21日</w:t>
            </w:r>
          </w:p>
        </w:tc>
      </w:tr>
      <w:tr>
        <w:trPr>
          <w:cantSplit/>
        </w:trPr>
        <w:tc>
          <w:tcPr>
            <w:tcW w:type="dxa" w:w="2381"/>
            <w:vAlign w:val="center"/>
            <w:shd w:val="clear" w:color="auto" w:fill="F2F2F2"/>
            <w:cantSplit/>
          </w:tcPr>
          <w:p>
            <w:pPr>
              <w:spacing w:line="240" w:lineRule="auto"/>
              <w:ind w:firstLine="0"/>
              <w:jc w:val="center"/>
            </w:pPr>
            <w:r/>
            <w:r>
              <w:rPr>
                <w:b/>
                <w:sz w:val="21"/>
              </w:rPr>
              <w:t>检测单位</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编制人/检测人</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审核人</w:t>
            </w:r>
          </w:p>
        </w:tc>
        <w:tc>
          <w:tcPr>
            <w:tcW w:type="dxa" w:w="6690"/>
            <w:vAlign w:val="center"/>
            <w:cantSplit/>
          </w:tcPr>
          <w:p>
            <w:pPr>
              <w:spacing w:line="240" w:lineRule="auto"/>
              <w:ind w:firstLine="0"/>
              <w:jc w:val="left"/>
            </w:pPr>
            <w:r/>
            <w:r>
              <w:rPr>
                <w:b w:val="0"/>
                <w:sz w:val="21"/>
              </w:rPr>
              <w:t>____________</w:t>
            </w:r>
          </w:p>
        </w:tc>
      </w:tr>
    </w:tbl>
    <w:p>
      <w:pPr>
        <w:pStyle w:val="Heading1"/>
      </w:pPr>
      <w:r>
        <w:rPr>
          <w:b/>
        </w:rPr>
        <w:t>2 检测概述</w:t>
      </w:r>
    </w:p>
    <w:p>
      <w:pPr>
        <w:pStyle w:val="Heading2"/>
      </w:pPr>
      <w:r>
        <w:rPr>
          <w:b/>
        </w:rPr>
        <w:t>2.1 检测目的</w:t>
      </w:r>
    </w:p>
    <w:p>
      <w:r>
        <w:rPr>
          <w:b w:val="0"/>
        </w:rPr>
        <w:t>对云A6J6F2卫星应急车因外力冲击造成的天馈及射频部件损伤情况进行初步评估检测，查明各部件损伤状态，判定是否具备继续使用条件，为后续更换、修复、返厂检测及整机恢复提供依据。</w:t>
      </w:r>
    </w:p>
    <w:p>
      <w:pPr>
        <w:pStyle w:val="Heading2"/>
      </w:pPr>
      <w:r>
        <w:rPr>
          <w:b/>
        </w:rPr>
        <w:t>2.2 检测范围</w:t>
      </w:r>
    </w:p>
    <w:p>
      <w:r>
        <w:rPr>
          <w:b w:val="0"/>
        </w:rPr>
        <w:t>本次检测范围覆盖天线系统、射频链路、机械驱动系统及辅助结构四类部件，共17个检测项。车辆底盘、卫星Modem、供电系统及整车电气部分未列入本次损坏评估范围。</w:t>
      </w:r>
    </w:p>
    <w:p>
      <w:pPr>
        <w:pStyle w:val="Heading2"/>
      </w:pPr>
      <w:r>
        <w:rPr>
          <w:b/>
        </w:rPr>
        <w:t>2.3 检测依据</w:t>
      </w:r>
    </w:p>
    <w:p>
      <w:r>
        <w:rPr>
          <w:b w:val="0"/>
        </w:rPr>
        <w:t>本次检测及评估判定依据下列现行有效标准及规范执行：</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cantSplit/>
          <w:tblHeader/>
        </w:trPr>
        <w:tc>
          <w:tcPr>
            <w:tcW w:type="dxa" w:w="794"/>
            <w:vAlign w:val="center"/>
            <w:shd w:val="clear" w:color="auto" w:fill="D9D9D9"/>
            <w:cantSplit/>
          </w:tcPr>
          <w:p>
            <w:pPr>
              <w:spacing w:line="240" w:lineRule="auto"/>
              <w:ind w:firstLine="0"/>
              <w:jc w:val="center"/>
            </w:pPr>
            <w:r/>
            <w:r>
              <w:rPr>
                <w:b/>
                <w:sz w:val="21"/>
              </w:rPr>
              <w:t>序号</w:t>
            </w:r>
          </w:p>
        </w:tc>
        <w:tc>
          <w:tcPr>
            <w:tcW w:type="dxa" w:w="2041"/>
            <w:vAlign w:val="center"/>
            <w:shd w:val="clear" w:color="auto" w:fill="D9D9D9"/>
            <w:cantSplit/>
          </w:tcPr>
          <w:p>
            <w:pPr>
              <w:spacing w:line="240" w:lineRule="auto"/>
              <w:ind w:firstLine="0"/>
              <w:jc w:val="center"/>
            </w:pPr>
            <w:r/>
            <w:r>
              <w:rPr>
                <w:b/>
                <w:sz w:val="21"/>
              </w:rPr>
              <w:t>标准编号</w:t>
            </w:r>
          </w:p>
        </w:tc>
        <w:tc>
          <w:tcPr>
            <w:tcW w:type="dxa" w:w="4309"/>
            <w:vAlign w:val="center"/>
            <w:shd w:val="clear" w:color="auto" w:fill="D9D9D9"/>
            <w:cantSplit/>
          </w:tcPr>
          <w:p>
            <w:pPr>
              <w:spacing w:line="240" w:lineRule="auto"/>
              <w:ind w:firstLine="0"/>
              <w:jc w:val="center"/>
            </w:pPr>
            <w:r/>
            <w:r>
              <w:rPr>
                <w:b/>
                <w:sz w:val="21"/>
              </w:rPr>
              <w:t>标准名称</w:t>
            </w:r>
          </w:p>
        </w:tc>
        <w:tc>
          <w:tcPr>
            <w:tcW w:type="dxa" w:w="1928"/>
            <w:vAlign w:val="center"/>
            <w:shd w:val="clear" w:color="auto" w:fill="D9D9D9"/>
            <w:cantSplit/>
          </w:tcPr>
          <w:p>
            <w:pPr>
              <w:spacing w:line="240" w:lineRule="auto"/>
              <w:ind w:firstLine="0"/>
              <w:jc w:val="center"/>
            </w:pPr>
            <w:r/>
            <w:r>
              <w:rPr>
                <w:b/>
                <w:sz w:val="21"/>
              </w:rPr>
              <w:t>适用说明</w:t>
            </w:r>
          </w:p>
        </w:tc>
      </w:tr>
      <w:tr>
        <w:trPr>
          <w:cantSplit/>
        </w:trPr>
        <w:tc>
          <w:tcPr>
            <w:tcW w:type="dxa" w:w="794"/>
            <w:vAlign w:val="center"/>
            <w:cantSplit/>
          </w:tcPr>
          <w:p>
            <w:pPr>
              <w:spacing w:line="240" w:lineRule="auto"/>
              <w:ind w:firstLine="0"/>
              <w:jc w:val="center"/>
            </w:pPr>
            <w:r/>
            <w:r>
              <w:rPr>
                <w:b w:val="0"/>
                <w:sz w:val="21"/>
              </w:rPr>
              <w:t>1</w:t>
            </w:r>
          </w:p>
        </w:tc>
        <w:tc>
          <w:tcPr>
            <w:tcW w:type="dxa" w:w="2041"/>
            <w:vAlign w:val="center"/>
            <w:cantSplit/>
          </w:tcPr>
          <w:p>
            <w:pPr>
              <w:spacing w:line="240" w:lineRule="auto"/>
              <w:ind w:firstLine="0"/>
              <w:jc w:val="center"/>
            </w:pPr>
            <w:r/>
            <w:r>
              <w:rPr>
                <w:b w:val="0"/>
                <w:sz w:val="21"/>
              </w:rPr>
              <w:t>YD/T 2675-2015</w:t>
            </w:r>
          </w:p>
        </w:tc>
        <w:tc>
          <w:tcPr>
            <w:tcW w:type="dxa" w:w="4309"/>
            <w:vAlign w:val="center"/>
            <w:cantSplit/>
          </w:tcPr>
          <w:p>
            <w:pPr>
              <w:spacing w:line="240" w:lineRule="auto"/>
              <w:ind w:firstLine="0"/>
              <w:jc w:val="left"/>
            </w:pPr>
            <w:r/>
            <w:r>
              <w:rPr>
                <w:b w:val="0"/>
                <w:sz w:val="21"/>
              </w:rPr>
              <w:t>《应急通信车载卫星地球站通用技术要求》</w:t>
            </w:r>
          </w:p>
        </w:tc>
        <w:tc>
          <w:tcPr>
            <w:tcW w:type="dxa" w:w="1928"/>
            <w:vAlign w:val="center"/>
            <w:cantSplit/>
          </w:tcPr>
          <w:p>
            <w:pPr>
              <w:spacing w:line="240" w:lineRule="auto"/>
              <w:ind w:firstLine="0"/>
              <w:jc w:val="left"/>
            </w:pPr>
            <w:r/>
            <w:r>
              <w:rPr>
                <w:b w:val="0"/>
                <w:sz w:val="21"/>
              </w:rPr>
              <w:t>车载卫星地球站总体技术要求</w:t>
            </w:r>
          </w:p>
        </w:tc>
      </w:tr>
      <w:tr>
        <w:trPr>
          <w:cantSplit/>
        </w:trPr>
        <w:tc>
          <w:tcPr>
            <w:tcW w:type="dxa" w:w="794"/>
            <w:vAlign w:val="center"/>
            <w:cantSplit/>
          </w:tcPr>
          <w:p>
            <w:pPr>
              <w:spacing w:line="240" w:lineRule="auto"/>
              <w:ind w:firstLine="0"/>
              <w:jc w:val="center"/>
            </w:pPr>
            <w:r/>
            <w:r>
              <w:rPr>
                <w:b w:val="0"/>
                <w:sz w:val="21"/>
              </w:rPr>
              <w:t>2</w:t>
            </w:r>
          </w:p>
        </w:tc>
        <w:tc>
          <w:tcPr>
            <w:tcW w:type="dxa" w:w="2041"/>
            <w:vAlign w:val="center"/>
            <w:cantSplit/>
          </w:tcPr>
          <w:p>
            <w:pPr>
              <w:spacing w:line="240" w:lineRule="auto"/>
              <w:ind w:firstLine="0"/>
              <w:jc w:val="center"/>
            </w:pPr>
            <w:r/>
            <w:r>
              <w:rPr>
                <w:b w:val="0"/>
                <w:sz w:val="21"/>
              </w:rPr>
              <w:t>JT/T 1007.3—2024</w:t>
            </w:r>
          </w:p>
        </w:tc>
        <w:tc>
          <w:tcPr>
            <w:tcW w:type="dxa" w:w="4309"/>
            <w:vAlign w:val="center"/>
            <w:cantSplit/>
          </w:tcPr>
          <w:p>
            <w:pPr>
              <w:spacing w:line="240" w:lineRule="auto"/>
              <w:ind w:firstLine="0"/>
              <w:jc w:val="left"/>
            </w:pPr>
            <w:r/>
            <w:r>
              <w:rPr>
                <w:b w:val="0"/>
                <w:sz w:val="21"/>
              </w:rPr>
              <w:t>《交通移动应急通信指挥系统 第3部分：设备检测规范》</w:t>
            </w:r>
          </w:p>
        </w:tc>
        <w:tc>
          <w:tcPr>
            <w:tcW w:type="dxa" w:w="1928"/>
            <w:vAlign w:val="center"/>
            <w:cantSplit/>
          </w:tcPr>
          <w:p>
            <w:pPr>
              <w:spacing w:line="240" w:lineRule="auto"/>
              <w:ind w:firstLine="0"/>
              <w:jc w:val="left"/>
            </w:pPr>
            <w:r/>
            <w:r>
              <w:rPr>
                <w:b w:val="0"/>
                <w:sz w:val="21"/>
              </w:rPr>
              <w:t>检测项目、量化指标及检测方法（表4/6/7/8）</w:t>
            </w:r>
          </w:p>
        </w:tc>
      </w:tr>
      <w:tr>
        <w:trPr>
          <w:cantSplit/>
        </w:trPr>
        <w:tc>
          <w:tcPr>
            <w:tcW w:type="dxa" w:w="794"/>
            <w:vAlign w:val="center"/>
            <w:cantSplit/>
          </w:tcPr>
          <w:p>
            <w:pPr>
              <w:spacing w:line="240" w:lineRule="auto"/>
              <w:ind w:firstLine="0"/>
              <w:jc w:val="center"/>
            </w:pPr>
            <w:r/>
            <w:r>
              <w:rPr>
                <w:b w:val="0"/>
                <w:sz w:val="21"/>
              </w:rPr>
              <w:t>3</w:t>
            </w:r>
          </w:p>
        </w:tc>
        <w:tc>
          <w:tcPr>
            <w:tcW w:type="dxa" w:w="2041"/>
            <w:vAlign w:val="center"/>
            <w:cantSplit/>
          </w:tcPr>
          <w:p>
            <w:pPr>
              <w:spacing w:line="240" w:lineRule="auto"/>
              <w:ind w:firstLine="0"/>
              <w:jc w:val="center"/>
            </w:pPr>
            <w:r/>
            <w:r>
              <w:rPr>
                <w:b w:val="0"/>
                <w:sz w:val="21"/>
              </w:rPr>
              <w:t>GB/T 51266-2018</w:t>
            </w:r>
          </w:p>
        </w:tc>
        <w:tc>
          <w:tcPr>
            <w:tcW w:type="dxa" w:w="4309"/>
            <w:vAlign w:val="center"/>
            <w:cantSplit/>
          </w:tcPr>
          <w:p>
            <w:pPr>
              <w:spacing w:line="240" w:lineRule="auto"/>
              <w:ind w:firstLine="0"/>
              <w:jc w:val="left"/>
            </w:pPr>
            <w:r/>
            <w:r>
              <w:rPr>
                <w:b w:val="0"/>
                <w:sz w:val="21"/>
              </w:rPr>
              <w:t>《应急通信系统工程技术标准》</w:t>
            </w:r>
          </w:p>
        </w:tc>
        <w:tc>
          <w:tcPr>
            <w:tcW w:type="dxa" w:w="1928"/>
            <w:vAlign w:val="center"/>
            <w:cantSplit/>
          </w:tcPr>
          <w:p>
            <w:pPr>
              <w:spacing w:line="240" w:lineRule="auto"/>
              <w:ind w:firstLine="0"/>
              <w:jc w:val="left"/>
            </w:pPr>
            <w:r/>
            <w:r>
              <w:rPr>
                <w:b w:val="0"/>
                <w:sz w:val="21"/>
              </w:rPr>
              <w:t>应急通信系统工程建设与验收通用要求</w:t>
            </w:r>
          </w:p>
        </w:tc>
      </w:tr>
    </w:tbl>
    <w:p>
      <w:pPr>
        <w:pStyle w:val="Heading1"/>
      </w:pPr>
      <w:r>
        <w:rPr>
          <w:b/>
        </w:rPr>
        <w:t>3 车辆及设备概况</w:t>
      </w:r>
    </w:p>
    <w:p>
      <w:pPr>
        <w:pStyle w:val="Heading2"/>
      </w:pPr>
      <w:r>
        <w:rPr>
          <w:b/>
        </w:rPr>
        <w:t>3.1 车辆总体情况</w:t>
      </w:r>
    </w:p>
    <w:p>
      <w:r>
        <w:rPr>
          <w:b w:val="0"/>
        </w:rPr>
        <w:t>云A6J6F2卫星应急车为移动卫星通信应急保障车辆，采用Ku频段车载动中通VSAT卫星通信系统，可实现行车及驻车状态下的卫星链路建立与语音、视频、数据传输，用于突发事件的现场应急通信保障。本车近期遭受外力冲击，天线及射频部件出现多处损伤，本次检测针对上述损伤开展初步评估。</w:t>
      </w:r>
    </w:p>
    <w:p>
      <w:pPr>
        <w:pStyle w:val="Heading2"/>
      </w:pPr>
      <w:r>
        <w:rPr>
          <w:b/>
        </w:rPr>
        <w:t>3.2 设备组成</w:t>
      </w:r>
    </w:p>
    <w:p>
      <w:r>
        <w:rPr>
          <w:b w:val="0"/>
        </w:rPr>
        <w:t>本车卫星通信系统主要设备组成如下：</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cantSplit/>
          <w:tblHeader/>
        </w:trPr>
        <w:tc>
          <w:tcPr>
            <w:tcW w:type="dxa" w:w="1361"/>
            <w:vAlign w:val="center"/>
            <w:shd w:val="clear" w:color="auto" w:fill="D9D9D9"/>
            <w:cantSplit/>
          </w:tcPr>
          <w:p>
            <w:pPr>
              <w:spacing w:line="240" w:lineRule="auto"/>
              <w:ind w:firstLine="0"/>
              <w:jc w:val="center"/>
            </w:pPr>
            <w:r/>
            <w:r>
              <w:rPr>
                <w:b/>
                <w:sz w:val="21"/>
              </w:rPr>
              <w:t>系统</w:t>
            </w:r>
          </w:p>
        </w:tc>
        <w:tc>
          <w:tcPr>
            <w:tcW w:type="dxa" w:w="5102"/>
            <w:vAlign w:val="center"/>
            <w:shd w:val="clear" w:color="auto" w:fill="D9D9D9"/>
            <w:cantSplit/>
          </w:tcPr>
          <w:p>
            <w:pPr>
              <w:spacing w:line="240" w:lineRule="auto"/>
              <w:ind w:firstLine="0"/>
              <w:jc w:val="center"/>
            </w:pPr>
            <w:r/>
            <w:r>
              <w:rPr>
                <w:b/>
                <w:sz w:val="21"/>
              </w:rPr>
              <w:t>主要设备</w:t>
            </w:r>
          </w:p>
        </w:tc>
        <w:tc>
          <w:tcPr>
            <w:tcW w:type="dxa" w:w="1134"/>
            <w:vAlign w:val="center"/>
            <w:shd w:val="clear" w:color="auto" w:fill="D9D9D9"/>
            <w:cantSplit/>
          </w:tcPr>
          <w:p>
            <w:pPr>
              <w:spacing w:line="240" w:lineRule="auto"/>
              <w:ind w:firstLine="0"/>
              <w:jc w:val="center"/>
            </w:pPr>
            <w:r/>
            <w:r>
              <w:rPr>
                <w:b/>
                <w:sz w:val="21"/>
              </w:rPr>
              <w:t>数量</w:t>
            </w:r>
          </w:p>
        </w:tc>
        <w:tc>
          <w:tcPr>
            <w:tcW w:type="dxa" w:w="1474"/>
            <w:vAlign w:val="center"/>
            <w:shd w:val="clear" w:color="auto" w:fill="D9D9D9"/>
            <w:cantSplit/>
          </w:tcPr>
          <w:p>
            <w:pPr>
              <w:spacing w:line="240" w:lineRule="auto"/>
              <w:ind w:firstLine="0"/>
              <w:jc w:val="center"/>
            </w:pPr>
            <w:r/>
            <w:r>
              <w:rPr>
                <w:b/>
                <w:sz w:val="21"/>
              </w:rPr>
              <w:t>备注</w:t>
            </w:r>
          </w:p>
        </w:tc>
      </w:tr>
      <w:tr>
        <w:trPr>
          <w:cantSplit/>
        </w:trPr>
        <w:tc>
          <w:tcPr>
            <w:tcW w:type="dxa" w:w="1361"/>
            <w:vAlign w:val="center"/>
            <w:cantSplit/>
          </w:tcPr>
          <w:p>
            <w:pPr>
              <w:spacing w:line="240" w:lineRule="auto"/>
              <w:ind w:firstLine="0"/>
              <w:jc w:val="center"/>
            </w:pPr>
            <w:r/>
            <w:r>
              <w:rPr>
                <w:b w:val="0"/>
                <w:sz w:val="21"/>
              </w:rPr>
              <w:t>天线系统</w:t>
            </w:r>
          </w:p>
        </w:tc>
        <w:tc>
          <w:tcPr>
            <w:tcW w:type="dxa" w:w="5102"/>
            <w:vAlign w:val="center"/>
            <w:cantSplit/>
          </w:tcPr>
          <w:p>
            <w:pPr>
              <w:spacing w:line="240" w:lineRule="auto"/>
              <w:ind w:firstLine="0"/>
              <w:jc w:val="left"/>
            </w:pPr>
            <w:r/>
            <w:r>
              <w:rPr>
                <w:b w:val="0"/>
                <w:sz w:val="21"/>
              </w:rPr>
              <w:t>车载动中通天线（含反射面板、内部龙骨、后盖板）</w:t>
            </w:r>
          </w:p>
        </w:tc>
        <w:tc>
          <w:tcPr>
            <w:tcW w:type="dxa" w:w="1134"/>
            <w:vAlign w:val="center"/>
            <w:cantSplit/>
          </w:tcPr>
          <w:p>
            <w:pPr>
              <w:spacing w:line="240" w:lineRule="auto"/>
              <w:ind w:firstLine="0"/>
              <w:jc w:val="center"/>
            </w:pPr>
            <w:r/>
            <w:r>
              <w:rPr>
                <w:b w:val="0"/>
                <w:sz w:val="21"/>
              </w:rPr>
              <w:t>1套</w:t>
            </w:r>
          </w:p>
        </w:tc>
        <w:tc>
          <w:tcPr>
            <w:tcW w:type="dxa" w:w="1474"/>
            <w:vAlign w:val="center"/>
            <w:cantSplit/>
          </w:tcPr>
          <w:p>
            <w:pPr>
              <w:spacing w:line="240" w:lineRule="auto"/>
              <w:ind w:firstLine="0"/>
              <w:jc w:val="left"/>
            </w:pPr>
            <w:r/>
            <w:r>
              <w:rPr>
                <w:b w:val="0"/>
                <w:sz w:val="21"/>
              </w:rPr>
              <w:t>含馈源支撑架、俯仰钢丝</w:t>
            </w:r>
          </w:p>
        </w:tc>
      </w:tr>
      <w:tr>
        <w:trPr>
          <w:cantSplit/>
        </w:trPr>
        <w:tc>
          <w:tcPr>
            <w:tcW w:type="dxa" w:w="1361"/>
            <w:vAlign w:val="center"/>
            <w:cantSplit/>
          </w:tcPr>
          <w:p>
            <w:pPr>
              <w:spacing w:line="240" w:lineRule="auto"/>
              <w:ind w:firstLine="0"/>
              <w:jc w:val="center"/>
            </w:pPr>
            <w:r/>
            <w:r>
              <w:rPr>
                <w:b w:val="0"/>
                <w:sz w:val="21"/>
              </w:rPr>
              <w:t>射频链路</w:t>
            </w:r>
          </w:p>
        </w:tc>
        <w:tc>
          <w:tcPr>
            <w:tcW w:type="dxa" w:w="5102"/>
            <w:vAlign w:val="center"/>
            <w:cantSplit/>
          </w:tcPr>
          <w:p>
            <w:pPr>
              <w:spacing w:line="240" w:lineRule="auto"/>
              <w:ind w:firstLine="0"/>
              <w:jc w:val="left"/>
            </w:pPr>
            <w:r/>
            <w:r>
              <w:rPr>
                <w:b w:val="0"/>
                <w:sz w:val="21"/>
              </w:rPr>
              <w:t>KU-BUC（上变频功放）</w:t>
            </w:r>
          </w:p>
        </w:tc>
        <w:tc>
          <w:tcPr>
            <w:tcW w:type="dxa" w:w="1134"/>
            <w:vAlign w:val="center"/>
            <w:cantSplit/>
          </w:tcPr>
          <w:p>
            <w:pPr>
              <w:spacing w:line="240" w:lineRule="auto"/>
              <w:ind w:firstLine="0"/>
              <w:jc w:val="center"/>
            </w:pPr>
            <w:r/>
            <w:r>
              <w:rPr>
                <w:b w:val="0"/>
                <w:sz w:val="21"/>
              </w:rPr>
              <w:t>1台</w:t>
            </w:r>
          </w:p>
        </w:tc>
        <w:tc>
          <w:tcPr>
            <w:tcW w:type="dxa" w:w="1474"/>
            <w:vAlign w:val="center"/>
            <w:cantSplit/>
          </w:tcPr>
          <w:p>
            <w:pPr>
              <w:spacing w:line="240" w:lineRule="auto"/>
              <w:ind w:firstLine="0"/>
              <w:jc w:val="left"/>
            </w:pPr>
            <w:r/>
            <w:r>
              <w:rPr>
                <w:b w:val="0"/>
                <w:sz w:val="21"/>
              </w:rPr>
              <w:t>受冲击，待检</w:t>
            </w:r>
          </w:p>
        </w:tc>
      </w:tr>
      <w:tr>
        <w:trPr>
          <w:cantSplit/>
        </w:trPr>
        <w:tc>
          <w:tcPr>
            <w:tcW w:type="dxa" w:w="1361"/>
            <w:vAlign w:val="center"/>
            <w:cantSplit/>
          </w:tcPr>
          <w:p>
            <w:pPr>
              <w:spacing w:line="240" w:lineRule="auto"/>
              <w:ind w:firstLine="0"/>
              <w:jc w:val="center"/>
            </w:pPr>
            <w:r/>
            <w:r>
              <w:rPr>
                <w:b w:val="0"/>
                <w:sz w:val="21"/>
              </w:rPr>
              <w:t>射频链路</w:t>
            </w:r>
          </w:p>
        </w:tc>
        <w:tc>
          <w:tcPr>
            <w:tcW w:type="dxa" w:w="5102"/>
            <w:vAlign w:val="center"/>
            <w:cantSplit/>
          </w:tcPr>
          <w:p>
            <w:pPr>
              <w:spacing w:line="240" w:lineRule="auto"/>
              <w:ind w:firstLine="0"/>
              <w:jc w:val="left"/>
            </w:pPr>
            <w:r/>
            <w:r>
              <w:rPr>
                <w:b w:val="0"/>
                <w:sz w:val="21"/>
              </w:rPr>
              <w:t>KU-LNB（低噪声下变频器）</w:t>
            </w:r>
          </w:p>
        </w:tc>
        <w:tc>
          <w:tcPr>
            <w:tcW w:type="dxa" w:w="1134"/>
            <w:vAlign w:val="center"/>
            <w:cantSplit/>
          </w:tcPr>
          <w:p>
            <w:pPr>
              <w:spacing w:line="240" w:lineRule="auto"/>
              <w:ind w:firstLine="0"/>
              <w:jc w:val="center"/>
            </w:pPr>
            <w:r/>
            <w:r>
              <w:rPr>
                <w:b w:val="0"/>
                <w:sz w:val="21"/>
              </w:rPr>
              <w:t>1个</w:t>
            </w:r>
          </w:p>
        </w:tc>
        <w:tc>
          <w:tcPr>
            <w:tcW w:type="dxa" w:w="1474"/>
            <w:vAlign w:val="center"/>
            <w:cantSplit/>
          </w:tcPr>
          <w:p>
            <w:pPr>
              <w:spacing w:line="240" w:lineRule="auto"/>
              <w:ind w:firstLine="0"/>
              <w:jc w:val="left"/>
            </w:pPr>
            <w:r/>
            <w:r>
              <w:rPr>
                <w:b w:val="0"/>
                <w:sz w:val="21"/>
              </w:rPr>
              <w:t>受冲击，待检</w:t>
            </w:r>
          </w:p>
        </w:tc>
      </w:tr>
      <w:tr>
        <w:trPr>
          <w:cantSplit/>
        </w:trPr>
        <w:tc>
          <w:tcPr>
            <w:tcW w:type="dxa" w:w="1361"/>
            <w:vAlign w:val="center"/>
            <w:cantSplit/>
          </w:tcPr>
          <w:p>
            <w:pPr>
              <w:spacing w:line="240" w:lineRule="auto"/>
              <w:ind w:firstLine="0"/>
              <w:jc w:val="center"/>
            </w:pPr>
            <w:r/>
            <w:r>
              <w:rPr>
                <w:b w:val="0"/>
                <w:sz w:val="21"/>
              </w:rPr>
              <w:t>射频链路</w:t>
            </w:r>
          </w:p>
        </w:tc>
        <w:tc>
          <w:tcPr>
            <w:tcW w:type="dxa" w:w="5102"/>
            <w:vAlign w:val="center"/>
            <w:cantSplit/>
          </w:tcPr>
          <w:p>
            <w:pPr>
              <w:spacing w:line="240" w:lineRule="auto"/>
              <w:ind w:firstLine="0"/>
              <w:jc w:val="left"/>
            </w:pPr>
            <w:r/>
            <w:r>
              <w:rPr>
                <w:b w:val="0"/>
                <w:sz w:val="21"/>
              </w:rPr>
              <w:t>馈源喇叭 / 双工器 / 旋转关节 / 软波导管</w:t>
            </w:r>
          </w:p>
        </w:tc>
        <w:tc>
          <w:tcPr>
            <w:tcW w:type="dxa" w:w="1134"/>
            <w:vAlign w:val="center"/>
            <w:cantSplit/>
          </w:tcPr>
          <w:p>
            <w:pPr>
              <w:spacing w:line="240" w:lineRule="auto"/>
              <w:ind w:firstLine="0"/>
              <w:jc w:val="center"/>
            </w:pPr>
            <w:r/>
            <w:r>
              <w:rPr>
                <w:b w:val="0"/>
                <w:sz w:val="21"/>
              </w:rPr>
              <w:t>各1套</w:t>
            </w:r>
          </w:p>
        </w:tc>
        <w:tc>
          <w:tcPr>
            <w:tcW w:type="dxa" w:w="1474"/>
            <w:vAlign w:val="center"/>
            <w:cantSplit/>
          </w:tcPr>
          <w:p>
            <w:pPr>
              <w:spacing w:line="240" w:lineRule="auto"/>
              <w:ind w:firstLine="0"/>
              <w:jc w:val="left"/>
            </w:pPr>
            <w:r/>
            <w:r>
              <w:rPr>
                <w:b w:val="0"/>
                <w:sz w:val="21"/>
              </w:rPr>
              <w:t>双工器波导断裂</w:t>
            </w:r>
          </w:p>
        </w:tc>
      </w:tr>
      <w:tr>
        <w:trPr>
          <w:cantSplit/>
        </w:trPr>
        <w:tc>
          <w:tcPr>
            <w:tcW w:type="dxa" w:w="1361"/>
            <w:vAlign w:val="center"/>
            <w:cantSplit/>
          </w:tcPr>
          <w:p>
            <w:pPr>
              <w:spacing w:line="240" w:lineRule="auto"/>
              <w:ind w:firstLine="0"/>
              <w:jc w:val="center"/>
            </w:pPr>
            <w:r/>
            <w:r>
              <w:rPr>
                <w:b w:val="0"/>
                <w:sz w:val="21"/>
              </w:rPr>
              <w:t>机械驱动</w:t>
            </w:r>
          </w:p>
        </w:tc>
        <w:tc>
          <w:tcPr>
            <w:tcW w:type="dxa" w:w="5102"/>
            <w:vAlign w:val="center"/>
            <w:cantSplit/>
          </w:tcPr>
          <w:p>
            <w:pPr>
              <w:spacing w:line="240" w:lineRule="auto"/>
              <w:ind w:firstLine="0"/>
              <w:jc w:val="left"/>
            </w:pPr>
            <w:r/>
            <w:r>
              <w:rPr>
                <w:b w:val="0"/>
                <w:sz w:val="21"/>
              </w:rPr>
              <w:t>方位电机减速组 / 俯仰电机减速组 / 极化电机及减速组</w:t>
            </w:r>
          </w:p>
        </w:tc>
        <w:tc>
          <w:tcPr>
            <w:tcW w:type="dxa" w:w="1134"/>
            <w:vAlign w:val="center"/>
            <w:cantSplit/>
          </w:tcPr>
          <w:p>
            <w:pPr>
              <w:spacing w:line="240" w:lineRule="auto"/>
              <w:ind w:firstLine="0"/>
              <w:jc w:val="center"/>
            </w:pPr>
            <w:r/>
            <w:r>
              <w:rPr>
                <w:b w:val="0"/>
                <w:sz w:val="21"/>
              </w:rPr>
              <w:t>各1套</w:t>
            </w:r>
          </w:p>
        </w:tc>
        <w:tc>
          <w:tcPr>
            <w:tcW w:type="dxa" w:w="1474"/>
            <w:vAlign w:val="center"/>
            <w:cantSplit/>
          </w:tcPr>
          <w:p>
            <w:pPr>
              <w:spacing w:line="240" w:lineRule="auto"/>
              <w:ind w:firstLine="0"/>
              <w:jc w:val="left"/>
            </w:pPr>
            <w:r/>
            <w:r>
              <w:rPr>
                <w:b w:val="0"/>
                <w:sz w:val="21"/>
              </w:rPr>
              <w:t>受冲击，待拆解</w:t>
            </w:r>
          </w:p>
        </w:tc>
      </w:tr>
      <w:tr>
        <w:trPr>
          <w:cantSplit/>
        </w:trPr>
        <w:tc>
          <w:tcPr>
            <w:tcW w:type="dxa" w:w="1361"/>
            <w:vAlign w:val="center"/>
            <w:cantSplit/>
          </w:tcPr>
          <w:p>
            <w:pPr>
              <w:spacing w:line="240" w:lineRule="auto"/>
              <w:ind w:firstLine="0"/>
              <w:jc w:val="center"/>
            </w:pPr>
            <w:r/>
            <w:r>
              <w:rPr>
                <w:b w:val="0"/>
                <w:sz w:val="21"/>
              </w:rPr>
              <w:t>辅助结构</w:t>
            </w:r>
          </w:p>
        </w:tc>
        <w:tc>
          <w:tcPr>
            <w:tcW w:type="dxa" w:w="5102"/>
            <w:vAlign w:val="center"/>
            <w:cantSplit/>
          </w:tcPr>
          <w:p>
            <w:pPr>
              <w:spacing w:line="240" w:lineRule="auto"/>
              <w:ind w:firstLine="0"/>
              <w:jc w:val="left"/>
            </w:pPr>
            <w:r/>
            <w:r>
              <w:rPr>
                <w:b w:val="0"/>
                <w:sz w:val="21"/>
              </w:rPr>
              <w:t>基站GPS天线及支架 / 防倾覆限位结构 / 液压支撑杆</w:t>
            </w:r>
          </w:p>
        </w:tc>
        <w:tc>
          <w:tcPr>
            <w:tcW w:type="dxa" w:w="1134"/>
            <w:vAlign w:val="center"/>
            <w:cantSplit/>
          </w:tcPr>
          <w:p>
            <w:pPr>
              <w:spacing w:line="240" w:lineRule="auto"/>
              <w:ind w:firstLine="0"/>
              <w:jc w:val="center"/>
            </w:pPr>
            <w:r/>
            <w:r>
              <w:rPr>
                <w:b w:val="0"/>
                <w:sz w:val="21"/>
              </w:rPr>
              <w:t>各1套</w:t>
            </w:r>
          </w:p>
        </w:tc>
        <w:tc>
          <w:tcPr>
            <w:tcW w:type="dxa" w:w="1474"/>
            <w:vAlign w:val="center"/>
            <w:cantSplit/>
          </w:tcPr>
          <w:p>
            <w:pPr>
              <w:spacing w:line="240" w:lineRule="auto"/>
              <w:ind w:firstLine="0"/>
              <w:jc w:val="left"/>
            </w:pPr>
            <w:r/>
            <w:r>
              <w:rPr>
                <w:b w:val="0"/>
                <w:sz w:val="21"/>
              </w:rPr>
              <w:t>开裂变形/形变</w:t>
            </w:r>
          </w:p>
        </w:tc>
      </w:tr>
    </w:tbl>
    <w:p>
      <w:r>
        <w:rPr>
          <w:b w:val="0"/>
        </w:rPr>
        <w:t>注：车辆底盘、供电系统及卫星Modem技术资料待补充，本报告未对其状态作出评定。</w:t>
      </w:r>
    </w:p>
    <w:p>
      <w:pPr>
        <w:pStyle w:val="Heading1"/>
      </w:pPr>
      <w:r>
        <w:rPr>
          <w:b/>
        </w:rPr>
        <w:t>4 检测条件与检测设备</w:t>
      </w:r>
    </w:p>
    <w:p>
      <w:pPr>
        <w:pStyle w:val="Heading2"/>
      </w:pPr>
      <w:r>
        <w:rPr>
          <w:b/>
        </w:rPr>
        <w:t>4.1 检测环境条件</w:t>
      </w:r>
    </w:p>
    <w:p>
      <w:r>
        <w:rPr>
          <w:b w:val="0"/>
        </w:rPr>
        <w:t>本次外观及结构检测在露天场地进行，环境条件记录如下（现场实测后填写）：</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2381"/>
            <w:vAlign w:val="center"/>
            <w:shd w:val="clear" w:color="auto" w:fill="F2F2F2"/>
            <w:cantSplit/>
          </w:tcPr>
          <w:p>
            <w:pPr>
              <w:spacing w:line="240" w:lineRule="auto"/>
              <w:ind w:firstLine="0"/>
              <w:jc w:val="center"/>
            </w:pPr>
            <w:r/>
            <w:r>
              <w:rPr>
                <w:b/>
                <w:sz w:val="21"/>
              </w:rPr>
              <w:t>环境温度</w:t>
            </w:r>
          </w:p>
        </w:tc>
        <w:tc>
          <w:tcPr>
            <w:tcW w:type="dxa" w:w="6690"/>
            <w:vAlign w:val="center"/>
            <w:cantSplit/>
          </w:tcPr>
          <w:p>
            <w:pPr>
              <w:spacing w:line="240" w:lineRule="auto"/>
              <w:ind w:firstLine="0"/>
              <w:jc w:val="left"/>
            </w:pPr>
            <w:r/>
            <w:r>
              <w:rPr>
                <w:b w:val="0"/>
                <w:sz w:val="21"/>
              </w:rPr>
              <w:t>____ ℃</w:t>
            </w:r>
          </w:p>
        </w:tc>
      </w:tr>
      <w:tr>
        <w:trPr>
          <w:cantSplit/>
        </w:trPr>
        <w:tc>
          <w:tcPr>
            <w:tcW w:type="dxa" w:w="2381"/>
            <w:vAlign w:val="center"/>
            <w:shd w:val="clear" w:color="auto" w:fill="F2F2F2"/>
            <w:cantSplit/>
          </w:tcPr>
          <w:p>
            <w:pPr>
              <w:spacing w:line="240" w:lineRule="auto"/>
              <w:ind w:firstLine="0"/>
              <w:jc w:val="center"/>
            </w:pPr>
            <w:r/>
            <w:r>
              <w:rPr>
                <w:b/>
                <w:sz w:val="21"/>
              </w:rPr>
              <w:t>相对湿度</w:t>
            </w:r>
          </w:p>
        </w:tc>
        <w:tc>
          <w:tcPr>
            <w:tcW w:type="dxa" w:w="6690"/>
            <w:vAlign w:val="center"/>
            <w:cantSplit/>
          </w:tcPr>
          <w:p>
            <w:pPr>
              <w:spacing w:line="240" w:lineRule="auto"/>
              <w:ind w:firstLine="0"/>
              <w:jc w:val="left"/>
            </w:pPr>
            <w:r/>
            <w:r>
              <w:rPr>
                <w:b w:val="0"/>
                <w:sz w:val="21"/>
              </w:rPr>
              <w:t>____ %RH</w:t>
            </w:r>
          </w:p>
        </w:tc>
      </w:tr>
      <w:tr>
        <w:trPr>
          <w:cantSplit/>
        </w:trPr>
        <w:tc>
          <w:tcPr>
            <w:tcW w:type="dxa" w:w="2381"/>
            <w:vAlign w:val="center"/>
            <w:shd w:val="clear" w:color="auto" w:fill="F2F2F2"/>
            <w:cantSplit/>
          </w:tcPr>
          <w:p>
            <w:pPr>
              <w:spacing w:line="240" w:lineRule="auto"/>
              <w:ind w:firstLine="0"/>
              <w:jc w:val="center"/>
            </w:pPr>
            <w:r/>
            <w:r>
              <w:rPr>
                <w:b/>
                <w:sz w:val="21"/>
              </w:rPr>
              <w:t>天气状况</w:t>
            </w:r>
          </w:p>
        </w:tc>
        <w:tc>
          <w:tcPr>
            <w:tcW w:type="dxa" w:w="6690"/>
            <w:vAlign w:val="center"/>
            <w:cantSplit/>
          </w:tcPr>
          <w:p>
            <w:pPr>
              <w:spacing w:line="240" w:lineRule="auto"/>
              <w:ind w:firstLine="0"/>
              <w:jc w:val="left"/>
            </w:pPr>
            <w:r/>
            <w:r>
              <w:rPr>
                <w:b w:val="0"/>
                <w:sz w:val="21"/>
              </w:rPr>
              <w:t>____</w:t>
            </w:r>
          </w:p>
        </w:tc>
      </w:tr>
      <w:tr>
        <w:trPr>
          <w:cantSplit/>
        </w:trPr>
        <w:tc>
          <w:tcPr>
            <w:tcW w:type="dxa" w:w="2381"/>
            <w:vAlign w:val="center"/>
            <w:shd w:val="clear" w:color="auto" w:fill="F2F2F2"/>
            <w:cantSplit/>
          </w:tcPr>
          <w:p>
            <w:pPr>
              <w:spacing w:line="240" w:lineRule="auto"/>
              <w:ind w:firstLine="0"/>
              <w:jc w:val="center"/>
            </w:pPr>
            <w:r/>
            <w:r>
              <w:rPr>
                <w:b/>
                <w:sz w:val="21"/>
              </w:rPr>
              <w:t>检测场地</w:t>
            </w:r>
          </w:p>
        </w:tc>
        <w:tc>
          <w:tcPr>
            <w:tcW w:type="dxa" w:w="6690"/>
            <w:vAlign w:val="center"/>
            <w:cantSplit/>
          </w:tcPr>
          <w:p>
            <w:pPr>
              <w:spacing w:line="240" w:lineRule="auto"/>
              <w:ind w:firstLine="0"/>
              <w:jc w:val="left"/>
            </w:pPr>
            <w:r/>
            <w:r>
              <w:rPr>
                <w:b w:val="0"/>
                <w:sz w:val="21"/>
              </w:rPr>
              <w:t>____（空旷无遮挡场地，天线架设区域平整）</w:t>
            </w:r>
          </w:p>
        </w:tc>
      </w:tr>
    </w:tbl>
    <w:p>
      <w:pPr>
        <w:pStyle w:val="Heading2"/>
      </w:pPr>
      <w:r>
        <w:rPr>
          <w:b/>
        </w:rPr>
        <w:t>4.2 检测仪器与器具</w:t>
      </w:r>
    </w:p>
    <w:p>
      <w:r>
        <w:rPr>
          <w:b w:val="0"/>
        </w:rPr>
        <w:t>本报告涉及的检测仪器设备应符合JT/T 1007.3—2024第5.2.2条对检测设备的基本技术要求。拟用及已用检测器具如下：</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cantSplit/>
          <w:tblHeader/>
        </w:trPr>
        <w:tc>
          <w:tcPr>
            <w:tcW w:type="dxa" w:w="794"/>
            <w:vAlign w:val="center"/>
            <w:shd w:val="clear" w:color="auto" w:fill="D9D9D9"/>
            <w:cantSplit/>
          </w:tcPr>
          <w:p>
            <w:pPr>
              <w:spacing w:line="240" w:lineRule="auto"/>
              <w:ind w:firstLine="0"/>
              <w:jc w:val="center"/>
            </w:pPr>
            <w:r/>
            <w:r>
              <w:rPr>
                <w:b/>
                <w:sz w:val="21"/>
              </w:rPr>
              <w:t>序号</w:t>
            </w:r>
          </w:p>
        </w:tc>
        <w:tc>
          <w:tcPr>
            <w:tcW w:type="dxa" w:w="2608"/>
            <w:vAlign w:val="center"/>
            <w:shd w:val="clear" w:color="auto" w:fill="D9D9D9"/>
            <w:cantSplit/>
          </w:tcPr>
          <w:p>
            <w:pPr>
              <w:spacing w:line="240" w:lineRule="auto"/>
              <w:ind w:firstLine="0"/>
              <w:jc w:val="center"/>
            </w:pPr>
            <w:r/>
            <w:r>
              <w:rPr>
                <w:b/>
                <w:sz w:val="21"/>
              </w:rPr>
              <w:t>仪器/器具名称</w:t>
            </w:r>
          </w:p>
        </w:tc>
        <w:tc>
          <w:tcPr>
            <w:tcW w:type="dxa" w:w="3628"/>
            <w:vAlign w:val="center"/>
            <w:shd w:val="clear" w:color="auto" w:fill="D9D9D9"/>
            <w:cantSplit/>
          </w:tcPr>
          <w:p>
            <w:pPr>
              <w:spacing w:line="240" w:lineRule="auto"/>
              <w:ind w:firstLine="0"/>
              <w:jc w:val="center"/>
            </w:pPr>
            <w:r/>
            <w:r>
              <w:rPr>
                <w:b/>
                <w:sz w:val="21"/>
              </w:rPr>
              <w:t>主要技术指标要求</w:t>
            </w:r>
          </w:p>
        </w:tc>
        <w:tc>
          <w:tcPr>
            <w:tcW w:type="dxa" w:w="2041"/>
            <w:vAlign w:val="center"/>
            <w:shd w:val="clear" w:color="auto" w:fill="D9D9D9"/>
            <w:cantSplit/>
          </w:tcPr>
          <w:p>
            <w:pPr>
              <w:spacing w:line="240" w:lineRule="auto"/>
              <w:ind w:firstLine="0"/>
              <w:jc w:val="center"/>
            </w:pPr>
            <w:r/>
            <w:r>
              <w:rPr>
                <w:b/>
                <w:sz w:val="21"/>
              </w:rPr>
              <w:t>用途</w:t>
            </w:r>
          </w:p>
        </w:tc>
      </w:tr>
      <w:tr>
        <w:trPr>
          <w:cantSplit/>
        </w:trPr>
        <w:tc>
          <w:tcPr>
            <w:tcW w:type="dxa" w:w="794"/>
            <w:vAlign w:val="center"/>
            <w:cantSplit/>
          </w:tcPr>
          <w:p>
            <w:pPr>
              <w:spacing w:line="240" w:lineRule="auto"/>
              <w:ind w:firstLine="0"/>
              <w:jc w:val="center"/>
            </w:pPr>
            <w:r/>
            <w:r>
              <w:rPr>
                <w:b w:val="0"/>
                <w:sz w:val="21"/>
              </w:rPr>
              <w:t>1</w:t>
            </w:r>
          </w:p>
        </w:tc>
        <w:tc>
          <w:tcPr>
            <w:tcW w:type="dxa" w:w="2608"/>
            <w:vAlign w:val="center"/>
            <w:cantSplit/>
          </w:tcPr>
          <w:p>
            <w:pPr>
              <w:spacing w:line="240" w:lineRule="auto"/>
              <w:ind w:firstLine="0"/>
              <w:jc w:val="left"/>
            </w:pPr>
            <w:r/>
            <w:r>
              <w:rPr>
                <w:b w:val="0"/>
                <w:sz w:val="21"/>
              </w:rPr>
              <w:t>频谱仪</w:t>
            </w:r>
          </w:p>
        </w:tc>
        <w:tc>
          <w:tcPr>
            <w:tcW w:type="dxa" w:w="3628"/>
            <w:vAlign w:val="center"/>
            <w:cantSplit/>
          </w:tcPr>
          <w:p>
            <w:pPr>
              <w:spacing w:line="240" w:lineRule="auto"/>
              <w:ind w:firstLine="0"/>
              <w:jc w:val="left"/>
            </w:pPr>
            <w:r/>
            <w:r>
              <w:rPr>
                <w:b w:val="0"/>
                <w:sz w:val="21"/>
              </w:rPr>
              <w:t>频率范围100kHz～3GHz；分辨率带宽100kHz～1MHz；视频带宽10Hz～1MHz；显示电平误差&lt;1.5dB</w:t>
            </w:r>
          </w:p>
        </w:tc>
        <w:tc>
          <w:tcPr>
            <w:tcW w:type="dxa" w:w="2041"/>
            <w:vAlign w:val="center"/>
            <w:cantSplit/>
          </w:tcPr>
          <w:p>
            <w:pPr>
              <w:spacing w:line="240" w:lineRule="auto"/>
              <w:ind w:firstLine="0"/>
              <w:jc w:val="left"/>
            </w:pPr>
            <w:r/>
            <w:r>
              <w:rPr>
                <w:b w:val="0"/>
                <w:sz w:val="21"/>
              </w:rPr>
              <w:t>射频链路指标专项检测（后续实施）</w:t>
            </w:r>
          </w:p>
        </w:tc>
      </w:tr>
      <w:tr>
        <w:trPr>
          <w:cantSplit/>
        </w:trPr>
        <w:tc>
          <w:tcPr>
            <w:tcW w:type="dxa" w:w="794"/>
            <w:vAlign w:val="center"/>
            <w:cantSplit/>
          </w:tcPr>
          <w:p>
            <w:pPr>
              <w:spacing w:line="240" w:lineRule="auto"/>
              <w:ind w:firstLine="0"/>
              <w:jc w:val="center"/>
            </w:pPr>
            <w:r/>
            <w:r>
              <w:rPr>
                <w:b w:val="0"/>
                <w:sz w:val="21"/>
              </w:rPr>
              <w:t>2</w:t>
            </w:r>
          </w:p>
        </w:tc>
        <w:tc>
          <w:tcPr>
            <w:tcW w:type="dxa" w:w="2608"/>
            <w:vAlign w:val="center"/>
            <w:cantSplit/>
          </w:tcPr>
          <w:p>
            <w:pPr>
              <w:spacing w:line="240" w:lineRule="auto"/>
              <w:ind w:firstLine="0"/>
              <w:jc w:val="left"/>
            </w:pPr>
            <w:r/>
            <w:r>
              <w:rPr>
                <w:b w:val="0"/>
                <w:sz w:val="21"/>
              </w:rPr>
              <w:t>通用外观检查与测量器具</w:t>
            </w:r>
          </w:p>
        </w:tc>
        <w:tc>
          <w:tcPr>
            <w:tcW w:type="dxa" w:w="3628"/>
            <w:vAlign w:val="center"/>
            <w:cantSplit/>
          </w:tcPr>
          <w:p>
            <w:pPr>
              <w:spacing w:line="240" w:lineRule="auto"/>
              <w:ind w:firstLine="0"/>
              <w:jc w:val="left"/>
            </w:pPr>
            <w:r/>
            <w:r>
              <w:rPr>
                <w:b w:val="0"/>
                <w:sz w:val="21"/>
              </w:rPr>
              <w:t>游标卡尺、卷尺、角度测量工具、扭矩工具等</w:t>
            </w:r>
          </w:p>
        </w:tc>
        <w:tc>
          <w:tcPr>
            <w:tcW w:type="dxa" w:w="2041"/>
            <w:vAlign w:val="center"/>
            <w:cantSplit/>
          </w:tcPr>
          <w:p>
            <w:pPr>
              <w:spacing w:line="240" w:lineRule="auto"/>
              <w:ind w:firstLine="0"/>
              <w:jc w:val="left"/>
            </w:pPr>
            <w:r/>
            <w:r>
              <w:rPr>
                <w:b w:val="0"/>
                <w:sz w:val="21"/>
              </w:rPr>
              <w:t>结构形变、间隙及尺寸检查</w:t>
            </w:r>
          </w:p>
        </w:tc>
      </w:tr>
      <w:tr>
        <w:trPr>
          <w:cantSplit/>
        </w:trPr>
        <w:tc>
          <w:tcPr>
            <w:tcW w:type="dxa" w:w="794"/>
            <w:vAlign w:val="center"/>
            <w:cantSplit/>
          </w:tcPr>
          <w:p>
            <w:pPr>
              <w:spacing w:line="240" w:lineRule="auto"/>
              <w:ind w:firstLine="0"/>
              <w:jc w:val="center"/>
            </w:pPr>
            <w:r/>
            <w:r>
              <w:rPr>
                <w:b w:val="0"/>
                <w:sz w:val="21"/>
              </w:rPr>
              <w:t>3</w:t>
            </w:r>
          </w:p>
        </w:tc>
        <w:tc>
          <w:tcPr>
            <w:tcW w:type="dxa" w:w="2608"/>
            <w:vAlign w:val="center"/>
            <w:cantSplit/>
          </w:tcPr>
          <w:p>
            <w:pPr>
              <w:spacing w:line="240" w:lineRule="auto"/>
              <w:ind w:firstLine="0"/>
              <w:jc w:val="left"/>
            </w:pPr>
            <w:r/>
            <w:r>
              <w:rPr>
                <w:b w:val="0"/>
                <w:sz w:val="21"/>
              </w:rPr>
              <w:t>倾角仪/水平仪</w:t>
            </w:r>
          </w:p>
        </w:tc>
        <w:tc>
          <w:tcPr>
            <w:tcW w:type="dxa" w:w="3628"/>
            <w:vAlign w:val="center"/>
            <w:cantSplit/>
          </w:tcPr>
          <w:p>
            <w:pPr>
              <w:spacing w:line="240" w:lineRule="auto"/>
              <w:ind w:firstLine="0"/>
              <w:jc w:val="left"/>
            </w:pPr>
            <w:r/>
            <w:r>
              <w:rPr>
                <w:b w:val="0"/>
                <w:sz w:val="21"/>
              </w:rPr>
              <w:t>分辨率不低于0.1°</w:t>
            </w:r>
          </w:p>
        </w:tc>
        <w:tc>
          <w:tcPr>
            <w:tcW w:type="dxa" w:w="2041"/>
            <w:vAlign w:val="center"/>
            <w:cantSplit/>
          </w:tcPr>
          <w:p>
            <w:pPr>
              <w:spacing w:line="240" w:lineRule="auto"/>
              <w:ind w:firstLine="0"/>
              <w:jc w:val="left"/>
            </w:pPr>
            <w:r/>
            <w:r>
              <w:rPr>
                <w:b w:val="0"/>
                <w:sz w:val="21"/>
              </w:rPr>
              <w:t>天线姿态及限位位置检查</w:t>
            </w:r>
          </w:p>
        </w:tc>
      </w:tr>
      <w:tr>
        <w:trPr>
          <w:cantSplit/>
        </w:trPr>
        <w:tc>
          <w:tcPr>
            <w:tcW w:type="dxa" w:w="794"/>
            <w:vAlign w:val="center"/>
            <w:cantSplit/>
          </w:tcPr>
          <w:p>
            <w:pPr>
              <w:spacing w:line="240" w:lineRule="auto"/>
              <w:ind w:firstLine="0"/>
              <w:jc w:val="center"/>
            </w:pPr>
            <w:r/>
            <w:r>
              <w:rPr>
                <w:b w:val="0"/>
                <w:sz w:val="21"/>
              </w:rPr>
              <w:t>4</w:t>
            </w:r>
          </w:p>
        </w:tc>
        <w:tc>
          <w:tcPr>
            <w:tcW w:type="dxa" w:w="2608"/>
            <w:vAlign w:val="center"/>
            <w:cantSplit/>
          </w:tcPr>
          <w:p>
            <w:pPr>
              <w:spacing w:line="240" w:lineRule="auto"/>
              <w:ind w:firstLine="0"/>
              <w:jc w:val="left"/>
            </w:pPr>
            <w:r/>
            <w:r>
              <w:rPr>
                <w:b w:val="0"/>
                <w:sz w:val="21"/>
              </w:rPr>
              <w:t>万用表</w:t>
            </w:r>
          </w:p>
        </w:tc>
        <w:tc>
          <w:tcPr>
            <w:tcW w:type="dxa" w:w="3628"/>
            <w:vAlign w:val="center"/>
            <w:cantSplit/>
          </w:tcPr>
          <w:p>
            <w:pPr>
              <w:spacing w:line="240" w:lineRule="auto"/>
              <w:ind w:firstLine="0"/>
              <w:jc w:val="left"/>
            </w:pPr>
            <w:r/>
            <w:r>
              <w:rPr>
                <w:b w:val="0"/>
                <w:sz w:val="21"/>
              </w:rPr>
              <w:t>常规电气参数测量</w:t>
            </w:r>
          </w:p>
        </w:tc>
        <w:tc>
          <w:tcPr>
            <w:tcW w:type="dxa" w:w="2041"/>
            <w:vAlign w:val="center"/>
            <w:cantSplit/>
          </w:tcPr>
          <w:p>
            <w:pPr>
              <w:spacing w:line="240" w:lineRule="auto"/>
              <w:ind w:firstLine="0"/>
              <w:jc w:val="left"/>
            </w:pPr>
            <w:r/>
            <w:r>
              <w:rPr>
                <w:b w:val="0"/>
                <w:sz w:val="21"/>
              </w:rPr>
              <w:t>供电及控制回路状态核查</w:t>
            </w:r>
          </w:p>
        </w:tc>
      </w:tr>
    </w:tbl>
    <w:p>
      <w:r>
        <w:rPr>
          <w:b w:val="0"/>
        </w:rPr>
        <w:t>注：上述仪器仪表应处于检定/校准有效期内，检测前进行功能确认。</w:t>
      </w:r>
    </w:p>
    <w:p>
      <w:pPr>
        <w:pStyle w:val="Heading2"/>
      </w:pPr>
      <w:r>
        <w:rPr>
          <w:b/>
        </w:rPr>
        <w:t>4.3 检测安全注意事项</w:t>
      </w:r>
    </w:p>
    <w:p>
      <w:r>
        <w:rPr>
          <w:b w:val="0"/>
        </w:rPr>
        <w:t>（1）KU-BUC、KU-LNB等有源器件受严重冲击，在未排除内部损伤前严禁盲目加电测试，防止二次损坏及人身伤害；</w:t>
      </w:r>
    </w:p>
    <w:p>
      <w:r>
        <w:rPr>
          <w:b w:val="0"/>
        </w:rPr>
        <w:t>（2）天线反射面板多处破损，检查及搬运作业时应佩戴防护手套，防止金属毛刺割伤；</w:t>
      </w:r>
    </w:p>
    <w:p>
      <w:r>
        <w:rPr>
          <w:b w:val="0"/>
        </w:rPr>
        <w:t>（3）拆解机械驱动部件前应切断天线控制系统供电，并采取防坠落、防倾覆措施；</w:t>
      </w:r>
    </w:p>
    <w:p>
      <w:r>
        <w:rPr>
          <w:b w:val="0"/>
        </w:rPr>
        <w:t>（4）吊装及高处作业应符合相关安全操作规程。</w:t>
      </w:r>
    </w:p>
    <w:p>
      <w:pPr>
        <w:pStyle w:val="Heading1"/>
      </w:pPr>
      <w:r>
        <w:rPr>
          <w:b/>
        </w:rPr>
        <w:t>5 检测方法与判定准则</w:t>
      </w:r>
    </w:p>
    <w:p>
      <w:pPr>
        <w:pStyle w:val="Heading2"/>
      </w:pPr>
      <w:r>
        <w:rPr>
          <w:b/>
        </w:rPr>
        <w:t>5.1 检测方法</w:t>
      </w:r>
    </w:p>
    <w:p>
      <w:r>
        <w:rPr>
          <w:b w:val="0"/>
        </w:rPr>
        <w:t>本次初步评估检测采用外观结构检查法为主、出厂检测资料查验为辅的检测方式，各检测项的具体方法说明如下：</w:t>
      </w:r>
    </w:p>
    <w:p>
      <w:r>
        <w:rPr>
          <w:b w:val="0"/>
        </w:rPr>
        <w:t>（1）外观结构检查法：对部件外观状态、形变、断裂、间隙进行目视及量具检查，如实记录损伤状况；</w:t>
      </w:r>
    </w:p>
    <w:p>
      <w:r>
        <w:rPr>
          <w:b w:val="0"/>
        </w:rPr>
        <w:t>（2）出厂检测报告查验法：对有出厂量化指标的部件（天线、功放、LNB等），查验出厂检测报告并作为标准要求值的核对依据（依据JT/T 1007.3—2024表4、表6、表7）；</w:t>
      </w:r>
    </w:p>
    <w:p>
      <w:r>
        <w:rPr>
          <w:b w:val="0"/>
        </w:rPr>
        <w:t>（3）专项测试法：对具备通电及加电条件的部件，依据JT/T 1007.3—2024第5.2.3～5.2.6条规定的检测方法实施射频指标专项检测；本次受部件损伤状态限制，有源器件及转动部件的专项测试待拆解、返厂或修复后实施。</w:t>
      </w:r>
    </w:p>
    <w:p>
      <w:pPr>
        <w:pStyle w:val="Heading2"/>
      </w:pPr>
      <w:r>
        <w:rPr>
          <w:b/>
        </w:rPr>
        <w:t>5.2 判定准则</w:t>
      </w:r>
    </w:p>
    <w:p>
      <w:r>
        <w:rPr>
          <w:b w:val="0"/>
        </w:rPr>
        <w:t>按部件损伤状态，检测判定结论分为以下三类：</w:t>
      </w:r>
    </w:p>
    <w:p>
      <w:r>
        <w:rPr>
          <w:b w:val="0"/>
        </w:rPr>
        <w:t>（1）严重损伤：部件已丧失功能或无法修复，判定为需更换；</w:t>
      </w:r>
    </w:p>
    <w:p>
      <w:r>
        <w:rPr>
          <w:b w:val="0"/>
        </w:rPr>
        <w:t>（2）受损可修复：部件存在损伤但具备修复条件，判定为需修复处理；</w:t>
      </w:r>
    </w:p>
    <w:p>
      <w:r>
        <w:rPr>
          <w:b w:val="0"/>
        </w:rPr>
        <w:t>（3）待进一步检测：部件处于受冲击部位，或需拆解、通电后方可确定损伤程度，判定为待检。</w:t>
      </w:r>
    </w:p>
    <w:p>
      <w:r>
        <w:rPr>
          <w:b w:val="0"/>
        </w:rPr>
        <w:t>有源器件（KU-BUC、KU-LNB）受严重冲击，依据YD/T 2675-2015有关要求及JT/T 1007.3—2024第5.2.4、5.2.5条检测条件，在未排除内部损伤前不具备通电测试条件，按待进一步检测处理。</w:t>
      </w:r>
    </w:p>
    <w:p>
      <w:pPr>
        <w:pStyle w:val="Heading1"/>
      </w:pPr>
      <w:r>
        <w:rPr>
          <w:b/>
        </w:rPr>
        <w:t>6 分项检测结果</w:t>
      </w:r>
    </w:p>
    <w:p>
      <w:pPr>
        <w:pStyle w:val="Heading2"/>
      </w:pPr>
      <w:r>
        <w:rPr>
          <w:b/>
        </w:rPr>
        <w:t>6.1 天线系统结构检测</w:t>
      </w:r>
    </w:p>
    <w:p>
      <w:pPr>
        <w:pStyle w:val="Heading3"/>
      </w:pPr>
      <w:r>
        <w:rPr>
          <w:b/>
        </w:rPr>
        <w:t>6.1.1 天线俯仰钢丝</w:t>
      </w:r>
    </w:p>
    <w:p>
      <w:pPr>
        <w:ind w:firstLine="0"/>
      </w:pPr>
      <w:r>
        <w:rPr>
          <w:b w:val="0"/>
        </w:rPr>
        <w:t>检测方法：外观结构检查。</w:t>
      </w:r>
    </w:p>
    <w:p>
      <w:r>
        <w:rPr>
          <w:b w:val="0"/>
        </w:rPr>
        <w:t>检测结果：共12根，实测全部断裂，天线俯仰角度支撑及回中功能丧失。</w:t>
      </w:r>
    </w:p>
    <w:p>
      <w:pPr>
        <w:ind w:firstLine="0"/>
      </w:pPr>
      <w:r>
        <w:rPr>
          <w:b/>
        </w:rPr>
        <w:t>判定：严重损伤，需整体更换。</w:t>
      </w:r>
    </w:p>
    <w:p>
      <w:pPr>
        <w:ind w:firstLine="0"/>
      </w:pPr>
      <w:r>
        <w:rPr>
          <w:b/>
        </w:rPr>
        <w:t>【附件：现场检测照片____（此处自行插入图片）】</w:t>
      </w:r>
    </w:p>
    <w:p>
      <w:pPr>
        <w:pStyle w:val="Heading3"/>
      </w:pPr>
      <w:r>
        <w:rPr>
          <w:b/>
        </w:rPr>
        <w:t>6.1.2 天线反射面板</w:t>
      </w:r>
    </w:p>
    <w:p>
      <w:pPr>
        <w:ind w:firstLine="0"/>
      </w:pPr>
      <w:r>
        <w:rPr>
          <w:b w:val="0"/>
        </w:rPr>
        <w:t>检测方法：外观结构检查，结合出厂检测报告（JT/T 1007.3—2024表4项1～5：Ku频段等效直径0.8m/0.6m；发射增益≥[36+20lg(f/14.25)]dBi；接收增益≥[36+20lg(f/12.5)]dBi；驻波比≤1.25:1）。</w:t>
      </w:r>
    </w:p>
    <w:p>
      <w:r>
        <w:rPr>
          <w:b w:val="0"/>
        </w:rPr>
        <w:t>检测结果：面板多处破损，无法修复（一体成型结构，对反射面精度要求高，破损将直接导致增益及驻波指标劣化）。</w:t>
      </w:r>
    </w:p>
    <w:p>
      <w:pPr>
        <w:ind w:firstLine="0"/>
      </w:pPr>
      <w:r>
        <w:rPr>
          <w:b/>
        </w:rPr>
        <w:t>判定：严重损伤，需更换。</w:t>
      </w:r>
    </w:p>
    <w:p>
      <w:pPr>
        <w:ind w:firstLine="0"/>
      </w:pPr>
      <w:r>
        <w:rPr>
          <w:b/>
        </w:rPr>
        <w:t>【附件：现场检测照片____（此处自行插入图片）】</w:t>
      </w:r>
    </w:p>
    <w:p>
      <w:pPr>
        <w:pStyle w:val="Heading3"/>
      </w:pPr>
      <w:r>
        <w:rPr>
          <w:b/>
        </w:rPr>
        <w:t>6.1.3 天线面内部龙骨</w:t>
      </w:r>
    </w:p>
    <w:p>
      <w:pPr>
        <w:ind w:firstLine="0"/>
      </w:pPr>
      <w:r>
        <w:rPr>
          <w:b w:val="0"/>
        </w:rPr>
        <w:t>检测方法：外观结构检查，形变需拆解后用量具测量确认。</w:t>
      </w:r>
    </w:p>
    <w:p>
      <w:r>
        <w:rPr>
          <w:b w:val="0"/>
        </w:rPr>
        <w:t>检测结果：受冲击，是否形变待检测（天线面内部无法直接判断，需拆解测量）。</w:t>
      </w:r>
    </w:p>
    <w:p>
      <w:pPr>
        <w:ind w:firstLine="0"/>
      </w:pPr>
      <w:r>
        <w:rPr>
          <w:b/>
        </w:rPr>
        <w:t>判定：待进一步检测。</w:t>
      </w:r>
    </w:p>
    <w:p>
      <w:pPr>
        <w:ind w:firstLine="0"/>
      </w:pPr>
      <w:r>
        <w:rPr>
          <w:b/>
        </w:rPr>
        <w:t>【附件：现场检测照片____（此处自行插入图片）】</w:t>
      </w:r>
    </w:p>
    <w:p>
      <w:pPr>
        <w:pStyle w:val="Heading3"/>
      </w:pPr>
      <w:r>
        <w:rPr>
          <w:b/>
        </w:rPr>
        <w:t>6.1.4 天线面后盖板</w:t>
      </w:r>
    </w:p>
    <w:p>
      <w:pPr>
        <w:ind w:firstLine="0"/>
      </w:pPr>
      <w:r>
        <w:rPr>
          <w:b w:val="0"/>
        </w:rPr>
        <w:t>检测方法：外观结构检查，密封性能检查。</w:t>
      </w:r>
    </w:p>
    <w:p>
      <w:r>
        <w:rPr>
          <w:b w:val="0"/>
        </w:rPr>
        <w:t>检测结果：存在损伤，防护及密封性能可能受影响。</w:t>
      </w:r>
    </w:p>
    <w:p>
      <w:pPr>
        <w:ind w:firstLine="0"/>
      </w:pPr>
      <w:r>
        <w:rPr>
          <w:b/>
        </w:rPr>
        <w:t>判定：受损可修复，需修复处理。</w:t>
      </w:r>
    </w:p>
    <w:p>
      <w:pPr>
        <w:ind w:firstLine="0"/>
      </w:pPr>
      <w:r>
        <w:rPr>
          <w:b/>
        </w:rPr>
        <w:t>【附件：现场检测照片____（此处自行插入图片）】</w:t>
      </w:r>
    </w:p>
    <w:p>
      <w:pPr>
        <w:pStyle w:val="Heading3"/>
      </w:pPr>
      <w:r>
        <w:rPr>
          <w:b/>
        </w:rPr>
        <w:t>6.1.5 馈源支撑架</w:t>
      </w:r>
    </w:p>
    <w:p>
      <w:pPr>
        <w:ind w:firstLine="0"/>
      </w:pPr>
      <w:r>
        <w:rPr>
          <w:b w:val="0"/>
        </w:rPr>
        <w:t>检测方法：外观结构检查，定位尺寸测量。</w:t>
      </w:r>
    </w:p>
    <w:p>
      <w:r>
        <w:rPr>
          <w:b w:val="0"/>
        </w:rPr>
        <w:t>检测结果：支架变形（馈源安装精度要求高，变形将影响天线照射效率及增益）。</w:t>
      </w:r>
    </w:p>
    <w:p>
      <w:pPr>
        <w:ind w:firstLine="0"/>
      </w:pPr>
      <w:r>
        <w:rPr>
          <w:b/>
        </w:rPr>
        <w:t>判定：严重损伤，需更换。</w:t>
      </w:r>
    </w:p>
    <w:p>
      <w:pPr>
        <w:ind w:firstLine="0"/>
      </w:pPr>
      <w:r>
        <w:rPr>
          <w:b/>
        </w:rPr>
        <w:t>【附件：现场检测照片____（此处自行插入图片）】</w:t>
      </w:r>
    </w:p>
    <w:p>
      <w:pPr>
        <w:pStyle w:val="Heading3"/>
      </w:pPr>
      <w:r>
        <w:rPr>
          <w:b/>
        </w:rPr>
        <w:t>6.1.6 液压支撑杆</w:t>
      </w:r>
    </w:p>
    <w:p>
      <w:pPr>
        <w:ind w:firstLine="0"/>
      </w:pPr>
      <w:r>
        <w:rPr>
          <w:b w:val="0"/>
        </w:rPr>
        <w:t>检测方法：外观结构检查，配合间隙测量。</w:t>
      </w:r>
    </w:p>
    <w:p>
      <w:r>
        <w:rPr>
          <w:b w:val="0"/>
        </w:rPr>
        <w:t>检测结果：共2根，间隙过大，升降支撑功能异常。</w:t>
      </w:r>
    </w:p>
    <w:p>
      <w:pPr>
        <w:ind w:firstLine="0"/>
      </w:pPr>
      <w:r>
        <w:rPr>
          <w:b/>
        </w:rPr>
        <w:t>判定：严重损伤，需更换。</w:t>
      </w:r>
    </w:p>
    <w:p>
      <w:pPr>
        <w:ind w:firstLine="0"/>
      </w:pPr>
      <w:r>
        <w:rPr>
          <w:b/>
        </w:rPr>
        <w:t>【附件：现场检测照片____（此处自行插入图片）】</w:t>
      </w:r>
    </w:p>
    <w:p>
      <w:pPr>
        <w:pStyle w:val="Heading2"/>
      </w:pPr>
      <w:r>
        <w:rPr>
          <w:b/>
        </w:rPr>
        <w:t>6.2 射频链路部件检测</w:t>
      </w:r>
    </w:p>
    <w:p>
      <w:pPr>
        <w:pStyle w:val="Heading3"/>
      </w:pPr>
      <w:r>
        <w:rPr>
          <w:b/>
        </w:rPr>
        <w:t>6.2.1 KU-BUC（上变频功放）</w:t>
      </w:r>
    </w:p>
    <w:p>
      <w:pPr>
        <w:ind w:firstLine="0"/>
      </w:pPr>
      <w:r>
        <w:rPr>
          <w:b w:val="0"/>
        </w:rPr>
        <w:t>检测方法：外观检查；因受严重冲击，暂不满足通电条件，指标检测（输出频率14.0～14.5GHz；频率稳定度优于±10kHz；1dB压缩点功率，JT/T 1007.3—2024表6）待返厂实施。</w:t>
      </w:r>
    </w:p>
    <w:p>
      <w:r>
        <w:rPr>
          <w:b w:val="0"/>
        </w:rPr>
        <w:t>检测结果：受严重冲击，是否损伤待检测。</w:t>
      </w:r>
    </w:p>
    <w:p>
      <w:pPr>
        <w:ind w:firstLine="0"/>
      </w:pPr>
      <w:r>
        <w:rPr>
          <w:b/>
        </w:rPr>
        <w:t>判定：待进一步检测（返厂检测）。</w:t>
      </w:r>
    </w:p>
    <w:p>
      <w:pPr>
        <w:ind w:firstLine="0"/>
      </w:pPr>
      <w:r>
        <w:rPr>
          <w:b/>
        </w:rPr>
        <w:t>【附件：现场检测照片____（此处自行插入图片）】</w:t>
      </w:r>
    </w:p>
    <w:p>
      <w:pPr>
        <w:pStyle w:val="Heading3"/>
      </w:pPr>
      <w:r>
        <w:rPr>
          <w:b/>
        </w:rPr>
        <w:t>6.2.2 KU-LNB（低噪声下变频器）</w:t>
      </w:r>
    </w:p>
    <w:p>
      <w:pPr>
        <w:ind w:firstLine="0"/>
      </w:pPr>
      <w:r>
        <w:rPr>
          <w:b w:val="0"/>
        </w:rPr>
        <w:t>检测方法：外观检查；因受严重冲击，暂不满足通电条件，指标检测（输出频率12.25～12.75GHz；频率稳定度优于±10kHz，JT/T 1007.3—2024表7）待返厂实施。</w:t>
      </w:r>
    </w:p>
    <w:p>
      <w:r>
        <w:rPr>
          <w:b w:val="0"/>
        </w:rPr>
        <w:t>检测结果：受严重冲击，是否损伤待检测。</w:t>
      </w:r>
    </w:p>
    <w:p>
      <w:pPr>
        <w:ind w:firstLine="0"/>
      </w:pPr>
      <w:r>
        <w:rPr>
          <w:b/>
        </w:rPr>
        <w:t>判定：待进一步检测（返厂检测）。</w:t>
      </w:r>
    </w:p>
    <w:p>
      <w:pPr>
        <w:ind w:firstLine="0"/>
      </w:pPr>
      <w:r>
        <w:rPr>
          <w:b/>
        </w:rPr>
        <w:t>【附件：现场检测照片____（此处自行插入图片）】</w:t>
      </w:r>
    </w:p>
    <w:p>
      <w:pPr>
        <w:pStyle w:val="Heading3"/>
      </w:pPr>
      <w:r>
        <w:rPr>
          <w:b/>
        </w:rPr>
        <w:t>6.2.3 馈源喇叭</w:t>
      </w:r>
    </w:p>
    <w:p>
      <w:pPr>
        <w:ind w:firstLine="0"/>
      </w:pPr>
      <w:r>
        <w:rPr>
          <w:b w:val="0"/>
        </w:rPr>
        <w:t>检测方法：外观结构检查，外形尺寸及伤痕检查。</w:t>
      </w:r>
    </w:p>
    <w:p>
      <w:r>
        <w:rPr>
          <w:b w:val="0"/>
        </w:rPr>
        <w:t>检测结果：外观有伤痕，是否变形影响照射性能未确定。</w:t>
      </w:r>
    </w:p>
    <w:p>
      <w:pPr>
        <w:ind w:firstLine="0"/>
      </w:pPr>
      <w:r>
        <w:rPr>
          <w:b/>
        </w:rPr>
        <w:t>判定：待进一步检测。</w:t>
      </w:r>
    </w:p>
    <w:p>
      <w:pPr>
        <w:ind w:firstLine="0"/>
      </w:pPr>
      <w:r>
        <w:rPr>
          <w:b/>
        </w:rPr>
        <w:t>【附件：现场检测照片____（此处自行插入图片）】</w:t>
      </w:r>
    </w:p>
    <w:p>
      <w:pPr>
        <w:pStyle w:val="Heading3"/>
      </w:pPr>
      <w:r>
        <w:rPr>
          <w:b/>
        </w:rPr>
        <w:t>6.2.4 双工器</w:t>
      </w:r>
    </w:p>
    <w:p>
      <w:pPr>
        <w:ind w:firstLine="0"/>
      </w:pPr>
      <w:r>
        <w:rPr>
          <w:b w:val="0"/>
        </w:rPr>
        <w:t>检测方法：外观结构检查；射频指标（收发端口隔离度≥85dB，JT/T 1007.3—2024表4项7）待更换后专项测试。</w:t>
      </w:r>
    </w:p>
    <w:p>
      <w:r>
        <w:rPr>
          <w:b w:val="0"/>
        </w:rPr>
        <w:t>检测结果：金属波导断裂，收发链路物理中断。</w:t>
      </w:r>
    </w:p>
    <w:p>
      <w:pPr>
        <w:ind w:firstLine="0"/>
      </w:pPr>
      <w:r>
        <w:rPr>
          <w:b/>
        </w:rPr>
        <w:t>判定：严重损伤，需更换。</w:t>
      </w:r>
    </w:p>
    <w:p>
      <w:pPr>
        <w:ind w:firstLine="0"/>
      </w:pPr>
      <w:r>
        <w:rPr>
          <w:b/>
        </w:rPr>
        <w:t>【附件：现场检测照片____（此处自行插入图片）】</w:t>
      </w:r>
    </w:p>
    <w:p>
      <w:pPr>
        <w:pStyle w:val="Heading3"/>
      </w:pPr>
      <w:r>
        <w:rPr>
          <w:b/>
        </w:rPr>
        <w:t>6.2.5 旋转关节</w:t>
      </w:r>
    </w:p>
    <w:p>
      <w:pPr>
        <w:ind w:firstLine="0"/>
      </w:pPr>
      <w:r>
        <w:rPr>
          <w:b w:val="0"/>
        </w:rPr>
        <w:t>检测方法：外观检查及转动灵活性检查；射频插入损耗、驻波指标待专项测试。</w:t>
      </w:r>
    </w:p>
    <w:p>
      <w:r>
        <w:rPr>
          <w:b w:val="0"/>
        </w:rPr>
        <w:t>检测结果：处于受冲击部位，是否可用尚无法判断。</w:t>
      </w:r>
    </w:p>
    <w:p>
      <w:pPr>
        <w:ind w:firstLine="0"/>
      </w:pPr>
      <w:r>
        <w:rPr>
          <w:b/>
        </w:rPr>
        <w:t>判定：待进一步检测。</w:t>
      </w:r>
    </w:p>
    <w:p>
      <w:pPr>
        <w:ind w:firstLine="0"/>
      </w:pPr>
      <w:r>
        <w:rPr>
          <w:b/>
        </w:rPr>
        <w:t>【附件：现场检测照片____（此处自行插入图片）】</w:t>
      </w:r>
    </w:p>
    <w:p>
      <w:pPr>
        <w:pStyle w:val="Heading3"/>
      </w:pPr>
      <w:r>
        <w:rPr>
          <w:b/>
        </w:rPr>
        <w:t>6.2.6 软波导管</w:t>
      </w:r>
    </w:p>
    <w:p>
      <w:pPr>
        <w:ind w:firstLine="0"/>
      </w:pPr>
      <w:r>
        <w:rPr>
          <w:b w:val="0"/>
        </w:rPr>
        <w:t>检测方法：外观结构检查；内导体及驻波指标（驻波比≤1.25:1，JT/T 1007.3—2024表4项5）待专项测试。</w:t>
      </w:r>
    </w:p>
    <w:p>
      <w:r>
        <w:rPr>
          <w:b w:val="0"/>
        </w:rPr>
        <w:t>检测结果：处于受冲击部位，内部是否形变尚无法判断。</w:t>
      </w:r>
    </w:p>
    <w:p>
      <w:pPr>
        <w:ind w:firstLine="0"/>
      </w:pPr>
      <w:r>
        <w:rPr>
          <w:b/>
        </w:rPr>
        <w:t>判定：待进一步检测。</w:t>
      </w:r>
    </w:p>
    <w:p>
      <w:pPr>
        <w:ind w:firstLine="0"/>
      </w:pPr>
      <w:r>
        <w:rPr>
          <w:b/>
        </w:rPr>
        <w:t>【附件：现场检测照片____（此处自行插入图片）】</w:t>
      </w:r>
    </w:p>
    <w:p>
      <w:pPr>
        <w:pStyle w:val="Heading2"/>
      </w:pPr>
      <w:r>
        <w:rPr>
          <w:b/>
        </w:rPr>
        <w:t>6.3 机械驱动系统检测</w:t>
      </w:r>
    </w:p>
    <w:p>
      <w:pPr>
        <w:pStyle w:val="Heading3"/>
      </w:pPr>
      <w:r>
        <w:rPr>
          <w:b/>
        </w:rPr>
        <w:t>6.3.1 方位电机减速组</w:t>
      </w:r>
    </w:p>
    <w:p>
      <w:pPr>
        <w:ind w:firstLine="0"/>
      </w:pPr>
      <w:r>
        <w:rPr>
          <w:b w:val="0"/>
        </w:rPr>
        <w:t>检测方法：外观检查，传动间隙检查；方位转动范围（360°连续转动，JT/T 1007.3—2024表4项10）待修复后测试。</w:t>
      </w:r>
    </w:p>
    <w:p>
      <w:r>
        <w:rPr>
          <w:b w:val="0"/>
        </w:rPr>
        <w:t>检测结果：天线方位间隙过大，未拆解无法判定内部问题。</w:t>
      </w:r>
    </w:p>
    <w:p>
      <w:pPr>
        <w:ind w:firstLine="0"/>
      </w:pPr>
      <w:r>
        <w:rPr>
          <w:b/>
        </w:rPr>
        <w:t>判定：待进一步检测（拆解检查）。</w:t>
      </w:r>
    </w:p>
    <w:p>
      <w:pPr>
        <w:ind w:firstLine="0"/>
      </w:pPr>
      <w:r>
        <w:rPr>
          <w:b/>
        </w:rPr>
        <w:t>【附件：现场检测照片____（此处自行插入图片）】</w:t>
      </w:r>
    </w:p>
    <w:p>
      <w:pPr>
        <w:pStyle w:val="Heading3"/>
      </w:pPr>
      <w:r>
        <w:rPr>
          <w:b/>
        </w:rPr>
        <w:t>6.3.2 俯仰电机减速组</w:t>
      </w:r>
    </w:p>
    <w:p>
      <w:pPr>
        <w:ind w:firstLine="0"/>
      </w:pPr>
      <w:r>
        <w:rPr>
          <w:b w:val="0"/>
        </w:rPr>
        <w:t>检测方法：外观检查，传动检查；俯仰转动范围（0°～90°，JT/T 1007.3—2024表4项11）待修复后测试。</w:t>
      </w:r>
    </w:p>
    <w:p>
      <w:r>
        <w:rPr>
          <w:b w:val="0"/>
        </w:rPr>
        <w:t>检测结果：处于受力部位，未拆解无法判定。</w:t>
      </w:r>
    </w:p>
    <w:p>
      <w:pPr>
        <w:ind w:firstLine="0"/>
      </w:pPr>
      <w:r>
        <w:rPr>
          <w:b/>
        </w:rPr>
        <w:t>判定：待进一步检测（拆解检查）。</w:t>
      </w:r>
    </w:p>
    <w:p>
      <w:pPr>
        <w:ind w:firstLine="0"/>
      </w:pPr>
      <w:r>
        <w:rPr>
          <w:b/>
        </w:rPr>
        <w:t>【附件：现场检测照片____（此处自行插入图片）】</w:t>
      </w:r>
    </w:p>
    <w:p>
      <w:pPr>
        <w:pStyle w:val="Heading3"/>
      </w:pPr>
      <w:r>
        <w:rPr>
          <w:b/>
        </w:rPr>
        <w:t>6.3.3 极化电机及减速组</w:t>
      </w:r>
    </w:p>
    <w:p>
      <w:pPr>
        <w:ind w:firstLine="0"/>
      </w:pPr>
      <w:r>
        <w:rPr>
          <w:b w:val="0"/>
        </w:rPr>
        <w:t>检测方法：外观检查，传动检查；极化调整范围（-90°～+90°，相对误差±3°，JT/T 1007.3—2024表4项13）待修复后测试。</w:t>
      </w:r>
    </w:p>
    <w:p>
      <w:r>
        <w:rPr>
          <w:b w:val="0"/>
        </w:rPr>
        <w:t>检测结果：处于受冲击部位，未拆解无法判定。</w:t>
      </w:r>
    </w:p>
    <w:p>
      <w:pPr>
        <w:ind w:firstLine="0"/>
      </w:pPr>
      <w:r>
        <w:rPr>
          <w:b/>
        </w:rPr>
        <w:t>判定：待进一步检测（拆解检查）。</w:t>
      </w:r>
    </w:p>
    <w:p>
      <w:pPr>
        <w:ind w:firstLine="0"/>
      </w:pPr>
      <w:r>
        <w:rPr>
          <w:b/>
        </w:rPr>
        <w:t>【附件：现场检测照片____（此处自行插入图片）】</w:t>
      </w:r>
    </w:p>
    <w:p>
      <w:pPr>
        <w:pStyle w:val="Heading2"/>
      </w:pPr>
      <w:r>
        <w:rPr>
          <w:b/>
        </w:rPr>
        <w:t>6.4 辅助部件检测</w:t>
      </w:r>
    </w:p>
    <w:p>
      <w:pPr>
        <w:pStyle w:val="Heading3"/>
      </w:pPr>
      <w:r>
        <w:rPr>
          <w:b/>
        </w:rPr>
        <w:t>6.4.1 基站GPS天线及支架</w:t>
      </w:r>
    </w:p>
    <w:p>
      <w:pPr>
        <w:ind w:firstLine="0"/>
      </w:pPr>
      <w:r>
        <w:rPr>
          <w:b w:val="0"/>
        </w:rPr>
        <w:t>检测方法：外观结构检查。</w:t>
      </w:r>
    </w:p>
    <w:p>
      <w:r>
        <w:rPr>
          <w:b w:val="0"/>
        </w:rPr>
        <w:t>检测结果：天线开裂、支架变形，定位功能失效风险。</w:t>
      </w:r>
    </w:p>
    <w:p>
      <w:pPr>
        <w:ind w:firstLine="0"/>
      </w:pPr>
      <w:r>
        <w:rPr>
          <w:b/>
        </w:rPr>
        <w:t>判定：严重损伤，需更换。</w:t>
      </w:r>
    </w:p>
    <w:p>
      <w:pPr>
        <w:ind w:firstLine="0"/>
      </w:pPr>
      <w:r>
        <w:rPr>
          <w:b/>
        </w:rPr>
        <w:t>【附件：现场检测照片____（此处自行插入图片）】</w:t>
      </w:r>
    </w:p>
    <w:p>
      <w:pPr>
        <w:pStyle w:val="Heading3"/>
      </w:pPr>
      <w:r>
        <w:rPr>
          <w:b/>
        </w:rPr>
        <w:t>6.4.2 防倾覆限位结构</w:t>
      </w:r>
    </w:p>
    <w:p>
      <w:pPr>
        <w:ind w:firstLine="0"/>
      </w:pPr>
      <w:r>
        <w:rPr>
          <w:b w:val="0"/>
        </w:rPr>
        <w:t>检测方法：外观结构检查，紧固状态检查；软硬件限位功能（JT/T 1007.3—2024表4项15）待修复后测试。</w:t>
      </w:r>
    </w:p>
    <w:p>
      <w:r>
        <w:rPr>
          <w:b w:val="0"/>
        </w:rPr>
        <w:t>检测结果：部件形变、螺丝断裂，限位保护功能丧失。</w:t>
      </w:r>
    </w:p>
    <w:p>
      <w:pPr>
        <w:ind w:firstLine="0"/>
      </w:pPr>
      <w:r>
        <w:rPr>
          <w:b/>
        </w:rPr>
        <w:t>判定：严重损伤，需更换。</w:t>
      </w:r>
    </w:p>
    <w:p>
      <w:pPr>
        <w:ind w:firstLine="0"/>
      </w:pPr>
      <w:r>
        <w:rPr>
          <w:b/>
        </w:rPr>
        <w:t>【附件：现场检测照片____（此处自行插入图片）】</w:t>
      </w:r>
    </w:p>
    <w:p>
      <w:pPr>
        <w:pStyle w:val="Heading1"/>
      </w:pPr>
      <w:r>
        <w:rPr>
          <w:b/>
        </w:rPr>
        <w:t>7 检测结果汇总表</w:t>
      </w:r>
    </w:p>
    <w:p>
      <w:pPr>
        <w:spacing w:after="80"/>
        <w:ind w:firstLine="0"/>
        <w:jc w:val="center"/>
      </w:pPr>
      <w:r>
        <w:rPr>
          <w:sz w:val="21"/>
        </w:rPr>
        <w:t>表7-1 云A6J6F2卫星应急车部件损坏检测结果汇总表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gridCol w:w="1512"/>
      </w:tblGrid>
      <w:tr>
        <w:trPr>
          <w:cantSplit/>
          <w:tblHeader/>
        </w:trPr>
        <w:tc>
          <w:tcPr>
            <w:tcW w:type="dxa" w:w="680"/>
            <w:vAlign w:val="center"/>
            <w:shd w:val="clear" w:color="auto" w:fill="D9D9D9"/>
            <w:cantSplit/>
          </w:tcPr>
          <w:p>
            <w:pPr>
              <w:spacing w:line="240" w:lineRule="auto"/>
              <w:ind w:firstLine="0"/>
              <w:jc w:val="center"/>
            </w:pPr>
            <w:r/>
            <w:r>
              <w:rPr>
                <w:b/>
                <w:sz w:val="21"/>
              </w:rPr>
              <w:t>序号</w:t>
            </w:r>
          </w:p>
        </w:tc>
        <w:tc>
          <w:tcPr>
            <w:tcW w:type="dxa" w:w="1701"/>
            <w:vAlign w:val="center"/>
            <w:shd w:val="clear" w:color="auto" w:fill="D9D9D9"/>
            <w:cantSplit/>
          </w:tcPr>
          <w:p>
            <w:pPr>
              <w:spacing w:line="240" w:lineRule="auto"/>
              <w:ind w:firstLine="0"/>
              <w:jc w:val="center"/>
            </w:pPr>
            <w:r/>
            <w:r>
              <w:rPr>
                <w:b/>
                <w:sz w:val="21"/>
              </w:rPr>
              <w:t>部件名称</w:t>
            </w:r>
          </w:p>
        </w:tc>
        <w:tc>
          <w:tcPr>
            <w:tcW w:type="dxa" w:w="794"/>
            <w:vAlign w:val="center"/>
            <w:shd w:val="clear" w:color="auto" w:fill="D9D9D9"/>
            <w:cantSplit/>
          </w:tcPr>
          <w:p>
            <w:pPr>
              <w:spacing w:line="240" w:lineRule="auto"/>
              <w:ind w:firstLine="0"/>
              <w:jc w:val="center"/>
            </w:pPr>
            <w:r/>
            <w:r>
              <w:rPr>
                <w:b/>
                <w:sz w:val="21"/>
              </w:rPr>
              <w:t>数量</w:t>
            </w:r>
          </w:p>
        </w:tc>
        <w:tc>
          <w:tcPr>
            <w:tcW w:type="dxa" w:w="2721"/>
            <w:vAlign w:val="center"/>
            <w:shd w:val="clear" w:color="auto" w:fill="D9D9D9"/>
            <w:cantSplit/>
          </w:tcPr>
          <w:p>
            <w:pPr>
              <w:spacing w:line="240" w:lineRule="auto"/>
              <w:ind w:firstLine="0"/>
              <w:jc w:val="center"/>
            </w:pPr>
            <w:r/>
            <w:r>
              <w:rPr>
                <w:b/>
                <w:sz w:val="21"/>
              </w:rPr>
              <w:t>标准要求值</w:t>
            </w:r>
          </w:p>
        </w:tc>
        <w:tc>
          <w:tcPr>
            <w:tcW w:type="dxa" w:w="1701"/>
            <w:vAlign w:val="center"/>
            <w:shd w:val="clear" w:color="auto" w:fill="D9D9D9"/>
            <w:cantSplit/>
          </w:tcPr>
          <w:p>
            <w:pPr>
              <w:spacing w:line="240" w:lineRule="auto"/>
              <w:ind w:firstLine="0"/>
              <w:jc w:val="center"/>
            </w:pPr>
            <w:r/>
            <w:r>
              <w:rPr>
                <w:b/>
                <w:sz w:val="21"/>
              </w:rPr>
              <w:t>实测状况</w:t>
            </w:r>
          </w:p>
        </w:tc>
        <w:tc>
          <w:tcPr>
            <w:tcW w:type="dxa" w:w="1474"/>
            <w:vAlign w:val="center"/>
            <w:shd w:val="clear" w:color="auto" w:fill="D9D9D9"/>
            <w:cantSplit/>
          </w:tcPr>
          <w:p>
            <w:pPr>
              <w:spacing w:line="240" w:lineRule="auto"/>
              <w:ind w:firstLine="0"/>
              <w:jc w:val="center"/>
            </w:pPr>
            <w:r/>
            <w:r>
              <w:rPr>
                <w:b/>
                <w:sz w:val="21"/>
              </w:rPr>
              <w:t>判定结论</w:t>
            </w:r>
          </w:p>
        </w:tc>
      </w:tr>
      <w:tr>
        <w:trPr>
          <w:cantSplit/>
        </w:trPr>
        <w:tc>
          <w:tcPr>
            <w:tcW w:type="dxa" w:w="680"/>
            <w:vAlign w:val="center"/>
            <w:cantSplit/>
          </w:tcPr>
          <w:p>
            <w:pPr>
              <w:spacing w:line="240" w:lineRule="auto"/>
              <w:ind w:firstLine="0"/>
              <w:jc w:val="center"/>
            </w:pPr>
            <w:r/>
            <w:r>
              <w:rPr>
                <w:b w:val="0"/>
                <w:sz w:val="21"/>
              </w:rPr>
              <w:t>1</w:t>
            </w:r>
          </w:p>
        </w:tc>
        <w:tc>
          <w:tcPr>
            <w:tcW w:type="dxa" w:w="1701"/>
            <w:vAlign w:val="center"/>
            <w:cantSplit/>
          </w:tcPr>
          <w:p>
            <w:pPr>
              <w:spacing w:line="240" w:lineRule="auto"/>
              <w:ind w:firstLine="0"/>
              <w:jc w:val="left"/>
            </w:pPr>
            <w:r/>
            <w:r>
              <w:rPr>
                <w:b w:val="0"/>
                <w:sz w:val="21"/>
              </w:rPr>
              <w:t>天线俯仰钢丝</w:t>
            </w:r>
          </w:p>
        </w:tc>
        <w:tc>
          <w:tcPr>
            <w:tcW w:type="dxa" w:w="794"/>
            <w:vAlign w:val="center"/>
            <w:cantSplit/>
          </w:tcPr>
          <w:p>
            <w:pPr>
              <w:spacing w:line="240" w:lineRule="auto"/>
              <w:ind w:firstLine="0"/>
              <w:jc w:val="center"/>
            </w:pPr>
            <w:r/>
            <w:r>
              <w:rPr>
                <w:b w:val="0"/>
                <w:sz w:val="21"/>
              </w:rPr>
              <w:t>12根</w:t>
            </w:r>
          </w:p>
        </w:tc>
        <w:tc>
          <w:tcPr>
            <w:tcW w:type="dxa" w:w="2721"/>
            <w:vAlign w:val="center"/>
            <w:cantSplit/>
          </w:tcPr>
          <w:p>
            <w:pPr>
              <w:spacing w:line="240" w:lineRule="auto"/>
              <w:ind w:firstLine="0"/>
              <w:jc w:val="left"/>
            </w:pPr>
            <w:r/>
            <w:r>
              <w:rPr>
                <w:b w:val="0"/>
                <w:sz w:val="21"/>
              </w:rPr>
              <w:t>结构件完好、无断裂</w:t>
            </w:r>
          </w:p>
        </w:tc>
        <w:tc>
          <w:tcPr>
            <w:tcW w:type="dxa" w:w="1701"/>
            <w:vAlign w:val="center"/>
            <w:cantSplit/>
          </w:tcPr>
          <w:p>
            <w:pPr>
              <w:spacing w:line="240" w:lineRule="auto"/>
              <w:ind w:firstLine="0"/>
              <w:jc w:val="left"/>
            </w:pPr>
            <w:r/>
            <w:r>
              <w:rPr>
                <w:b w:val="0"/>
                <w:sz w:val="21"/>
              </w:rPr>
              <w:t>全部断裂</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2</w:t>
            </w:r>
          </w:p>
        </w:tc>
        <w:tc>
          <w:tcPr>
            <w:tcW w:type="dxa" w:w="1701"/>
            <w:vAlign w:val="center"/>
            <w:cantSplit/>
          </w:tcPr>
          <w:p>
            <w:pPr>
              <w:spacing w:line="240" w:lineRule="auto"/>
              <w:ind w:firstLine="0"/>
              <w:jc w:val="left"/>
            </w:pPr>
            <w:r/>
            <w:r>
              <w:rPr>
                <w:b w:val="0"/>
                <w:sz w:val="21"/>
              </w:rPr>
              <w:t>天线反射面板</w:t>
            </w:r>
          </w:p>
        </w:tc>
        <w:tc>
          <w:tcPr>
            <w:tcW w:type="dxa" w:w="794"/>
            <w:vAlign w:val="center"/>
            <w:cantSplit/>
          </w:tcPr>
          <w:p>
            <w:pPr>
              <w:spacing w:line="240" w:lineRule="auto"/>
              <w:ind w:firstLine="0"/>
              <w:jc w:val="center"/>
            </w:pPr>
            <w:r/>
            <w:r>
              <w:rPr>
                <w:b w:val="0"/>
                <w:sz w:val="21"/>
              </w:rPr>
              <w:t>1副</w:t>
            </w:r>
          </w:p>
        </w:tc>
        <w:tc>
          <w:tcPr>
            <w:tcW w:type="dxa" w:w="2721"/>
            <w:vAlign w:val="center"/>
            <w:cantSplit/>
          </w:tcPr>
          <w:p>
            <w:pPr>
              <w:spacing w:line="240" w:lineRule="auto"/>
              <w:ind w:firstLine="0"/>
              <w:jc w:val="left"/>
            </w:pPr>
            <w:r/>
            <w:r>
              <w:rPr>
                <w:b w:val="0"/>
                <w:sz w:val="21"/>
              </w:rPr>
              <w:t>Ku频段；发射增益≥[36+20lg(f/14.25)]dBi；接收增益≥[36+20lg(f/12.5)]dBi；驻波比≤1.25:1</w:t>
            </w:r>
          </w:p>
        </w:tc>
        <w:tc>
          <w:tcPr>
            <w:tcW w:type="dxa" w:w="1701"/>
            <w:vAlign w:val="center"/>
            <w:cantSplit/>
          </w:tcPr>
          <w:p>
            <w:pPr>
              <w:spacing w:line="240" w:lineRule="auto"/>
              <w:ind w:firstLine="0"/>
              <w:jc w:val="left"/>
            </w:pPr>
            <w:r/>
            <w:r>
              <w:rPr>
                <w:b w:val="0"/>
                <w:sz w:val="21"/>
              </w:rPr>
              <w:t>多处破损，无法修复</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3</w:t>
            </w:r>
          </w:p>
        </w:tc>
        <w:tc>
          <w:tcPr>
            <w:tcW w:type="dxa" w:w="1701"/>
            <w:vAlign w:val="center"/>
            <w:cantSplit/>
          </w:tcPr>
          <w:p>
            <w:pPr>
              <w:spacing w:line="240" w:lineRule="auto"/>
              <w:ind w:firstLine="0"/>
              <w:jc w:val="left"/>
            </w:pPr>
            <w:r/>
            <w:r>
              <w:rPr>
                <w:b w:val="0"/>
                <w:sz w:val="21"/>
              </w:rPr>
              <w:t>天线面内部龙骨</w:t>
            </w:r>
          </w:p>
        </w:tc>
        <w:tc>
          <w:tcPr>
            <w:tcW w:type="dxa" w:w="794"/>
            <w:vAlign w:val="center"/>
            <w:cantSplit/>
          </w:tcPr>
          <w:p>
            <w:pPr>
              <w:spacing w:line="240" w:lineRule="auto"/>
              <w:ind w:firstLine="0"/>
              <w:jc w:val="center"/>
            </w:pPr>
            <w:r/>
            <w:r>
              <w:rPr>
                <w:b w:val="0"/>
                <w:sz w:val="21"/>
              </w:rPr>
              <w:t>1副</w:t>
            </w:r>
          </w:p>
        </w:tc>
        <w:tc>
          <w:tcPr>
            <w:tcW w:type="dxa" w:w="2721"/>
            <w:vAlign w:val="center"/>
            <w:cantSplit/>
          </w:tcPr>
          <w:p>
            <w:pPr>
              <w:spacing w:line="240" w:lineRule="auto"/>
              <w:ind w:firstLine="0"/>
              <w:jc w:val="left"/>
            </w:pPr>
            <w:r/>
            <w:r>
              <w:rPr>
                <w:b w:val="0"/>
                <w:sz w:val="21"/>
              </w:rPr>
              <w:t>结构件无变形、形位公差合格</w:t>
            </w:r>
          </w:p>
        </w:tc>
        <w:tc>
          <w:tcPr>
            <w:tcW w:type="dxa" w:w="1701"/>
            <w:vAlign w:val="center"/>
            <w:cantSplit/>
          </w:tcPr>
          <w:p>
            <w:pPr>
              <w:spacing w:line="240" w:lineRule="auto"/>
              <w:ind w:firstLine="0"/>
              <w:jc w:val="left"/>
            </w:pPr>
            <w:r/>
            <w:r>
              <w:rPr>
                <w:b w:val="0"/>
                <w:sz w:val="21"/>
              </w:rPr>
              <w:t>待检测是否形变</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4</w:t>
            </w:r>
          </w:p>
        </w:tc>
        <w:tc>
          <w:tcPr>
            <w:tcW w:type="dxa" w:w="1701"/>
            <w:vAlign w:val="center"/>
            <w:cantSplit/>
          </w:tcPr>
          <w:p>
            <w:pPr>
              <w:spacing w:line="240" w:lineRule="auto"/>
              <w:ind w:firstLine="0"/>
              <w:jc w:val="left"/>
            </w:pPr>
            <w:r/>
            <w:r>
              <w:rPr>
                <w:b w:val="0"/>
                <w:sz w:val="21"/>
              </w:rPr>
              <w:t>天线面后盖板</w:t>
            </w:r>
          </w:p>
        </w:tc>
        <w:tc>
          <w:tcPr>
            <w:tcW w:type="dxa" w:w="794"/>
            <w:vAlign w:val="center"/>
            <w:cantSplit/>
          </w:tcPr>
          <w:p>
            <w:pPr>
              <w:spacing w:line="240" w:lineRule="auto"/>
              <w:ind w:firstLine="0"/>
              <w:jc w:val="center"/>
            </w:pPr>
            <w:r/>
            <w:r>
              <w:rPr>
                <w:b w:val="0"/>
                <w:sz w:val="21"/>
              </w:rPr>
              <w:t>1副</w:t>
            </w:r>
          </w:p>
        </w:tc>
        <w:tc>
          <w:tcPr>
            <w:tcW w:type="dxa" w:w="2721"/>
            <w:vAlign w:val="center"/>
            <w:cantSplit/>
          </w:tcPr>
          <w:p>
            <w:pPr>
              <w:spacing w:line="240" w:lineRule="auto"/>
              <w:ind w:firstLine="0"/>
              <w:jc w:val="left"/>
            </w:pPr>
            <w:r/>
            <w:r>
              <w:rPr>
                <w:b w:val="0"/>
                <w:sz w:val="21"/>
              </w:rPr>
              <w:t>表面完好、密封性能合格</w:t>
            </w:r>
          </w:p>
        </w:tc>
        <w:tc>
          <w:tcPr>
            <w:tcW w:type="dxa" w:w="1701"/>
            <w:vAlign w:val="center"/>
            <w:cantSplit/>
          </w:tcPr>
          <w:p>
            <w:pPr>
              <w:spacing w:line="240" w:lineRule="auto"/>
              <w:ind w:firstLine="0"/>
              <w:jc w:val="left"/>
            </w:pPr>
            <w:r/>
            <w:r>
              <w:rPr>
                <w:b w:val="0"/>
                <w:sz w:val="21"/>
              </w:rPr>
              <w:t>有损伤</w:t>
            </w:r>
          </w:p>
        </w:tc>
        <w:tc>
          <w:tcPr>
            <w:tcW w:type="dxa" w:w="1474"/>
            <w:vAlign w:val="center"/>
            <w:cantSplit/>
          </w:tcPr>
          <w:p>
            <w:pPr>
              <w:spacing w:line="240" w:lineRule="auto"/>
              <w:ind w:firstLine="0"/>
              <w:jc w:val="left"/>
            </w:pPr>
            <w:r/>
            <w:r>
              <w:rPr>
                <w:b w:val="0"/>
                <w:sz w:val="21"/>
              </w:rPr>
              <w:t>受损可修复</w:t>
            </w:r>
          </w:p>
        </w:tc>
      </w:tr>
      <w:tr>
        <w:trPr>
          <w:cantSplit/>
        </w:trPr>
        <w:tc>
          <w:tcPr>
            <w:tcW w:type="dxa" w:w="680"/>
            <w:vAlign w:val="center"/>
            <w:cantSplit/>
          </w:tcPr>
          <w:p>
            <w:pPr>
              <w:spacing w:line="240" w:lineRule="auto"/>
              <w:ind w:firstLine="0"/>
              <w:jc w:val="center"/>
            </w:pPr>
            <w:r/>
            <w:r>
              <w:rPr>
                <w:b w:val="0"/>
                <w:sz w:val="21"/>
              </w:rPr>
              <w:t>5</w:t>
            </w:r>
          </w:p>
        </w:tc>
        <w:tc>
          <w:tcPr>
            <w:tcW w:type="dxa" w:w="1701"/>
            <w:vAlign w:val="center"/>
            <w:cantSplit/>
          </w:tcPr>
          <w:p>
            <w:pPr>
              <w:spacing w:line="240" w:lineRule="auto"/>
              <w:ind w:firstLine="0"/>
              <w:jc w:val="left"/>
            </w:pPr>
            <w:r/>
            <w:r>
              <w:rPr>
                <w:b w:val="0"/>
                <w:sz w:val="21"/>
              </w:rPr>
              <w:t>馈源支撑架</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结构完好、无变形、定位精度合格</w:t>
            </w:r>
          </w:p>
        </w:tc>
        <w:tc>
          <w:tcPr>
            <w:tcW w:type="dxa" w:w="1701"/>
            <w:vAlign w:val="center"/>
            <w:cantSplit/>
          </w:tcPr>
          <w:p>
            <w:pPr>
              <w:spacing w:line="240" w:lineRule="auto"/>
              <w:ind w:firstLine="0"/>
              <w:jc w:val="left"/>
            </w:pPr>
            <w:r/>
            <w:r>
              <w:rPr>
                <w:b w:val="0"/>
                <w:sz w:val="21"/>
              </w:rPr>
              <w:t>支架变形</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6</w:t>
            </w:r>
          </w:p>
        </w:tc>
        <w:tc>
          <w:tcPr>
            <w:tcW w:type="dxa" w:w="1701"/>
            <w:vAlign w:val="center"/>
            <w:cantSplit/>
          </w:tcPr>
          <w:p>
            <w:pPr>
              <w:spacing w:line="240" w:lineRule="auto"/>
              <w:ind w:firstLine="0"/>
              <w:jc w:val="left"/>
            </w:pPr>
            <w:r/>
            <w:r>
              <w:rPr>
                <w:b w:val="0"/>
                <w:sz w:val="21"/>
              </w:rPr>
              <w:t>液压支撑杆</w:t>
            </w:r>
          </w:p>
        </w:tc>
        <w:tc>
          <w:tcPr>
            <w:tcW w:type="dxa" w:w="794"/>
            <w:vAlign w:val="center"/>
            <w:cantSplit/>
          </w:tcPr>
          <w:p>
            <w:pPr>
              <w:spacing w:line="240" w:lineRule="auto"/>
              <w:ind w:firstLine="0"/>
              <w:jc w:val="center"/>
            </w:pPr>
            <w:r/>
            <w:r>
              <w:rPr>
                <w:b w:val="0"/>
                <w:sz w:val="21"/>
              </w:rPr>
              <w:t>2根</w:t>
            </w:r>
          </w:p>
        </w:tc>
        <w:tc>
          <w:tcPr>
            <w:tcW w:type="dxa" w:w="2721"/>
            <w:vAlign w:val="center"/>
            <w:cantSplit/>
          </w:tcPr>
          <w:p>
            <w:pPr>
              <w:spacing w:line="240" w:lineRule="auto"/>
              <w:ind w:firstLine="0"/>
              <w:jc w:val="left"/>
            </w:pPr>
            <w:r/>
            <w:r>
              <w:rPr>
                <w:b w:val="0"/>
                <w:sz w:val="21"/>
              </w:rPr>
              <w:t>配合间隙正常、升降功能正常</w:t>
            </w:r>
          </w:p>
        </w:tc>
        <w:tc>
          <w:tcPr>
            <w:tcW w:type="dxa" w:w="1701"/>
            <w:vAlign w:val="center"/>
            <w:cantSplit/>
          </w:tcPr>
          <w:p>
            <w:pPr>
              <w:spacing w:line="240" w:lineRule="auto"/>
              <w:ind w:firstLine="0"/>
              <w:jc w:val="left"/>
            </w:pPr>
            <w:r/>
            <w:r>
              <w:rPr>
                <w:b w:val="0"/>
                <w:sz w:val="21"/>
              </w:rPr>
              <w:t>间隙过大</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7</w:t>
            </w:r>
          </w:p>
        </w:tc>
        <w:tc>
          <w:tcPr>
            <w:tcW w:type="dxa" w:w="1701"/>
            <w:vAlign w:val="center"/>
            <w:cantSplit/>
          </w:tcPr>
          <w:p>
            <w:pPr>
              <w:spacing w:line="240" w:lineRule="auto"/>
              <w:ind w:firstLine="0"/>
              <w:jc w:val="left"/>
            </w:pPr>
            <w:r/>
            <w:r>
              <w:rPr>
                <w:b w:val="0"/>
                <w:sz w:val="21"/>
              </w:rPr>
              <w:t>KU-BUC（功放）</w:t>
            </w:r>
          </w:p>
        </w:tc>
        <w:tc>
          <w:tcPr>
            <w:tcW w:type="dxa" w:w="794"/>
            <w:vAlign w:val="center"/>
            <w:cantSplit/>
          </w:tcPr>
          <w:p>
            <w:pPr>
              <w:spacing w:line="240" w:lineRule="auto"/>
              <w:ind w:firstLine="0"/>
              <w:jc w:val="center"/>
            </w:pPr>
            <w:r/>
            <w:r>
              <w:rPr>
                <w:b w:val="0"/>
                <w:sz w:val="21"/>
              </w:rPr>
              <w:t>1台</w:t>
            </w:r>
          </w:p>
        </w:tc>
        <w:tc>
          <w:tcPr>
            <w:tcW w:type="dxa" w:w="2721"/>
            <w:vAlign w:val="center"/>
            <w:cantSplit/>
          </w:tcPr>
          <w:p>
            <w:pPr>
              <w:spacing w:line="240" w:lineRule="auto"/>
              <w:ind w:firstLine="0"/>
              <w:jc w:val="left"/>
            </w:pPr>
            <w:r/>
            <w:r>
              <w:rPr>
                <w:b w:val="0"/>
                <w:sz w:val="21"/>
              </w:rPr>
              <w:t>输出频率14.0～14.5GHz；频率稳定度优于±10kHz；功率：饱和功率/1dB压缩点</w:t>
            </w:r>
          </w:p>
        </w:tc>
        <w:tc>
          <w:tcPr>
            <w:tcW w:type="dxa" w:w="1701"/>
            <w:vAlign w:val="center"/>
            <w:cantSplit/>
          </w:tcPr>
          <w:p>
            <w:pPr>
              <w:spacing w:line="240" w:lineRule="auto"/>
              <w:ind w:firstLine="0"/>
              <w:jc w:val="left"/>
            </w:pPr>
            <w:r/>
            <w:r>
              <w:rPr>
                <w:b w:val="0"/>
                <w:sz w:val="21"/>
              </w:rPr>
              <w:t>待检测（受严重冲击）</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8</w:t>
            </w:r>
          </w:p>
        </w:tc>
        <w:tc>
          <w:tcPr>
            <w:tcW w:type="dxa" w:w="1701"/>
            <w:vAlign w:val="center"/>
            <w:cantSplit/>
          </w:tcPr>
          <w:p>
            <w:pPr>
              <w:spacing w:line="240" w:lineRule="auto"/>
              <w:ind w:firstLine="0"/>
              <w:jc w:val="left"/>
            </w:pPr>
            <w:r/>
            <w:r>
              <w:rPr>
                <w:b w:val="0"/>
                <w:sz w:val="21"/>
              </w:rPr>
              <w:t>KU-LNB</w:t>
            </w:r>
          </w:p>
        </w:tc>
        <w:tc>
          <w:tcPr>
            <w:tcW w:type="dxa" w:w="794"/>
            <w:vAlign w:val="center"/>
            <w:cantSplit/>
          </w:tcPr>
          <w:p>
            <w:pPr>
              <w:spacing w:line="240" w:lineRule="auto"/>
              <w:ind w:firstLine="0"/>
              <w:jc w:val="center"/>
            </w:pPr>
            <w:r/>
            <w:r>
              <w:rPr>
                <w:b w:val="0"/>
                <w:sz w:val="21"/>
              </w:rPr>
              <w:t>1个</w:t>
            </w:r>
          </w:p>
        </w:tc>
        <w:tc>
          <w:tcPr>
            <w:tcW w:type="dxa" w:w="2721"/>
            <w:vAlign w:val="center"/>
            <w:cantSplit/>
          </w:tcPr>
          <w:p>
            <w:pPr>
              <w:spacing w:line="240" w:lineRule="auto"/>
              <w:ind w:firstLine="0"/>
              <w:jc w:val="left"/>
            </w:pPr>
            <w:r/>
            <w:r>
              <w:rPr>
                <w:b w:val="0"/>
                <w:sz w:val="21"/>
              </w:rPr>
              <w:t>输出频率12.25～12.75GHz；频率稳定度优于±10kHz</w:t>
            </w:r>
          </w:p>
        </w:tc>
        <w:tc>
          <w:tcPr>
            <w:tcW w:type="dxa" w:w="1701"/>
            <w:vAlign w:val="center"/>
            <w:cantSplit/>
          </w:tcPr>
          <w:p>
            <w:pPr>
              <w:spacing w:line="240" w:lineRule="auto"/>
              <w:ind w:firstLine="0"/>
              <w:jc w:val="left"/>
            </w:pPr>
            <w:r/>
            <w:r>
              <w:rPr>
                <w:b w:val="0"/>
                <w:sz w:val="21"/>
              </w:rPr>
              <w:t>待检测（受严重冲击）</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9</w:t>
            </w:r>
          </w:p>
        </w:tc>
        <w:tc>
          <w:tcPr>
            <w:tcW w:type="dxa" w:w="1701"/>
            <w:vAlign w:val="center"/>
            <w:cantSplit/>
          </w:tcPr>
          <w:p>
            <w:pPr>
              <w:spacing w:line="240" w:lineRule="auto"/>
              <w:ind w:firstLine="0"/>
              <w:jc w:val="left"/>
            </w:pPr>
            <w:r/>
            <w:r>
              <w:rPr>
                <w:b w:val="0"/>
                <w:sz w:val="21"/>
              </w:rPr>
              <w:t>馈源喇叭</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外形无伤痕变形、照射效率合格</w:t>
            </w:r>
          </w:p>
        </w:tc>
        <w:tc>
          <w:tcPr>
            <w:tcW w:type="dxa" w:w="1701"/>
            <w:vAlign w:val="center"/>
            <w:cantSplit/>
          </w:tcPr>
          <w:p>
            <w:pPr>
              <w:spacing w:line="240" w:lineRule="auto"/>
              <w:ind w:firstLine="0"/>
              <w:jc w:val="left"/>
            </w:pPr>
            <w:r/>
            <w:r>
              <w:rPr>
                <w:b w:val="0"/>
                <w:sz w:val="21"/>
              </w:rPr>
              <w:t>外观有伤痕</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10</w:t>
            </w:r>
          </w:p>
        </w:tc>
        <w:tc>
          <w:tcPr>
            <w:tcW w:type="dxa" w:w="1701"/>
            <w:vAlign w:val="center"/>
            <w:cantSplit/>
          </w:tcPr>
          <w:p>
            <w:pPr>
              <w:spacing w:line="240" w:lineRule="auto"/>
              <w:ind w:firstLine="0"/>
              <w:jc w:val="left"/>
            </w:pPr>
            <w:r/>
            <w:r>
              <w:rPr>
                <w:b w:val="0"/>
                <w:sz w:val="21"/>
              </w:rPr>
              <w:t>双工器</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收发端口隔离度≥85dB；波导完好</w:t>
            </w:r>
          </w:p>
        </w:tc>
        <w:tc>
          <w:tcPr>
            <w:tcW w:type="dxa" w:w="1701"/>
            <w:vAlign w:val="center"/>
            <w:cantSplit/>
          </w:tcPr>
          <w:p>
            <w:pPr>
              <w:spacing w:line="240" w:lineRule="auto"/>
              <w:ind w:firstLine="0"/>
              <w:jc w:val="left"/>
            </w:pPr>
            <w:r/>
            <w:r>
              <w:rPr>
                <w:b w:val="0"/>
                <w:sz w:val="21"/>
              </w:rPr>
              <w:t>金属波导断裂</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11</w:t>
            </w:r>
          </w:p>
        </w:tc>
        <w:tc>
          <w:tcPr>
            <w:tcW w:type="dxa" w:w="1701"/>
            <w:vAlign w:val="center"/>
            <w:cantSplit/>
          </w:tcPr>
          <w:p>
            <w:pPr>
              <w:spacing w:line="240" w:lineRule="auto"/>
              <w:ind w:firstLine="0"/>
              <w:jc w:val="left"/>
            </w:pPr>
            <w:r/>
            <w:r>
              <w:rPr>
                <w:b w:val="0"/>
                <w:sz w:val="21"/>
              </w:rPr>
              <w:t>旋转关节</w:t>
            </w:r>
          </w:p>
        </w:tc>
        <w:tc>
          <w:tcPr>
            <w:tcW w:type="dxa" w:w="794"/>
            <w:vAlign w:val="center"/>
            <w:cantSplit/>
          </w:tcPr>
          <w:p>
            <w:pPr>
              <w:spacing w:line="240" w:lineRule="auto"/>
              <w:ind w:firstLine="0"/>
              <w:jc w:val="center"/>
            </w:pPr>
            <w:r/>
            <w:r>
              <w:rPr>
                <w:b w:val="0"/>
                <w:sz w:val="21"/>
              </w:rPr>
              <w:t>1个</w:t>
            </w:r>
          </w:p>
        </w:tc>
        <w:tc>
          <w:tcPr>
            <w:tcW w:type="dxa" w:w="2721"/>
            <w:vAlign w:val="center"/>
            <w:cantSplit/>
          </w:tcPr>
          <w:p>
            <w:pPr>
              <w:spacing w:line="240" w:lineRule="auto"/>
              <w:ind w:firstLine="0"/>
              <w:jc w:val="left"/>
            </w:pPr>
            <w:r/>
            <w:r>
              <w:rPr>
                <w:b w:val="0"/>
                <w:sz w:val="21"/>
              </w:rPr>
              <w:t>转动灵活；射频插入损耗及驻波合格</w:t>
            </w:r>
          </w:p>
        </w:tc>
        <w:tc>
          <w:tcPr>
            <w:tcW w:type="dxa" w:w="1701"/>
            <w:vAlign w:val="center"/>
            <w:cantSplit/>
          </w:tcPr>
          <w:p>
            <w:pPr>
              <w:spacing w:line="240" w:lineRule="auto"/>
              <w:ind w:firstLine="0"/>
              <w:jc w:val="left"/>
            </w:pPr>
            <w:r/>
            <w:r>
              <w:rPr>
                <w:b w:val="0"/>
                <w:sz w:val="21"/>
              </w:rPr>
              <w:t>处于受冲击部位</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12</w:t>
            </w:r>
          </w:p>
        </w:tc>
        <w:tc>
          <w:tcPr>
            <w:tcW w:type="dxa" w:w="1701"/>
            <w:vAlign w:val="center"/>
            <w:cantSplit/>
          </w:tcPr>
          <w:p>
            <w:pPr>
              <w:spacing w:line="240" w:lineRule="auto"/>
              <w:ind w:firstLine="0"/>
              <w:jc w:val="left"/>
            </w:pPr>
            <w:r/>
            <w:r>
              <w:rPr>
                <w:b w:val="0"/>
                <w:sz w:val="21"/>
              </w:rPr>
              <w:t>软波导管</w:t>
            </w:r>
          </w:p>
        </w:tc>
        <w:tc>
          <w:tcPr>
            <w:tcW w:type="dxa" w:w="794"/>
            <w:vAlign w:val="center"/>
            <w:cantSplit/>
          </w:tcPr>
          <w:p>
            <w:pPr>
              <w:spacing w:line="240" w:lineRule="auto"/>
              <w:ind w:firstLine="0"/>
              <w:jc w:val="center"/>
            </w:pPr>
            <w:r/>
            <w:r>
              <w:rPr>
                <w:b w:val="0"/>
                <w:sz w:val="21"/>
              </w:rPr>
              <w:t>1根</w:t>
            </w:r>
          </w:p>
        </w:tc>
        <w:tc>
          <w:tcPr>
            <w:tcW w:type="dxa" w:w="2721"/>
            <w:vAlign w:val="center"/>
            <w:cantSplit/>
          </w:tcPr>
          <w:p>
            <w:pPr>
              <w:spacing w:line="240" w:lineRule="auto"/>
              <w:ind w:firstLine="0"/>
              <w:jc w:val="left"/>
            </w:pPr>
            <w:r/>
            <w:r>
              <w:rPr>
                <w:b w:val="0"/>
                <w:sz w:val="21"/>
              </w:rPr>
              <w:t>内外导体无形变；驻波比≤1.25:1</w:t>
            </w:r>
          </w:p>
        </w:tc>
        <w:tc>
          <w:tcPr>
            <w:tcW w:type="dxa" w:w="1701"/>
            <w:vAlign w:val="center"/>
            <w:cantSplit/>
          </w:tcPr>
          <w:p>
            <w:pPr>
              <w:spacing w:line="240" w:lineRule="auto"/>
              <w:ind w:firstLine="0"/>
              <w:jc w:val="left"/>
            </w:pPr>
            <w:r/>
            <w:r>
              <w:rPr>
                <w:b w:val="0"/>
                <w:sz w:val="21"/>
              </w:rPr>
              <w:t>处于受冲击部位</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13</w:t>
            </w:r>
          </w:p>
        </w:tc>
        <w:tc>
          <w:tcPr>
            <w:tcW w:type="dxa" w:w="1701"/>
            <w:vAlign w:val="center"/>
            <w:cantSplit/>
          </w:tcPr>
          <w:p>
            <w:pPr>
              <w:spacing w:line="240" w:lineRule="auto"/>
              <w:ind w:firstLine="0"/>
              <w:jc w:val="left"/>
            </w:pPr>
            <w:r/>
            <w:r>
              <w:rPr>
                <w:b w:val="0"/>
                <w:sz w:val="21"/>
              </w:rPr>
              <w:t>方位电机减速组</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方位360°连续转动；传动间隙正常</w:t>
            </w:r>
          </w:p>
        </w:tc>
        <w:tc>
          <w:tcPr>
            <w:tcW w:type="dxa" w:w="1701"/>
            <w:vAlign w:val="center"/>
            <w:cantSplit/>
          </w:tcPr>
          <w:p>
            <w:pPr>
              <w:spacing w:line="240" w:lineRule="auto"/>
              <w:ind w:firstLine="0"/>
              <w:jc w:val="left"/>
            </w:pPr>
            <w:r/>
            <w:r>
              <w:rPr>
                <w:b w:val="0"/>
                <w:sz w:val="21"/>
              </w:rPr>
              <w:t>方位间隙过大</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14</w:t>
            </w:r>
          </w:p>
        </w:tc>
        <w:tc>
          <w:tcPr>
            <w:tcW w:type="dxa" w:w="1701"/>
            <w:vAlign w:val="center"/>
            <w:cantSplit/>
          </w:tcPr>
          <w:p>
            <w:pPr>
              <w:spacing w:line="240" w:lineRule="auto"/>
              <w:ind w:firstLine="0"/>
              <w:jc w:val="left"/>
            </w:pPr>
            <w:r/>
            <w:r>
              <w:rPr>
                <w:b w:val="0"/>
                <w:sz w:val="21"/>
              </w:rPr>
              <w:t>俯仰电机减速组</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俯仰0°～90°；传动正常</w:t>
            </w:r>
          </w:p>
        </w:tc>
        <w:tc>
          <w:tcPr>
            <w:tcW w:type="dxa" w:w="1701"/>
            <w:vAlign w:val="center"/>
            <w:cantSplit/>
          </w:tcPr>
          <w:p>
            <w:pPr>
              <w:spacing w:line="240" w:lineRule="auto"/>
              <w:ind w:firstLine="0"/>
              <w:jc w:val="left"/>
            </w:pPr>
            <w:r/>
            <w:r>
              <w:rPr>
                <w:b w:val="0"/>
                <w:sz w:val="21"/>
              </w:rPr>
              <w:t>处于受力部位</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15</w:t>
            </w:r>
          </w:p>
        </w:tc>
        <w:tc>
          <w:tcPr>
            <w:tcW w:type="dxa" w:w="1701"/>
            <w:vAlign w:val="center"/>
            <w:cantSplit/>
          </w:tcPr>
          <w:p>
            <w:pPr>
              <w:spacing w:line="240" w:lineRule="auto"/>
              <w:ind w:firstLine="0"/>
              <w:jc w:val="left"/>
            </w:pPr>
            <w:r/>
            <w:r>
              <w:rPr>
                <w:b w:val="0"/>
                <w:sz w:val="21"/>
              </w:rPr>
              <w:t>极化电机及减速组</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极化调整-90°～+90°；相对误差±3°</w:t>
            </w:r>
          </w:p>
        </w:tc>
        <w:tc>
          <w:tcPr>
            <w:tcW w:type="dxa" w:w="1701"/>
            <w:vAlign w:val="center"/>
            <w:cantSplit/>
          </w:tcPr>
          <w:p>
            <w:pPr>
              <w:spacing w:line="240" w:lineRule="auto"/>
              <w:ind w:firstLine="0"/>
              <w:jc w:val="left"/>
            </w:pPr>
            <w:r/>
            <w:r>
              <w:rPr>
                <w:b w:val="0"/>
                <w:sz w:val="21"/>
              </w:rPr>
              <w:t>处于受冲击部位</w:t>
            </w:r>
          </w:p>
        </w:tc>
        <w:tc>
          <w:tcPr>
            <w:tcW w:type="dxa" w:w="1474"/>
            <w:vAlign w:val="center"/>
            <w:cantSplit/>
          </w:tcPr>
          <w:p>
            <w:pPr>
              <w:spacing w:line="240" w:lineRule="auto"/>
              <w:ind w:firstLine="0"/>
              <w:jc w:val="left"/>
            </w:pPr>
            <w:r/>
            <w:r>
              <w:rPr>
                <w:b w:val="0"/>
                <w:sz w:val="21"/>
              </w:rPr>
              <w:t>待进一步检测</w:t>
            </w:r>
          </w:p>
        </w:tc>
      </w:tr>
      <w:tr>
        <w:trPr>
          <w:cantSplit/>
        </w:trPr>
        <w:tc>
          <w:tcPr>
            <w:tcW w:type="dxa" w:w="680"/>
            <w:vAlign w:val="center"/>
            <w:cantSplit/>
          </w:tcPr>
          <w:p>
            <w:pPr>
              <w:spacing w:line="240" w:lineRule="auto"/>
              <w:ind w:firstLine="0"/>
              <w:jc w:val="center"/>
            </w:pPr>
            <w:r/>
            <w:r>
              <w:rPr>
                <w:b w:val="0"/>
                <w:sz w:val="21"/>
              </w:rPr>
              <w:t>16</w:t>
            </w:r>
          </w:p>
        </w:tc>
        <w:tc>
          <w:tcPr>
            <w:tcW w:type="dxa" w:w="1701"/>
            <w:vAlign w:val="center"/>
            <w:cantSplit/>
          </w:tcPr>
          <w:p>
            <w:pPr>
              <w:spacing w:line="240" w:lineRule="auto"/>
              <w:ind w:firstLine="0"/>
              <w:jc w:val="left"/>
            </w:pPr>
            <w:r/>
            <w:r>
              <w:rPr>
                <w:b w:val="0"/>
                <w:sz w:val="21"/>
              </w:rPr>
              <w:t>基站GPS天线及支架</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天线完好、支架牢固、定位功能正常</w:t>
            </w:r>
          </w:p>
        </w:tc>
        <w:tc>
          <w:tcPr>
            <w:tcW w:type="dxa" w:w="1701"/>
            <w:vAlign w:val="center"/>
            <w:cantSplit/>
          </w:tcPr>
          <w:p>
            <w:pPr>
              <w:spacing w:line="240" w:lineRule="auto"/>
              <w:ind w:firstLine="0"/>
              <w:jc w:val="left"/>
            </w:pPr>
            <w:r/>
            <w:r>
              <w:rPr>
                <w:b w:val="0"/>
                <w:sz w:val="21"/>
              </w:rPr>
              <w:t>天线开裂、支架变形</w:t>
            </w:r>
          </w:p>
        </w:tc>
        <w:tc>
          <w:tcPr>
            <w:tcW w:type="dxa" w:w="1474"/>
            <w:vAlign w:val="center"/>
            <w:cantSplit/>
          </w:tcPr>
          <w:p>
            <w:pPr>
              <w:spacing w:line="240" w:lineRule="auto"/>
              <w:ind w:firstLine="0"/>
              <w:jc w:val="left"/>
            </w:pPr>
            <w:r/>
            <w:r>
              <w:rPr>
                <w:b w:val="0"/>
                <w:sz w:val="21"/>
              </w:rPr>
              <w:t>严重损伤，需更换</w:t>
            </w:r>
          </w:p>
        </w:tc>
      </w:tr>
      <w:tr>
        <w:trPr>
          <w:cantSplit/>
        </w:trPr>
        <w:tc>
          <w:tcPr>
            <w:tcW w:type="dxa" w:w="680"/>
            <w:vAlign w:val="center"/>
            <w:cantSplit/>
          </w:tcPr>
          <w:p>
            <w:pPr>
              <w:spacing w:line="240" w:lineRule="auto"/>
              <w:ind w:firstLine="0"/>
              <w:jc w:val="center"/>
            </w:pPr>
            <w:r/>
            <w:r>
              <w:rPr>
                <w:b w:val="0"/>
                <w:sz w:val="21"/>
              </w:rPr>
              <w:t>17</w:t>
            </w:r>
          </w:p>
        </w:tc>
        <w:tc>
          <w:tcPr>
            <w:tcW w:type="dxa" w:w="1701"/>
            <w:vAlign w:val="center"/>
            <w:cantSplit/>
          </w:tcPr>
          <w:p>
            <w:pPr>
              <w:spacing w:line="240" w:lineRule="auto"/>
              <w:ind w:firstLine="0"/>
              <w:jc w:val="left"/>
            </w:pPr>
            <w:r/>
            <w:r>
              <w:rPr>
                <w:b w:val="0"/>
                <w:sz w:val="21"/>
              </w:rPr>
              <w:t>防倾覆限位结构</w:t>
            </w:r>
          </w:p>
        </w:tc>
        <w:tc>
          <w:tcPr>
            <w:tcW w:type="dxa" w:w="794"/>
            <w:vAlign w:val="center"/>
            <w:cantSplit/>
          </w:tcPr>
          <w:p>
            <w:pPr>
              <w:spacing w:line="240" w:lineRule="auto"/>
              <w:ind w:firstLine="0"/>
              <w:jc w:val="center"/>
            </w:pPr>
            <w:r/>
            <w:r>
              <w:rPr>
                <w:b w:val="0"/>
                <w:sz w:val="21"/>
              </w:rPr>
              <w:t>1套</w:t>
            </w:r>
          </w:p>
        </w:tc>
        <w:tc>
          <w:tcPr>
            <w:tcW w:type="dxa" w:w="2721"/>
            <w:vAlign w:val="center"/>
            <w:cantSplit/>
          </w:tcPr>
          <w:p>
            <w:pPr>
              <w:spacing w:line="240" w:lineRule="auto"/>
              <w:ind w:firstLine="0"/>
              <w:jc w:val="left"/>
            </w:pPr>
            <w:r/>
            <w:r>
              <w:rPr>
                <w:b w:val="0"/>
                <w:sz w:val="21"/>
              </w:rPr>
              <w:t>无形变、紧固完好；软硬件限位功能正常</w:t>
            </w:r>
          </w:p>
        </w:tc>
        <w:tc>
          <w:tcPr>
            <w:tcW w:type="dxa" w:w="1701"/>
            <w:vAlign w:val="center"/>
            <w:cantSplit/>
          </w:tcPr>
          <w:p>
            <w:pPr>
              <w:spacing w:line="240" w:lineRule="auto"/>
              <w:ind w:firstLine="0"/>
              <w:jc w:val="left"/>
            </w:pPr>
            <w:r/>
            <w:r>
              <w:rPr>
                <w:b w:val="0"/>
                <w:sz w:val="21"/>
              </w:rPr>
              <w:t>部件形变、螺丝断裂</w:t>
            </w:r>
          </w:p>
        </w:tc>
        <w:tc>
          <w:tcPr>
            <w:tcW w:type="dxa" w:w="1474"/>
            <w:vAlign w:val="center"/>
            <w:cantSplit/>
          </w:tcPr>
          <w:p>
            <w:pPr>
              <w:spacing w:line="240" w:lineRule="auto"/>
              <w:ind w:firstLine="0"/>
              <w:jc w:val="left"/>
            </w:pPr>
            <w:r/>
            <w:r>
              <w:rPr>
                <w:b w:val="0"/>
                <w:sz w:val="21"/>
              </w:rPr>
              <w:t>严重损伤，需更换</w:t>
            </w:r>
          </w:p>
        </w:tc>
      </w:tr>
    </w:tbl>
    <w:p>
      <w:pPr>
        <w:ind w:firstLine="0"/>
      </w:pPr>
      <w:r>
        <w:rPr>
          <w:b w:val="0"/>
        </w:rPr>
        <w:t>注：标准要求值引自JT/T 1007.3—2024《交通移动应急通信指挥系统 第3部分：设备检测规范》表4、表6、表7及YD/T 2675-2015相关要求；f为工作频率（GHz）。</w:t>
      </w:r>
    </w:p>
    <w:p>
      <w:pPr>
        <w:pStyle w:val="Heading1"/>
      </w:pPr>
      <w:r>
        <w:rPr>
          <w:b/>
        </w:rPr>
        <w:t>8 综合评定</w:t>
      </w:r>
    </w:p>
    <w:p>
      <w:r>
        <w:rPr>
          <w:b w:val="0"/>
        </w:rPr>
        <w:t>综合本次检测，云A6J6F2卫星应急车因外力冲击，天线系统、射频链路、机械驱动系统及辅助结构均存在不同程度损伤，评定如下：</w:t>
      </w:r>
    </w:p>
    <w:p>
      <w:r>
        <w:rPr>
          <w:b w:val="0"/>
        </w:rPr>
        <w:t>（1）天线反射面板、天线俯仰钢丝、双工器、馈源支撑架、液压支撑杆、基站GPS天线及支架、防倾覆限位结构共7类部件判定为严重损伤，其功能及结构完整性已不能满足使用要求，须更换处理；</w:t>
      </w:r>
    </w:p>
    <w:p>
      <w:r>
        <w:rPr>
          <w:b w:val="0"/>
        </w:rPr>
        <w:t>（2）KU-BUC、KU-LNB等有源器件受严重冲击，存在隐性损伤及二次加电损坏风险，须返厂检测确认后再行处置；</w:t>
      </w:r>
    </w:p>
    <w:p>
      <w:r>
        <w:rPr>
          <w:b w:val="0"/>
        </w:rPr>
        <w:t>（3）天线面内部龙骨、旋转关节、软波导管及方位、俯仰、极化三轴电机减速组等部件处于受冲击部位，须拆解后方可最终判定；</w:t>
      </w:r>
    </w:p>
    <w:p>
      <w:r>
        <w:rPr>
          <w:b w:val="0"/>
        </w:rPr>
        <w:t>（4）天线面后盖板存在损伤，具备修复条件，按原工艺修复并补强后可继续使用。</w:t>
      </w:r>
    </w:p>
    <w:p>
      <w:r>
        <w:rPr>
          <w:b w:val="0"/>
        </w:rPr>
        <w:t>风险等级评定：本车天馈及射频系统损伤程度高，当前不具备入网通信及应急保障能力，评定为高风险设备状态，必须完成更换、修复并经整机复测合格后方可恢复执行应急通信保障任务。</w:t>
      </w:r>
    </w:p>
    <w:p>
      <w:pPr>
        <w:pStyle w:val="Heading1"/>
      </w:pPr>
      <w:r>
        <w:rPr>
          <w:b/>
        </w:rPr>
        <w:t>9 现存问题说明及运维整改建议</w:t>
      </w:r>
    </w:p>
    <w:p>
      <w:pPr>
        <w:pStyle w:val="Heading2"/>
      </w:pPr>
      <w:r>
        <w:rPr>
          <w:b/>
        </w:rPr>
        <w:t>9.1 现存问题</w:t>
      </w:r>
    </w:p>
    <w:p>
      <w:r>
        <w:rPr>
          <w:b w:val="0"/>
        </w:rPr>
        <w:t>（1）无源天馈部件多处达到报废标准，包括天线反射面板、天线俯仰钢丝、双工器、馈源支撑架、液压支撑杆、基站GPS天线及支架、防倾覆限位结构；</w:t>
      </w:r>
    </w:p>
    <w:p>
      <w:r>
        <w:rPr>
          <w:b w:val="0"/>
        </w:rPr>
        <w:t>（2）有源器件（KU-BUC、KU-LNB）损伤状态未知，存在盲目加电导致二次损坏的风险；</w:t>
      </w:r>
    </w:p>
    <w:p>
      <w:r>
        <w:rPr>
          <w:b w:val="0"/>
        </w:rPr>
        <w:t>（3）关键传动与转动部件（三轴电机减速组、旋转关节、软波导管、天线面内部龙骨）损伤状态未定，须拆解检测；</w:t>
      </w:r>
    </w:p>
    <w:p>
      <w:r>
        <w:rPr>
          <w:b w:val="0"/>
        </w:rPr>
        <w:t>（4）维修期间该车无法承担应急通信保障任务，存在应急保障能力空缺。</w:t>
      </w:r>
    </w:p>
    <w:p>
      <w:pPr>
        <w:pStyle w:val="Heading2"/>
      </w:pPr>
      <w:r>
        <w:rPr>
          <w:b/>
        </w:rPr>
        <w:t>9.2 运维整改建议</w:t>
      </w:r>
    </w:p>
    <w:p>
      <w:r>
        <w:rPr>
          <w:b w:val="0"/>
        </w:rPr>
        <w:t>（1）对判定为严重损伤的部件实施更换：天线俯仰钢丝（12根）、天线反射面板（1副）、馈源支撑架（1套）、液压支撑杆（2根）、双工器（1套）、基站GPS天线及支架（1套）、防倾覆限位结构（1套）；</w:t>
      </w:r>
    </w:p>
    <w:p>
      <w:r>
        <w:rPr>
          <w:b w:val="0"/>
        </w:rPr>
        <w:t>（2）对判定为待进一步检测的部件组织拆解检测：天线面内部龙骨（形变测量）、旋转关节、软波导管（内外导体形变及驻波检查）、方位电机减速组、俯仰电机减速组、极化电机及减速组（间隙与受力检查）、馈源喇叭（外形尺寸与相位检查）；</w:t>
      </w:r>
    </w:p>
    <w:p>
      <w:r>
        <w:rPr>
          <w:b w:val="0"/>
        </w:rPr>
        <w:t>（3）KU-BUC、KU-LNB在未确认内部损伤状态前禁止盲目加电，送返厂检测或直接更换；</w:t>
      </w:r>
    </w:p>
    <w:p>
      <w:r>
        <w:rPr>
          <w:b w:val="0"/>
        </w:rPr>
        <w:t>（4）天线面后盖板按原工艺修复并补强；</w:t>
      </w:r>
    </w:p>
    <w:p>
      <w:r>
        <w:rPr>
          <w:b w:val="0"/>
        </w:rPr>
        <w:t>（5）全部更换、修复完成后，依据YD/T 2675-2015《应急通信车载卫星地球站通用技术要求》及JT/T 1007.3—2024《交通移动应急通信指挥系统 第3部分：设备检测规范》第5.2.3～5.2.6条，开展整机性能复测，包括：天线对星精度、发射/接收增益、G/T值、驻波比、收发端口隔离度、上下行链路指标、动中通动态跟踪能力（车速80km/h工况下指向精度）、语音/视频/数据业务联通性及电源稳定性等，复测合格后方可恢复入网；</w:t>
      </w:r>
    </w:p>
    <w:p>
      <w:r>
        <w:rPr>
          <w:b w:val="0"/>
        </w:rPr>
        <w:t>（6）修复期间该车不得执行应急通信保障任务，建议同步推进事故责任认定与保险理赔评估，并统筹调度其他应急资源填补保障空缺。</w:t>
      </w:r>
    </w:p>
    <w:p>
      <w:pPr>
        <w:pStyle w:val="Heading1"/>
      </w:pPr>
      <w:r>
        <w:rPr>
          <w:b/>
        </w:rPr>
        <w:t>10 签署栏</w:t>
      </w:r>
    </w:p>
    <w:p>
      <w:pPr>
        <w:ind w:firstLine="0"/>
      </w:pPr>
      <w:r>
        <w:rPr>
          <w:b w:val="0"/>
        </w:rPr>
        <w:t>以下签署经确认后生效：</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2381"/>
            <w:vAlign w:val="center"/>
            <w:shd w:val="clear" w:color="auto" w:fill="F2F2F2"/>
            <w:cantSplit/>
          </w:tcPr>
          <w:p>
            <w:pPr>
              <w:spacing w:line="240" w:lineRule="auto"/>
              <w:ind w:firstLine="0"/>
              <w:jc w:val="center"/>
            </w:pPr>
            <w:r/>
            <w:r>
              <w:rPr>
                <w:b/>
                <w:sz w:val="21"/>
              </w:rPr>
              <w:t>检测人（签字）</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审核人（签字）</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批准人（签字）</w:t>
            </w:r>
          </w:p>
        </w:tc>
        <w:tc>
          <w:tcPr>
            <w:tcW w:type="dxa" w:w="6690"/>
            <w:vAlign w:val="center"/>
            <w:cantSplit/>
          </w:tcPr>
          <w:p>
            <w:pPr>
              <w:spacing w:line="240" w:lineRule="auto"/>
              <w:ind w:firstLine="0"/>
              <w:jc w:val="left"/>
            </w:pPr>
            <w:r/>
            <w:r>
              <w:rPr>
                <w:b w:val="0"/>
                <w:sz w:val="21"/>
              </w:rPr>
              <w:t>____________</w:t>
            </w:r>
          </w:p>
        </w:tc>
      </w:tr>
      <w:tr>
        <w:trPr>
          <w:cantSplit/>
        </w:trPr>
        <w:tc>
          <w:tcPr>
            <w:tcW w:type="dxa" w:w="2381"/>
            <w:vAlign w:val="center"/>
            <w:shd w:val="clear" w:color="auto" w:fill="F2F2F2"/>
            <w:cantSplit/>
          </w:tcPr>
          <w:p>
            <w:pPr>
              <w:spacing w:line="240" w:lineRule="auto"/>
              <w:ind w:firstLine="0"/>
              <w:jc w:val="center"/>
            </w:pPr>
            <w:r/>
            <w:r>
              <w:rPr>
                <w:b/>
                <w:sz w:val="21"/>
              </w:rPr>
              <w:t>检测单位（盖章）</w:t>
            </w:r>
          </w:p>
        </w:tc>
        <w:tc>
          <w:tcPr>
            <w:tcW w:type="dxa" w:w="6690"/>
            <w:vAlign w:val="center"/>
            <w:cantSplit/>
          </w:tcPr>
          <w:p>
            <w:pPr>
              <w:spacing w:line="240" w:lineRule="auto"/>
              <w:ind w:firstLine="0"/>
              <w:jc w:val="left"/>
            </w:pPr>
            <w:r/>
            <w:r>
              <w:rPr>
                <w:b w:val="0"/>
                <w:sz w:val="21"/>
              </w:rPr>
              <w:t>____________</w:t>
            </w:r>
          </w:p>
        </w:tc>
      </w:tr>
    </w:tbl>
    <w:p>
      <w:r>
        <w:br w:type="page"/>
      </w:r>
    </w:p>
    <w:p>
      <w:pPr>
        <w:pStyle w:val="Heading1"/>
      </w:pPr>
      <w:r>
        <w:rPr>
          <w:b/>
        </w:rPr>
        <w:t>附录A 缩略语</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24"/>
        <w:gridCol w:w="3024"/>
        <w:gridCol w:w="3024"/>
      </w:tblGrid>
      <w:tr>
        <w:trPr>
          <w:cantSplit/>
          <w:tblHeader/>
        </w:trPr>
        <w:tc>
          <w:tcPr>
            <w:tcW w:type="dxa" w:w="1474"/>
            <w:vAlign w:val="center"/>
            <w:shd w:val="clear" w:color="auto" w:fill="D9D9D9"/>
            <w:cantSplit/>
          </w:tcPr>
          <w:p>
            <w:pPr>
              <w:spacing w:line="240" w:lineRule="auto"/>
              <w:ind w:firstLine="0"/>
              <w:jc w:val="center"/>
            </w:pPr>
            <w:r/>
            <w:r>
              <w:rPr>
                <w:b/>
                <w:sz w:val="21"/>
              </w:rPr>
              <w:t>缩略语</w:t>
            </w:r>
          </w:p>
        </w:tc>
        <w:tc>
          <w:tcPr>
            <w:tcW w:type="dxa" w:w="4649"/>
            <w:vAlign w:val="center"/>
            <w:shd w:val="clear" w:color="auto" w:fill="D9D9D9"/>
            <w:cantSplit/>
          </w:tcPr>
          <w:p>
            <w:pPr>
              <w:spacing w:line="240" w:lineRule="auto"/>
              <w:ind w:firstLine="0"/>
              <w:jc w:val="center"/>
            </w:pPr>
            <w:r/>
            <w:r>
              <w:rPr>
                <w:b/>
                <w:sz w:val="21"/>
              </w:rPr>
              <w:t>英文全称</w:t>
            </w:r>
          </w:p>
        </w:tc>
        <w:tc>
          <w:tcPr>
            <w:tcW w:type="dxa" w:w="2948"/>
            <w:vAlign w:val="center"/>
            <w:shd w:val="clear" w:color="auto" w:fill="D9D9D9"/>
            <w:cantSplit/>
          </w:tcPr>
          <w:p>
            <w:pPr>
              <w:spacing w:line="240" w:lineRule="auto"/>
              <w:ind w:firstLine="0"/>
              <w:jc w:val="center"/>
            </w:pPr>
            <w:r/>
            <w:r>
              <w:rPr>
                <w:b/>
                <w:sz w:val="21"/>
              </w:rPr>
              <w:t>中文含义</w:t>
            </w:r>
          </w:p>
        </w:tc>
      </w:tr>
      <w:tr>
        <w:trPr>
          <w:cantSplit/>
        </w:trPr>
        <w:tc>
          <w:tcPr>
            <w:tcW w:type="dxa" w:w="1474"/>
            <w:vAlign w:val="center"/>
            <w:cantSplit/>
          </w:tcPr>
          <w:p>
            <w:pPr>
              <w:spacing w:line="240" w:lineRule="auto"/>
              <w:ind w:firstLine="0"/>
              <w:jc w:val="center"/>
            </w:pPr>
            <w:r/>
            <w:r>
              <w:rPr>
                <w:b w:val="0"/>
                <w:sz w:val="21"/>
              </w:rPr>
              <w:t>BUC</w:t>
            </w:r>
          </w:p>
        </w:tc>
        <w:tc>
          <w:tcPr>
            <w:tcW w:type="dxa" w:w="4649"/>
            <w:vAlign w:val="center"/>
            <w:cantSplit/>
          </w:tcPr>
          <w:p>
            <w:pPr>
              <w:spacing w:line="240" w:lineRule="auto"/>
              <w:ind w:firstLine="0"/>
              <w:jc w:val="left"/>
            </w:pPr>
            <w:r/>
            <w:r>
              <w:rPr>
                <w:b w:val="0"/>
                <w:sz w:val="21"/>
              </w:rPr>
              <w:t>Block Up-Converter</w:t>
            </w:r>
          </w:p>
        </w:tc>
        <w:tc>
          <w:tcPr>
            <w:tcW w:type="dxa" w:w="2948"/>
            <w:vAlign w:val="center"/>
            <w:cantSplit/>
          </w:tcPr>
          <w:p>
            <w:pPr>
              <w:spacing w:line="240" w:lineRule="auto"/>
              <w:ind w:firstLine="0"/>
              <w:jc w:val="left"/>
            </w:pPr>
            <w:r/>
            <w:r>
              <w:rPr>
                <w:b w:val="0"/>
                <w:sz w:val="21"/>
              </w:rPr>
              <w:t>上变频功率放大器</w:t>
            </w:r>
          </w:p>
        </w:tc>
      </w:tr>
      <w:tr>
        <w:trPr>
          <w:cantSplit/>
        </w:trPr>
        <w:tc>
          <w:tcPr>
            <w:tcW w:type="dxa" w:w="1474"/>
            <w:vAlign w:val="center"/>
            <w:cantSplit/>
          </w:tcPr>
          <w:p>
            <w:pPr>
              <w:spacing w:line="240" w:lineRule="auto"/>
              <w:ind w:firstLine="0"/>
              <w:jc w:val="center"/>
            </w:pPr>
            <w:r/>
            <w:r>
              <w:rPr>
                <w:b w:val="0"/>
                <w:sz w:val="21"/>
              </w:rPr>
              <w:t>LNB</w:t>
            </w:r>
          </w:p>
        </w:tc>
        <w:tc>
          <w:tcPr>
            <w:tcW w:type="dxa" w:w="4649"/>
            <w:vAlign w:val="center"/>
            <w:cantSplit/>
          </w:tcPr>
          <w:p>
            <w:pPr>
              <w:spacing w:line="240" w:lineRule="auto"/>
              <w:ind w:firstLine="0"/>
              <w:jc w:val="left"/>
            </w:pPr>
            <w:r/>
            <w:r>
              <w:rPr>
                <w:b w:val="0"/>
                <w:sz w:val="21"/>
              </w:rPr>
              <w:t>Low Noise Block</w:t>
            </w:r>
          </w:p>
        </w:tc>
        <w:tc>
          <w:tcPr>
            <w:tcW w:type="dxa" w:w="2948"/>
            <w:vAlign w:val="center"/>
            <w:cantSplit/>
          </w:tcPr>
          <w:p>
            <w:pPr>
              <w:spacing w:line="240" w:lineRule="auto"/>
              <w:ind w:firstLine="0"/>
              <w:jc w:val="left"/>
            </w:pPr>
            <w:r/>
            <w:r>
              <w:rPr>
                <w:b w:val="0"/>
                <w:sz w:val="21"/>
              </w:rPr>
              <w:t>低噪声下变频器</w:t>
            </w:r>
          </w:p>
        </w:tc>
      </w:tr>
      <w:tr>
        <w:trPr>
          <w:cantSplit/>
        </w:trPr>
        <w:tc>
          <w:tcPr>
            <w:tcW w:type="dxa" w:w="1474"/>
            <w:vAlign w:val="center"/>
            <w:cantSplit/>
          </w:tcPr>
          <w:p>
            <w:pPr>
              <w:spacing w:line="240" w:lineRule="auto"/>
              <w:ind w:firstLine="0"/>
              <w:jc w:val="center"/>
            </w:pPr>
            <w:r/>
            <w:r>
              <w:rPr>
                <w:b w:val="0"/>
                <w:sz w:val="21"/>
              </w:rPr>
              <w:t>VSAT</w:t>
            </w:r>
          </w:p>
        </w:tc>
        <w:tc>
          <w:tcPr>
            <w:tcW w:type="dxa" w:w="4649"/>
            <w:vAlign w:val="center"/>
            <w:cantSplit/>
          </w:tcPr>
          <w:p>
            <w:pPr>
              <w:spacing w:line="240" w:lineRule="auto"/>
              <w:ind w:firstLine="0"/>
              <w:jc w:val="left"/>
            </w:pPr>
            <w:r/>
            <w:r>
              <w:rPr>
                <w:b w:val="0"/>
                <w:sz w:val="21"/>
              </w:rPr>
              <w:t>Very Small Aperture Terminal</w:t>
            </w:r>
          </w:p>
        </w:tc>
        <w:tc>
          <w:tcPr>
            <w:tcW w:type="dxa" w:w="2948"/>
            <w:vAlign w:val="center"/>
            <w:cantSplit/>
          </w:tcPr>
          <w:p>
            <w:pPr>
              <w:spacing w:line="240" w:lineRule="auto"/>
              <w:ind w:firstLine="0"/>
              <w:jc w:val="left"/>
            </w:pPr>
            <w:r/>
            <w:r>
              <w:rPr>
                <w:b w:val="0"/>
                <w:sz w:val="21"/>
              </w:rPr>
              <w:t>甚小口径终端</w:t>
            </w:r>
          </w:p>
        </w:tc>
      </w:tr>
      <w:tr>
        <w:trPr>
          <w:cantSplit/>
        </w:trPr>
        <w:tc>
          <w:tcPr>
            <w:tcW w:type="dxa" w:w="1474"/>
            <w:vAlign w:val="center"/>
            <w:cantSplit/>
          </w:tcPr>
          <w:p>
            <w:pPr>
              <w:spacing w:line="240" w:lineRule="auto"/>
              <w:ind w:firstLine="0"/>
              <w:jc w:val="center"/>
            </w:pPr>
            <w:r/>
            <w:r>
              <w:rPr>
                <w:b w:val="0"/>
                <w:sz w:val="21"/>
              </w:rPr>
              <w:t>G/T</w:t>
            </w:r>
          </w:p>
        </w:tc>
        <w:tc>
          <w:tcPr>
            <w:tcW w:type="dxa" w:w="4649"/>
            <w:vAlign w:val="center"/>
            <w:cantSplit/>
          </w:tcPr>
          <w:p>
            <w:pPr>
              <w:spacing w:line="240" w:lineRule="auto"/>
              <w:ind w:firstLine="0"/>
              <w:jc w:val="left"/>
            </w:pPr>
            <w:r/>
            <w:r>
              <w:rPr>
                <w:b w:val="0"/>
                <w:sz w:val="21"/>
              </w:rPr>
              <w:t>Gain-to-Noise Temperature Ratio</w:t>
            </w:r>
          </w:p>
        </w:tc>
        <w:tc>
          <w:tcPr>
            <w:tcW w:type="dxa" w:w="2948"/>
            <w:vAlign w:val="center"/>
            <w:cantSplit/>
          </w:tcPr>
          <w:p>
            <w:pPr>
              <w:spacing w:line="240" w:lineRule="auto"/>
              <w:ind w:firstLine="0"/>
              <w:jc w:val="left"/>
            </w:pPr>
            <w:r/>
            <w:r>
              <w:rPr>
                <w:b w:val="0"/>
                <w:sz w:val="21"/>
              </w:rPr>
              <w:t>接收系统品质因数</w:t>
            </w:r>
          </w:p>
        </w:tc>
      </w:tr>
      <w:tr>
        <w:trPr>
          <w:cantSplit/>
        </w:trPr>
        <w:tc>
          <w:tcPr>
            <w:tcW w:type="dxa" w:w="1474"/>
            <w:vAlign w:val="center"/>
            <w:cantSplit/>
          </w:tcPr>
          <w:p>
            <w:pPr>
              <w:spacing w:line="240" w:lineRule="auto"/>
              <w:ind w:firstLine="0"/>
              <w:jc w:val="center"/>
            </w:pPr>
            <w:r/>
            <w:r>
              <w:rPr>
                <w:b w:val="0"/>
                <w:sz w:val="21"/>
              </w:rPr>
              <w:t>EIRP</w:t>
            </w:r>
          </w:p>
        </w:tc>
        <w:tc>
          <w:tcPr>
            <w:tcW w:type="dxa" w:w="4649"/>
            <w:vAlign w:val="center"/>
            <w:cantSplit/>
          </w:tcPr>
          <w:p>
            <w:pPr>
              <w:spacing w:line="240" w:lineRule="auto"/>
              <w:ind w:firstLine="0"/>
              <w:jc w:val="left"/>
            </w:pPr>
            <w:r/>
            <w:r>
              <w:rPr>
                <w:b w:val="0"/>
                <w:sz w:val="21"/>
              </w:rPr>
              <w:t>Equivalent Isotropically Radiated Power</w:t>
            </w:r>
          </w:p>
        </w:tc>
        <w:tc>
          <w:tcPr>
            <w:tcW w:type="dxa" w:w="2948"/>
            <w:vAlign w:val="center"/>
            <w:cantSplit/>
          </w:tcPr>
          <w:p>
            <w:pPr>
              <w:spacing w:line="240" w:lineRule="auto"/>
              <w:ind w:firstLine="0"/>
              <w:jc w:val="left"/>
            </w:pPr>
            <w:r/>
            <w:r>
              <w:rPr>
                <w:b w:val="0"/>
                <w:sz w:val="21"/>
              </w:rPr>
              <w:t>等效全向辐射功率</w:t>
            </w:r>
          </w:p>
        </w:tc>
      </w:tr>
      <w:tr>
        <w:trPr>
          <w:cantSplit/>
        </w:trPr>
        <w:tc>
          <w:tcPr>
            <w:tcW w:type="dxa" w:w="1474"/>
            <w:vAlign w:val="center"/>
            <w:cantSplit/>
          </w:tcPr>
          <w:p>
            <w:pPr>
              <w:spacing w:line="240" w:lineRule="auto"/>
              <w:ind w:firstLine="0"/>
              <w:jc w:val="center"/>
            </w:pPr>
            <w:r/>
            <w:r>
              <w:rPr>
                <w:b w:val="0"/>
                <w:sz w:val="21"/>
              </w:rPr>
              <w:t>VSWR</w:t>
            </w:r>
          </w:p>
        </w:tc>
        <w:tc>
          <w:tcPr>
            <w:tcW w:type="dxa" w:w="4649"/>
            <w:vAlign w:val="center"/>
            <w:cantSplit/>
          </w:tcPr>
          <w:p>
            <w:pPr>
              <w:spacing w:line="240" w:lineRule="auto"/>
              <w:ind w:firstLine="0"/>
              <w:jc w:val="left"/>
            </w:pPr>
            <w:r/>
            <w:r>
              <w:rPr>
                <w:b w:val="0"/>
                <w:sz w:val="21"/>
              </w:rPr>
              <w:t>Voltage Standing Wave Ratio</w:t>
            </w:r>
          </w:p>
        </w:tc>
        <w:tc>
          <w:tcPr>
            <w:tcW w:type="dxa" w:w="2948"/>
            <w:vAlign w:val="center"/>
            <w:cantSplit/>
          </w:tcPr>
          <w:p>
            <w:pPr>
              <w:spacing w:line="240" w:lineRule="auto"/>
              <w:ind w:firstLine="0"/>
              <w:jc w:val="left"/>
            </w:pPr>
            <w:r/>
            <w:r>
              <w:rPr>
                <w:b w:val="0"/>
                <w:sz w:val="21"/>
              </w:rPr>
              <w:t>电压驻波比</w:t>
            </w:r>
          </w:p>
        </w:tc>
      </w:tr>
      <w:tr>
        <w:trPr>
          <w:cantSplit/>
        </w:trPr>
        <w:tc>
          <w:tcPr>
            <w:tcW w:type="dxa" w:w="1474"/>
            <w:vAlign w:val="center"/>
            <w:cantSplit/>
          </w:tcPr>
          <w:p>
            <w:pPr>
              <w:spacing w:line="240" w:lineRule="auto"/>
              <w:ind w:firstLine="0"/>
              <w:jc w:val="center"/>
            </w:pPr>
            <w:r/>
            <w:r>
              <w:rPr>
                <w:b w:val="0"/>
                <w:sz w:val="21"/>
              </w:rPr>
              <w:t>GPS</w:t>
            </w:r>
          </w:p>
        </w:tc>
        <w:tc>
          <w:tcPr>
            <w:tcW w:type="dxa" w:w="4649"/>
            <w:vAlign w:val="center"/>
            <w:cantSplit/>
          </w:tcPr>
          <w:p>
            <w:pPr>
              <w:spacing w:line="240" w:lineRule="auto"/>
              <w:ind w:firstLine="0"/>
              <w:jc w:val="left"/>
            </w:pPr>
            <w:r/>
            <w:r>
              <w:rPr>
                <w:b w:val="0"/>
                <w:sz w:val="21"/>
              </w:rPr>
              <w:t>Global Positioning System</w:t>
            </w:r>
          </w:p>
        </w:tc>
        <w:tc>
          <w:tcPr>
            <w:tcW w:type="dxa" w:w="2948"/>
            <w:vAlign w:val="center"/>
            <w:cantSplit/>
          </w:tcPr>
          <w:p>
            <w:pPr>
              <w:spacing w:line="240" w:lineRule="auto"/>
              <w:ind w:firstLine="0"/>
              <w:jc w:val="left"/>
            </w:pPr>
            <w:r/>
            <w:r>
              <w:rPr>
                <w:b w:val="0"/>
                <w:sz w:val="21"/>
              </w:rPr>
              <w:t>全球定位系统</w:t>
            </w:r>
          </w:p>
        </w:tc>
      </w:tr>
      <w:tr>
        <w:trPr>
          <w:cantSplit/>
        </w:trPr>
        <w:tc>
          <w:tcPr>
            <w:tcW w:type="dxa" w:w="1474"/>
            <w:vAlign w:val="center"/>
            <w:cantSplit/>
          </w:tcPr>
          <w:p>
            <w:pPr>
              <w:spacing w:line="240" w:lineRule="auto"/>
              <w:ind w:firstLine="0"/>
              <w:jc w:val="center"/>
            </w:pPr>
            <w:r/>
            <w:r>
              <w:rPr>
                <w:b w:val="0"/>
                <w:sz w:val="21"/>
              </w:rPr>
              <w:t>Ku频段</w:t>
            </w:r>
          </w:p>
        </w:tc>
        <w:tc>
          <w:tcPr>
            <w:tcW w:type="dxa" w:w="4649"/>
            <w:vAlign w:val="center"/>
            <w:cantSplit/>
          </w:tcPr>
          <w:p>
            <w:pPr>
              <w:spacing w:line="240" w:lineRule="auto"/>
              <w:ind w:firstLine="0"/>
              <w:jc w:val="left"/>
            </w:pPr>
            <w:r/>
            <w:r>
              <w:rPr>
                <w:b w:val="0"/>
                <w:sz w:val="21"/>
              </w:rPr>
              <w:t>Ku-band</w:t>
            </w:r>
          </w:p>
        </w:tc>
        <w:tc>
          <w:tcPr>
            <w:tcW w:type="dxa" w:w="2948"/>
            <w:vAlign w:val="center"/>
            <w:cantSplit/>
          </w:tcPr>
          <w:p>
            <w:pPr>
              <w:spacing w:line="240" w:lineRule="auto"/>
              <w:ind w:firstLine="0"/>
              <w:jc w:val="left"/>
            </w:pPr>
            <w:r/>
            <w:r>
              <w:rPr>
                <w:b w:val="0"/>
                <w:sz w:val="21"/>
              </w:rPr>
              <w:t>12～18GHz频段（上行约14GHz、下行约12GHz）</w:t>
            </w:r>
          </w:p>
        </w:tc>
      </w:tr>
      <w:tr>
        <w:trPr>
          <w:cantSplit/>
        </w:trPr>
        <w:tc>
          <w:tcPr>
            <w:tcW w:type="dxa" w:w="1474"/>
            <w:vAlign w:val="center"/>
            <w:cantSplit/>
          </w:tcPr>
          <w:p>
            <w:pPr>
              <w:spacing w:line="240" w:lineRule="auto"/>
              <w:ind w:firstLine="0"/>
              <w:jc w:val="center"/>
            </w:pPr>
            <w:r/>
            <w:r>
              <w:rPr>
                <w:b w:val="0"/>
                <w:sz w:val="21"/>
              </w:rPr>
              <w:t>Modem</w:t>
            </w:r>
          </w:p>
        </w:tc>
        <w:tc>
          <w:tcPr>
            <w:tcW w:type="dxa" w:w="4649"/>
            <w:vAlign w:val="center"/>
            <w:cantSplit/>
          </w:tcPr>
          <w:p>
            <w:pPr>
              <w:spacing w:line="240" w:lineRule="auto"/>
              <w:ind w:firstLine="0"/>
              <w:jc w:val="left"/>
            </w:pPr>
            <w:r/>
            <w:r>
              <w:rPr>
                <w:b w:val="0"/>
                <w:sz w:val="21"/>
              </w:rPr>
              <w:t>Modulator and Demodulator</w:t>
            </w:r>
          </w:p>
        </w:tc>
        <w:tc>
          <w:tcPr>
            <w:tcW w:type="dxa" w:w="2948"/>
            <w:vAlign w:val="center"/>
            <w:cantSplit/>
          </w:tcPr>
          <w:p>
            <w:pPr>
              <w:spacing w:line="240" w:lineRule="auto"/>
              <w:ind w:firstLine="0"/>
              <w:jc w:val="left"/>
            </w:pPr>
            <w:r/>
            <w:r>
              <w:rPr>
                <w:b w:val="0"/>
                <w:sz w:val="21"/>
              </w:rPr>
              <w:t>调制解调器</w:t>
            </w:r>
          </w:p>
        </w:tc>
      </w:tr>
    </w:tbl>
    <w:p>
      <w:r>
        <w:rPr>
          <w:b w:val="0"/>
        </w:rPr>
      </w:r>
    </w:p>
    <w:p>
      <w:pPr>
        <w:ind w:firstLine="0"/>
      </w:pPr>
      <w:r>
        <w:rPr>
          <w:b w:val="0"/>
        </w:rPr>
        <w:t>（本报告共____页，正文及附表未尽事宜按检测依据标准执行。）</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ind w:firstLine="0"/>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