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B6BEC1">
      <w:pPr>
        <w:jc w:val="center"/>
        <w:rPr>
          <w:rFonts w:hint="eastAsia"/>
          <w:lang w:val="en-US" w:eastAsia="zh-CN"/>
        </w:rPr>
      </w:pPr>
      <w:r>
        <w:rPr>
          <w:rFonts w:hint="eastAsia"/>
          <w:lang w:val="en-US" w:eastAsia="zh-CN"/>
        </w:rPr>
        <w:t>RCAN 论文的复现与改进</w:t>
      </w:r>
    </w:p>
    <w:p w14:paraId="79497464">
      <w:pPr>
        <w:numPr>
          <w:ilvl w:val="0"/>
          <w:numId w:val="1"/>
        </w:numPr>
        <w:jc w:val="left"/>
        <w:rPr>
          <w:rFonts w:hint="default"/>
          <w:lang w:val="en-US" w:eastAsia="zh-CN"/>
        </w:rPr>
      </w:pPr>
      <w:r>
        <w:rPr>
          <w:rFonts w:hint="eastAsia"/>
          <w:lang w:val="en-US" w:eastAsia="zh-CN"/>
        </w:rPr>
        <w:t>现有问题</w:t>
      </w:r>
    </w:p>
    <w:p w14:paraId="296EE7E6">
      <w:pPr>
        <w:numPr>
          <w:numId w:val="0"/>
        </w:numPr>
        <w:ind w:firstLine="420" w:firstLineChars="0"/>
        <w:jc w:val="left"/>
        <w:rPr>
          <w:rFonts w:hint="eastAsia"/>
          <w:lang w:val="en-US" w:eastAsia="zh-CN"/>
        </w:rPr>
      </w:pPr>
      <w:r>
        <w:rPr>
          <w:rFonts w:hint="default"/>
          <w:lang w:val="en-US" w:eastAsia="zh-CN"/>
        </w:rPr>
        <w:t>在单图像超分辨率（Single Image Super-Resolution, SISR）任务中，深度卷积神经网络近年来取得了显著进展。然而，现有方法在进一步提升性能时仍面临若干挑战。首先，尽管增加网络深度能够在一定程度上提升重建精度，但超深网络在训练过程中容易出现梯度消失和收敛困难等问题，从而限制了网络的</w:t>
      </w:r>
      <w:bookmarkStart w:id="0" w:name="_GoBack"/>
      <w:bookmarkEnd w:id="0"/>
      <w:r>
        <w:rPr>
          <w:rFonts w:hint="default"/>
          <w:lang w:val="en-US" w:eastAsia="zh-CN"/>
        </w:rPr>
        <w:t>性能潜力。其次，大多数方法对所有通道的特征采取均等处理，缺乏对不同通道特征重要性的自适应建模机制，导致特征信息利用不足。此外，低频信息在特征表示中往往占据主导地位，这在一定程度上抑制了高频细节的学习与重建。最后，传统的残差结构对信息传递的支持有限，尤其是在低频信息与高频信息的协同利用方面不足，导致网络对高频细节的关注度受到影响。</w:t>
      </w:r>
      <w:r>
        <w:rPr>
          <w:rFonts w:hint="eastAsia"/>
          <w:lang w:val="en-US" w:eastAsia="zh-CN"/>
        </w:rPr>
        <w:t>因此，亟需开发一种更高效的图像超分算法，以解决当前存在的上述问题。</w:t>
      </w:r>
    </w:p>
    <w:p w14:paraId="568D3308">
      <w:pPr>
        <w:numPr>
          <w:numId w:val="0"/>
        </w:numPr>
        <w:ind w:firstLine="420" w:firstLineChars="0"/>
        <w:jc w:val="left"/>
        <w:rPr>
          <w:rFonts w:hint="default"/>
          <w:lang w:val="en-US" w:eastAsia="zh-CN"/>
        </w:rPr>
      </w:pPr>
    </w:p>
    <w:p w14:paraId="4C2509D6">
      <w:pPr>
        <w:numPr>
          <w:ilvl w:val="0"/>
          <w:numId w:val="1"/>
        </w:numPr>
        <w:jc w:val="left"/>
        <w:rPr>
          <w:rFonts w:hint="default"/>
          <w:lang w:val="en-US" w:eastAsia="zh-CN"/>
        </w:rPr>
      </w:pPr>
      <w:r>
        <w:rPr>
          <w:rFonts w:hint="eastAsia"/>
          <w:lang w:val="en-US" w:eastAsia="zh-CN"/>
        </w:rPr>
        <w:t>主要思路</w:t>
      </w:r>
    </w:p>
    <w:p w14:paraId="790F8995">
      <w:pPr>
        <w:widowControl w:val="0"/>
        <w:numPr>
          <w:numId w:val="0"/>
        </w:numPr>
        <w:ind w:firstLine="420" w:firstLineChars="0"/>
        <w:jc w:val="left"/>
        <w:rPr>
          <w:rFonts w:hint="default"/>
          <w:lang w:val="en-US" w:eastAsia="zh-CN"/>
        </w:rPr>
      </w:pPr>
      <w:r>
        <w:rPr>
          <w:rFonts w:hint="default"/>
          <w:lang w:val="en-US" w:eastAsia="zh-CN"/>
        </w:rPr>
        <w:t>为应对超分辨率任务中深度网络训练困难、特征利用不足及信息流动受限等问题，本研究提出了一种基于超深残差结构的高效图像超分辨率网络。该方法首先构建了超深的残差网络，以增强特征表示能力，同时通过设计合理的残差嵌套结构缓解深度训练过程中的梯度消失与信息衰减问题。在特征建模方面，引入了通道注意力机制（Channel Attention），能够自适应地为不同通道分配权重，从而引导网络更加关注对高分辨率细节恢复具有判别性的信息。此外，网络采用了 Residual in Residual（RIR）结构，有效提升了特征与梯度在不同网络层之间的流动效率，一方面保留低频信息以保证整体结构的稳定性，另一方面将更多的学习能力集中于高频细节的恢复，从而进一步提升重建质量。</w:t>
      </w:r>
    </w:p>
    <w:p w14:paraId="47288767">
      <w:pPr>
        <w:widowControl w:val="0"/>
        <w:numPr>
          <w:numId w:val="0"/>
        </w:numPr>
        <w:ind w:firstLine="420" w:firstLineChars="0"/>
        <w:jc w:val="left"/>
        <w:rPr>
          <w:rFonts w:hint="default"/>
          <w:lang w:val="en-US" w:eastAsia="zh-CN"/>
        </w:rPr>
      </w:pPr>
    </w:p>
    <w:p w14:paraId="3208C074">
      <w:pPr>
        <w:numPr>
          <w:ilvl w:val="0"/>
          <w:numId w:val="1"/>
        </w:numPr>
        <w:jc w:val="left"/>
        <w:rPr>
          <w:rFonts w:hint="default"/>
          <w:lang w:val="en-US" w:eastAsia="zh-CN"/>
        </w:rPr>
      </w:pPr>
      <w:r>
        <w:rPr>
          <w:rFonts w:hint="eastAsia"/>
          <w:lang w:val="en-US" w:eastAsia="zh-CN"/>
        </w:rPr>
        <w:t>动机</w:t>
      </w:r>
    </w:p>
    <w:p w14:paraId="6987574E">
      <w:pPr>
        <w:widowControl w:val="0"/>
        <w:numPr>
          <w:numId w:val="0"/>
        </w:numPr>
        <w:ind w:firstLine="420" w:firstLineChars="0"/>
        <w:jc w:val="left"/>
        <w:rPr>
          <w:rFonts w:hint="default"/>
          <w:lang w:val="en-US" w:eastAsia="zh-CN"/>
        </w:rPr>
      </w:pPr>
      <w:r>
        <w:rPr>
          <w:rFonts w:hint="default"/>
          <w:lang w:val="en-US" w:eastAsia="zh-CN"/>
        </w:rPr>
        <w:t>在单图像超分辨率任务中，网络深度的增加通常能够显著提升特征表示能力，从而改善重建性能。然而，现有的 SISR 方法在网络深度方面仍存在明显限制，当深度增加到一定程度后，性能提升趋于饱和甚至停滞，难以突破现有瓶颈。此外，不同通道的特征在高分辨率重建过程中所起的作用并不相同，但大多数传统方法对各通道特征一视同仁，缺乏动态调节通道权重的机制，导致网络无法充分聚焦于对重建最关键的特征。更为重要的是，图像的低频信息与高频细节在卷积层中往往被统一处理，高频信息在多层传递的过程中容易被逐渐削弱或淹没，从而影响最终的细节恢复效果。</w:t>
      </w:r>
    </w:p>
    <w:p w14:paraId="30C34A15">
      <w:pPr>
        <w:widowControl w:val="0"/>
        <w:numPr>
          <w:numId w:val="0"/>
        </w:numPr>
        <w:ind w:firstLine="420" w:firstLineChars="0"/>
        <w:jc w:val="left"/>
        <w:rPr>
          <w:rFonts w:hint="default"/>
          <w:lang w:val="en-US" w:eastAsia="zh-CN"/>
        </w:rPr>
      </w:pPr>
    </w:p>
    <w:p w14:paraId="2FA41FF6">
      <w:pPr>
        <w:numPr>
          <w:ilvl w:val="0"/>
          <w:numId w:val="1"/>
        </w:numPr>
        <w:jc w:val="left"/>
        <w:rPr>
          <w:rFonts w:hint="default"/>
          <w:lang w:val="en-US" w:eastAsia="zh-CN"/>
        </w:rPr>
      </w:pPr>
      <w:r>
        <w:rPr>
          <w:rFonts w:hint="eastAsia"/>
          <w:lang w:val="en-US" w:eastAsia="zh-CN"/>
        </w:rPr>
        <w:t>方法</w:t>
      </w:r>
    </w:p>
    <w:p w14:paraId="5CF47818">
      <w:pPr>
        <w:widowControl w:val="0"/>
        <w:numPr>
          <w:ilvl w:val="1"/>
          <w:numId w:val="1"/>
        </w:numPr>
        <w:jc w:val="left"/>
        <w:rPr>
          <w:rFonts w:hint="eastAsia"/>
          <w:lang w:val="en-US" w:eastAsia="zh-CN"/>
        </w:rPr>
      </w:pPr>
      <w:r>
        <w:rPr>
          <w:rFonts w:hint="eastAsia"/>
          <w:lang w:val="en-US" w:eastAsia="zh-CN"/>
        </w:rPr>
        <w:t>通道注意力机制（Channel Attention, CA）</w:t>
      </w:r>
    </w:p>
    <w:p w14:paraId="29F02DE3">
      <w:pPr>
        <w:widowControl w:val="0"/>
        <w:numPr>
          <w:numId w:val="0"/>
        </w:numPr>
        <w:ind w:firstLine="420" w:firstLineChars="0"/>
        <w:jc w:val="left"/>
        <w:rPr>
          <w:rFonts w:hint="default"/>
          <w:lang w:val="en-US" w:eastAsia="zh-CN"/>
        </w:rPr>
      </w:pPr>
      <w:r>
        <w:rPr>
          <w:rFonts w:hint="eastAsia"/>
          <w:lang w:val="en-US" w:eastAsia="zh-CN"/>
        </w:rPr>
        <w:t>在图像超分辨率重建过程中，不同通道所含的特征信息对高分辨率细节的贡献存在差异。为了自适应地调整通道特征的重要性，本研究引入了通道注意力机制（CA）。具体而言，先对输入特征进行全局平均池化（Global Average Pooling），获取每个通道在全局空间上的统计信息；随后经过两层全连接网络（中间层通常具有缩放因子r以减少计算量）和非线性激活函数，生成对各通道的权重向量；最后通过逐通道乘法操作对原特征进行加权。该机制能够抑制冗余或无关的通道特征，增强与高频细节相关的特征响应，从而提升重建质量。该机制的框架如图 3 所示。</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8522"/>
      </w:tblGrid>
      <w:tr w14:paraId="528605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22" w:type="dxa"/>
            <w:tcBorders>
              <w:tl2br w:val="nil"/>
              <w:tr2bl w:val="nil"/>
            </w:tcBorders>
            <w:vAlign w:val="top"/>
          </w:tcPr>
          <w:p w14:paraId="6898C51B">
            <w:pPr>
              <w:widowControl w:val="0"/>
              <w:numPr>
                <w:numId w:val="0"/>
              </w:numPr>
              <w:jc w:val="center"/>
              <w:rPr>
                <w:rFonts w:hint="eastAsia"/>
                <w:vertAlign w:val="baseline"/>
                <w:lang w:val="en-US" w:eastAsia="zh-CN"/>
              </w:rPr>
            </w:pPr>
            <w:r>
              <w:drawing>
                <wp:inline distT="0" distB="0" distL="114300" distR="114300">
                  <wp:extent cx="4874260" cy="1347470"/>
                  <wp:effectExtent l="0" t="0" r="254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4874260" cy="1347470"/>
                          </a:xfrm>
                          <a:prstGeom prst="rect">
                            <a:avLst/>
                          </a:prstGeom>
                        </pic:spPr>
                      </pic:pic>
                    </a:graphicData>
                  </a:graphic>
                </wp:inline>
              </w:drawing>
            </w:r>
          </w:p>
        </w:tc>
      </w:tr>
    </w:tbl>
    <w:p w14:paraId="27FB3FAF">
      <w:pPr>
        <w:widowControl w:val="0"/>
        <w:numPr>
          <w:ilvl w:val="1"/>
          <w:numId w:val="1"/>
        </w:numPr>
        <w:ind w:left="0" w:leftChars="0" w:firstLine="0" w:firstLineChars="0"/>
        <w:jc w:val="left"/>
        <w:rPr>
          <w:rFonts w:hint="default"/>
          <w:lang w:val="en-US" w:eastAsia="zh-CN"/>
        </w:rPr>
      </w:pPr>
      <w:r>
        <w:rPr>
          <w:rFonts w:hint="default"/>
          <w:lang w:val="en-US" w:eastAsia="zh-CN"/>
        </w:rPr>
        <w:t>通道注意力残差块（Residual Channel Attention Block, RCAB）</w:t>
      </w:r>
    </w:p>
    <w:p w14:paraId="0BB279EA">
      <w:pPr>
        <w:widowControl w:val="0"/>
        <w:numPr>
          <w:numId w:val="0"/>
        </w:numPr>
        <w:ind w:leftChars="0" w:firstLine="420" w:firstLineChars="0"/>
        <w:jc w:val="left"/>
        <w:rPr>
          <w:rFonts w:hint="default"/>
          <w:lang w:val="en-US" w:eastAsia="zh-CN"/>
        </w:rPr>
      </w:pPr>
      <w:r>
        <w:rPr>
          <w:rFonts w:hint="default"/>
          <w:lang w:val="en-US" w:eastAsia="zh-CN"/>
        </w:rPr>
        <w:t>RCAB 是 CA 机制在残差块中的具体实现单元。</w:t>
      </w:r>
      <w:r>
        <w:rPr>
          <w:rFonts w:hint="eastAsia"/>
          <w:lang w:val="en-US" w:eastAsia="zh-CN"/>
        </w:rPr>
        <w:t>如图 4 所示，</w:t>
      </w:r>
      <w:r>
        <w:rPr>
          <w:rFonts w:hint="default"/>
          <w:lang w:val="en-US" w:eastAsia="zh-CN"/>
        </w:rPr>
        <w:t>一个 RCAB 包含两个连续的卷积层，中间通过激活函数（ReLU）引入非线性表示能力；卷积层输出经过通道注意力模块重新加权后，与输入特征通过残差连接（skip connection）相加形成最终输出。相比普通残差块，RCAB 通过在局部范围内引入通道选择性处理机制，使得网络在每个残差单元中都能针对性地强化高价值特征，从而在整个深度网络中逐层提升有用信息的传递与累积效果。</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3BCAA8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14:paraId="216B2A06">
            <w:pPr>
              <w:widowControl w:val="0"/>
              <w:numPr>
                <w:ilvl w:val="0"/>
                <w:numId w:val="0"/>
              </w:numPr>
              <w:jc w:val="center"/>
              <w:rPr>
                <w:rFonts w:hint="eastAsia"/>
                <w:vertAlign w:val="baseline"/>
                <w:lang w:val="en-US" w:eastAsia="zh-CN"/>
              </w:rPr>
            </w:pPr>
            <w:r>
              <w:drawing>
                <wp:inline distT="0" distB="0" distL="114300" distR="114300">
                  <wp:extent cx="4281170" cy="1377315"/>
                  <wp:effectExtent l="0" t="0" r="11430"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4281170" cy="1377315"/>
                          </a:xfrm>
                          <a:prstGeom prst="rect">
                            <a:avLst/>
                          </a:prstGeom>
                        </pic:spPr>
                      </pic:pic>
                    </a:graphicData>
                  </a:graphic>
                </wp:inline>
              </w:drawing>
            </w:r>
          </w:p>
        </w:tc>
      </w:tr>
    </w:tbl>
    <w:p w14:paraId="7D00B9AE">
      <w:pPr>
        <w:widowControl w:val="0"/>
        <w:numPr>
          <w:ilvl w:val="1"/>
          <w:numId w:val="1"/>
        </w:numPr>
        <w:ind w:left="0" w:leftChars="0" w:firstLine="0" w:firstLineChars="0"/>
        <w:jc w:val="left"/>
        <w:rPr>
          <w:rFonts w:hint="default"/>
          <w:lang w:val="en-US" w:eastAsia="zh-CN"/>
        </w:rPr>
      </w:pPr>
      <w:r>
        <w:rPr>
          <w:rFonts w:hint="default"/>
          <w:lang w:val="en-US" w:eastAsia="zh-CN"/>
        </w:rPr>
        <w:t>残差组（Residual Group, RG）</w:t>
      </w:r>
    </w:p>
    <w:p w14:paraId="1C487A18">
      <w:pPr>
        <w:widowControl w:val="0"/>
        <w:numPr>
          <w:numId w:val="0"/>
        </w:numPr>
        <w:ind w:leftChars="0" w:firstLine="420" w:firstLineChars="0"/>
        <w:jc w:val="left"/>
        <w:rPr>
          <w:rFonts w:hint="default"/>
          <w:lang w:val="en-US" w:eastAsia="zh-CN"/>
        </w:rPr>
      </w:pPr>
      <w:r>
        <w:rPr>
          <w:rFonts w:hint="default"/>
          <w:lang w:val="en-US" w:eastAsia="zh-CN"/>
        </w:rPr>
        <w:t>为了有效地组织大量 RCAB 并增强深层特征建模能力，网络引入了残差组（RG）的结构。</w:t>
      </w:r>
      <w:r>
        <w:rPr>
          <w:rFonts w:hint="eastAsia"/>
          <w:lang w:val="en-US" w:eastAsia="zh-CN"/>
        </w:rPr>
        <w:t>如图 2 上半部分所示，</w:t>
      </w:r>
      <w:r>
        <w:rPr>
          <w:rFonts w:hint="default"/>
          <w:lang w:val="en-US" w:eastAsia="zh-CN"/>
        </w:rPr>
        <w:t>一个 RG 内部由若干个串联的 RCAB 组成，其末端通过短跳跃连接（Short Skip Connection, SSC）实现输入与输出的逐元素相加，从而在组级别上形成更稳定的梯度传递路径。RG 的设计有助于分层学习特征：局部的 RCAB 负责细粒度细节增强，而 RG 通过整合作用使这些细节特征更好地在深层传播，为后续结构提供更具判别力的特征表示。</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032CC3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14:paraId="3E1A8EEF">
            <w:pPr>
              <w:widowControl w:val="0"/>
              <w:numPr>
                <w:ilvl w:val="0"/>
                <w:numId w:val="0"/>
              </w:numPr>
              <w:jc w:val="center"/>
              <w:rPr>
                <w:rFonts w:hint="eastAsia"/>
                <w:vertAlign w:val="baseline"/>
                <w:lang w:val="en-US" w:eastAsia="zh-CN"/>
              </w:rPr>
            </w:pPr>
            <w:r>
              <w:drawing>
                <wp:inline distT="0" distB="0" distL="114300" distR="114300">
                  <wp:extent cx="4033520" cy="1557655"/>
                  <wp:effectExtent l="0" t="0" r="508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033520" cy="1557655"/>
                          </a:xfrm>
                          <a:prstGeom prst="rect">
                            <a:avLst/>
                          </a:prstGeom>
                        </pic:spPr>
                      </pic:pic>
                    </a:graphicData>
                  </a:graphic>
                </wp:inline>
              </w:drawing>
            </w:r>
          </w:p>
        </w:tc>
      </w:tr>
    </w:tbl>
    <w:p w14:paraId="60A7F9A1">
      <w:pPr>
        <w:widowControl w:val="0"/>
        <w:numPr>
          <w:ilvl w:val="1"/>
          <w:numId w:val="1"/>
        </w:numPr>
        <w:ind w:left="0" w:leftChars="0" w:firstLine="0" w:firstLineChars="0"/>
        <w:jc w:val="left"/>
        <w:rPr>
          <w:rFonts w:hint="eastAsia"/>
          <w:lang w:val="en-US" w:eastAsia="zh-CN"/>
        </w:rPr>
      </w:pPr>
      <w:r>
        <w:rPr>
          <w:rFonts w:hint="eastAsia"/>
          <w:lang w:val="en-US" w:eastAsia="zh-CN"/>
        </w:rPr>
        <w:t>残差嵌套结构（Residual in Residual, RIR）</w:t>
      </w:r>
    </w:p>
    <w:p w14:paraId="58AEAE26">
      <w:pPr>
        <w:widowControl w:val="0"/>
        <w:numPr>
          <w:numId w:val="0"/>
        </w:numPr>
        <w:ind w:firstLine="420" w:firstLineChars="0"/>
        <w:jc w:val="left"/>
        <w:rPr>
          <w:rFonts w:hint="eastAsia"/>
          <w:lang w:val="en-US" w:eastAsia="zh-CN"/>
        </w:rPr>
      </w:pPr>
      <w:r>
        <w:rPr>
          <w:rFonts w:hint="eastAsia"/>
          <w:lang w:val="en-US" w:eastAsia="zh-CN"/>
        </w:rPr>
        <w:t>为了突破网络深度限制并缓解梯度消失问题，RCAN 在 RG 的基础上设计了残差嵌套结构（RIR）。如图 2 所示，RIR 将若干个 RG 串联成一个更深的整体，并在最外层引入长跳跃连接（Long Skip Connection, LSC），直接将初始输入特征与最终的 RG 输出相加，实现跨组特征融合。RIR 中的 LSC 与 RG 内部的 SSC 共同构建了多尺度、多层次的残差路径，从而保证低频信息在极深网络中的稳定传递与保留，同时使网络的学习过程更聚焦于高频细节的恢复。这种结构在保持网络易于优化的同时，大幅提高了建模能力。</w:t>
      </w:r>
    </w:p>
    <w:p w14:paraId="3F970E79">
      <w:pPr>
        <w:widowControl w:val="0"/>
        <w:numPr>
          <w:ilvl w:val="1"/>
          <w:numId w:val="1"/>
        </w:numPr>
        <w:ind w:left="0" w:leftChars="0" w:firstLine="0" w:firstLineChars="0"/>
        <w:jc w:val="left"/>
        <w:rPr>
          <w:rFonts w:hint="default"/>
          <w:lang w:val="en-US" w:eastAsia="zh-CN"/>
        </w:rPr>
      </w:pPr>
      <w:r>
        <w:rPr>
          <w:rFonts w:hint="default"/>
          <w:lang w:val="en-US" w:eastAsia="zh-CN"/>
        </w:rPr>
        <w:t>上采样模块（Upsampling Module）</w:t>
      </w:r>
    </w:p>
    <w:p w14:paraId="5708F5A3">
      <w:pPr>
        <w:widowControl w:val="0"/>
        <w:numPr>
          <w:numId w:val="0"/>
        </w:numPr>
        <w:ind w:leftChars="0" w:firstLine="420" w:firstLineChars="0"/>
        <w:jc w:val="left"/>
        <w:rPr>
          <w:rFonts w:hint="default"/>
          <w:lang w:val="en-US" w:eastAsia="zh-CN"/>
        </w:rPr>
      </w:pPr>
      <w:r>
        <w:rPr>
          <w:rFonts w:hint="default"/>
          <w:lang w:val="en-US" w:eastAsia="zh-CN"/>
        </w:rPr>
        <w:t>在高层特征提取完成后，网络需要将特征映射恢复到目标的高分辨率空间。RCAN 的上采样模块采用高效的子像素卷积（Sub-pixel Convolution，PixelShuffle）或反卷积方式，将低分辨率特征逐步放大为高分辨率图像。通过在上采样阶段利用深层特征信息，网络能够在恢复空间分辨率的同时重建更加锐利的边缘和丰富的纹理细节。此外，上采样模块位于网络的末端，避免了在深层特征过程中频繁处理高分辨率数据，从而降低计算成本并提升整体效率。</w:t>
      </w:r>
    </w:p>
    <w:p w14:paraId="6744059E">
      <w:pPr>
        <w:widowControl w:val="0"/>
        <w:numPr>
          <w:numId w:val="0"/>
        </w:numPr>
        <w:ind w:leftChars="0" w:firstLine="420" w:firstLineChars="0"/>
        <w:jc w:val="left"/>
        <w:rPr>
          <w:rFonts w:hint="default"/>
          <w:lang w:val="en-US" w:eastAsia="zh-CN"/>
        </w:rPr>
      </w:pPr>
    </w:p>
    <w:p w14:paraId="6CF9E22A">
      <w:pPr>
        <w:numPr>
          <w:ilvl w:val="0"/>
          <w:numId w:val="1"/>
        </w:numPr>
        <w:jc w:val="left"/>
        <w:rPr>
          <w:rFonts w:hint="default"/>
          <w:lang w:val="en-US" w:eastAsia="zh-CN"/>
        </w:rPr>
      </w:pPr>
      <w:r>
        <w:rPr>
          <w:rFonts w:hint="eastAsia"/>
          <w:lang w:val="en-US" w:eastAsia="zh-CN"/>
        </w:rPr>
        <w:t>结果</w:t>
      </w:r>
    </w:p>
    <w:p w14:paraId="75CC4F8D">
      <w:pPr>
        <w:numPr>
          <w:numId w:val="0"/>
        </w:numPr>
        <w:ind w:firstLine="420" w:firstLineChars="0"/>
        <w:jc w:val="left"/>
        <w:rPr>
          <w:rFonts w:hint="default"/>
          <w:lang w:val="en-US" w:eastAsia="zh-CN"/>
        </w:rPr>
      </w:pPr>
      <w:r>
        <w:rPr>
          <w:rFonts w:hint="default"/>
          <w:lang w:val="en-US" w:eastAsia="zh-CN"/>
        </w:rPr>
        <w:t>在多个主流基准数据集（Set5、Set14、B100、Urban100、Manga109）上对所提出的方法进行了全面评估，并与现有代表性方法（如 SRCNN、VDSR、EDSR 等）进行了对比实验。实验结果表明，在不同放大倍率下，本方法在峰值信噪比（PSNR）和结构相似性（SSIM）指标上均取得了全面领先的性能表现，尤其在 ×8 高倍率复杂场景下优势更加显著。主观视觉效果分析同样显示，所提出方法能够有效恢复更加清晰的细节与锐利的边缘，纹理结构更为接近真实的高分辨率图像，同时显著减少了传统方法中常见的模糊和伪影现象。这些结果验证了所提出模型在高频细节重建和全局结构保持方面的优越性。</w:t>
      </w:r>
    </w:p>
    <w:p w14:paraId="6CDF2051">
      <w:pPr>
        <w:numPr>
          <w:numId w:val="0"/>
        </w:numPr>
        <w:ind w:firstLine="420" w:firstLineChars="0"/>
        <w:jc w:val="left"/>
        <w:rPr>
          <w:rFonts w:hint="default"/>
          <w:lang w:val="en-US" w:eastAsia="zh-CN"/>
        </w:rPr>
      </w:pPr>
    </w:p>
    <w:p w14:paraId="6391E57C">
      <w:pPr>
        <w:numPr>
          <w:ilvl w:val="0"/>
          <w:numId w:val="1"/>
        </w:numPr>
        <w:jc w:val="left"/>
        <w:rPr>
          <w:rFonts w:hint="default"/>
          <w:lang w:val="en-US" w:eastAsia="zh-CN"/>
        </w:rPr>
      </w:pPr>
      <w:r>
        <w:rPr>
          <w:rFonts w:hint="eastAsia"/>
          <w:lang w:val="en-US" w:eastAsia="zh-CN"/>
        </w:rPr>
        <w:t>改进策略</w:t>
      </w:r>
    </w:p>
    <w:p w14:paraId="337F5141">
      <w:pPr>
        <w:numPr>
          <w:ilvl w:val="1"/>
          <w:numId w:val="1"/>
        </w:numPr>
        <w:ind w:left="0" w:leftChars="0" w:firstLine="0" w:firstLineChars="0"/>
        <w:jc w:val="left"/>
        <w:rPr>
          <w:rFonts w:hint="eastAsia"/>
          <w:lang w:val="en-US" w:eastAsia="zh-CN"/>
        </w:rPr>
      </w:pPr>
      <w:r>
        <w:rPr>
          <w:rFonts w:hint="eastAsia"/>
          <w:lang w:val="en-US" w:eastAsia="zh-CN"/>
        </w:rPr>
        <w:t>基于 CBAM 的注意力机制替换</w:t>
      </w:r>
    </w:p>
    <w:p w14:paraId="71C8CCA6">
      <w:pPr>
        <w:numPr>
          <w:numId w:val="0"/>
        </w:numPr>
        <w:ind w:leftChars="0" w:firstLine="420" w:firstLineChars="0"/>
        <w:jc w:val="left"/>
        <w:rPr>
          <w:rFonts w:hint="eastAsia"/>
          <w:lang w:val="en-US" w:eastAsia="zh-CN"/>
        </w:rPr>
      </w:pPr>
      <w:r>
        <w:rPr>
          <w:rFonts w:hint="eastAsia"/>
          <w:lang w:val="en-US" w:eastAsia="zh-CN"/>
        </w:rPr>
        <w:t>在原始 RCAN 网络中，通道注意力模块（CA）通过自适应调整不同通道特征的权重，有效增强了与高频细节相关的特征表达。但该机制仅在通道维度建模特征重要性，忽略了空间分布对图像细节恢复的影响。为了同时考虑通道与空间两个维度的特征选择性，本研究将 CA 模块替换为卷积块注意力模块（Convolutional Block Attention Module, CBAM）。如图 1 所示，CBAM 由通道注意力模块（Channel Attention Module）与空间注意力模块（Spatial Attention Module）顺序组成：首先利用全局平均池化和全局最大池化在通道维度上生成权重分布，以自适应强调关键信息通道；随后在空间维度采用池化操作与卷积运算生成空间注意力图，从而突出图像中不同位置的重要区域。通过在每个残差通道注意力块（RCAB）中引入 CBAM，网络不仅能够选择性地保留在高分辨率重建中最具判别力的通道特征，还能进一步聚焦于图像中的关键空间位置，有助于提升高频纹理和细节的恢复质量。实验上，这一改进在客观指标和主观视觉效果上均表现出优于原始 CA 的性能提升。</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02CD7D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22" w:type="dxa"/>
            <w:tcBorders>
              <w:tl2br w:val="nil"/>
              <w:tr2bl w:val="nil"/>
            </w:tcBorders>
            <w:vAlign w:val="top"/>
          </w:tcPr>
          <w:p w14:paraId="3FB51CE8">
            <w:pPr>
              <w:widowControl w:val="0"/>
              <w:numPr>
                <w:ilvl w:val="0"/>
                <w:numId w:val="0"/>
              </w:numPr>
              <w:jc w:val="center"/>
              <w:rPr>
                <w:rFonts w:hint="eastAsia"/>
                <w:vertAlign w:val="baseline"/>
                <w:lang w:val="en-US" w:eastAsia="zh-CN"/>
              </w:rPr>
            </w:pPr>
            <w:r>
              <w:drawing>
                <wp:inline distT="0" distB="0" distL="114300" distR="114300">
                  <wp:extent cx="3812540" cy="1599565"/>
                  <wp:effectExtent l="0" t="0" r="1016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812540" cy="1599565"/>
                          </a:xfrm>
                          <a:prstGeom prst="rect">
                            <a:avLst/>
                          </a:prstGeom>
                        </pic:spPr>
                      </pic:pic>
                    </a:graphicData>
                  </a:graphic>
                </wp:inline>
              </w:drawing>
            </w:r>
          </w:p>
        </w:tc>
      </w:tr>
    </w:tbl>
    <w:p w14:paraId="0C38AF92">
      <w:pPr>
        <w:numPr>
          <w:ilvl w:val="1"/>
          <w:numId w:val="1"/>
        </w:numPr>
        <w:ind w:left="0" w:leftChars="0" w:firstLine="0" w:firstLineChars="0"/>
        <w:jc w:val="left"/>
        <w:rPr>
          <w:rFonts w:hint="eastAsia"/>
          <w:lang w:val="en-US" w:eastAsia="zh-CN"/>
        </w:rPr>
      </w:pPr>
      <w:r>
        <w:rPr>
          <w:rFonts w:hint="eastAsia"/>
          <w:lang w:val="en-US" w:eastAsia="zh-CN"/>
        </w:rPr>
        <w:t>数据增强策略</w:t>
      </w:r>
    </w:p>
    <w:p w14:paraId="427583F9">
      <w:pPr>
        <w:numPr>
          <w:numId w:val="0"/>
        </w:numPr>
        <w:ind w:leftChars="0" w:firstLine="420" w:firstLineChars="0"/>
        <w:jc w:val="left"/>
        <w:rPr>
          <w:rFonts w:hint="eastAsia"/>
          <w:lang w:val="en-US" w:eastAsia="zh-CN"/>
        </w:rPr>
      </w:pPr>
      <w:r>
        <w:rPr>
          <w:rFonts w:hint="eastAsia"/>
          <w:lang w:val="en-US" w:eastAsia="zh-CN"/>
        </w:rPr>
        <w:t xml:space="preserve">为了提升模型的泛化能力并减少过拟合，本研究在训练阶段对高分辨率–低分辨率（HR–LR）图像对进行了多样化的数据增强处理。首先，从高分辨率图像生成低分辨率图像时，采用双三次（Bicubic）插值将原始图像按放大倍率 </w:t>
      </w:r>
      <m:oMathPara>
        <m:oMath>
          <m:r>
            <m:rPr>
              <m:sty m:val="p"/>
            </m:rPr>
            <w:rPr>
              <w:rFonts w:hint="default" w:ascii="Cambria Math"/>
            </w:rPr>
            <m:t>×</m:t>
          </m:r>
          <m:r>
            <m:rPr/>
            <w:rPr>
              <w:rFonts w:hint="default" w:ascii="Cambria Math"/>
            </w:rPr>
            <m:t>s</m:t>
          </m:r>
        </m:oMath>
      </m:oMathPara>
      <w:r>
        <w:rPr>
          <w:rFonts w:hint="eastAsia"/>
          <w:lang w:val="en-US" w:eastAsia="zh-CN"/>
        </w:rPr>
        <w:t xml:space="preserve"> 进行下采样，其中 </w:t>
      </w:r>
      <m:oMathPara>
        <m:oMath>
          <m:r>
            <m:rPr/>
            <w:rPr>
              <w:rFonts w:hint="default" w:ascii="Cambria Math"/>
            </w:rPr>
            <m:t>s∈2,4,8</m:t>
          </m:r>
        </m:oMath>
      </m:oMathPara>
      <w:r>
        <w:rPr>
          <w:rFonts w:hint="eastAsia"/>
          <w:lang w:val="en-US" w:eastAsia="zh-CN"/>
        </w:rPr>
        <w:t xml:space="preserve">。随后，在构造训练样本时，从低分辨率图像中随机裁剪大小为 </w:t>
      </w:r>
      <m:oMathPara>
        <m:oMath>
          <m:r>
            <m:rPr/>
            <w:rPr>
              <w:rFonts w:hint="default" w:ascii="Cambria Math"/>
            </w:rPr>
            <m:t>p</m:t>
          </m:r>
          <m:r>
            <m:rPr>
              <m:sty m:val="p"/>
            </m:rPr>
            <w:rPr>
              <w:rFonts w:hint="default" w:ascii="Cambria Math"/>
            </w:rPr>
            <m:t>×</m:t>
          </m:r>
          <m:r>
            <m:rPr/>
            <w:rPr>
              <w:rFonts w:hint="default" w:ascii="Cambria Math"/>
            </w:rPr>
            <m:t>p</m:t>
          </m:r>
        </m:oMath>
      </m:oMathPara>
      <w:r>
        <w:rPr>
          <w:rFonts w:hint="eastAsia"/>
          <w:lang w:val="en-US" w:eastAsia="zh-CN"/>
        </w:rPr>
        <w:t xml:space="preserve"> 的图像块，并从对应的高分辨率图像中同步裁剪大小为 </w:t>
      </w:r>
      <m:oMathPara>
        <m:oMath>
          <m:r>
            <m:rPr/>
            <w:rPr>
              <w:rFonts w:hint="default" w:ascii="Cambria Math"/>
            </w:rPr>
            <m:t>(s⋅p)</m:t>
          </m:r>
          <m:r>
            <m:rPr>
              <m:sty m:val="p"/>
            </m:rPr>
            <w:rPr>
              <w:rFonts w:hint="default" w:ascii="Cambria Math"/>
            </w:rPr>
            <m:t>×</m:t>
          </m:r>
          <m:r>
            <m:rPr/>
            <w:rPr>
              <w:rFonts w:hint="default" w:ascii="Cambria Math"/>
            </w:rPr>
            <m:t>(s⋅p)</m:t>
          </m:r>
        </m:oMath>
      </m:oMathPara>
      <w:r>
        <w:rPr>
          <w:rFonts w:hint="eastAsia"/>
          <w:lang w:val="en-US" w:eastAsia="zh-CN"/>
        </w:rPr>
        <w:t xml:space="preserve"> 的配对块，以保证 LR–HR 样本的空间对应性。</w:t>
      </w:r>
    </w:p>
    <w:p w14:paraId="33A4CCA0">
      <w:pPr>
        <w:numPr>
          <w:numId w:val="0"/>
        </w:numPr>
        <w:ind w:leftChars="0" w:firstLine="420" w:firstLineChars="0"/>
        <w:jc w:val="left"/>
        <w:rPr>
          <w:rFonts w:hint="eastAsia"/>
          <w:lang w:val="en-US" w:eastAsia="zh-CN"/>
        </w:rPr>
      </w:pPr>
      <w:r>
        <w:rPr>
          <w:rFonts w:hint="eastAsia"/>
          <w:lang w:val="en-US" w:eastAsia="zh-CN"/>
        </w:rPr>
        <w:t>在裁剪后的图像块上，我们进一步施加了随机数据增强操作，包括：</w:t>
      </w:r>
    </w:p>
    <w:p w14:paraId="4D4CB245">
      <w:pPr>
        <w:numPr>
          <w:ilvl w:val="0"/>
          <w:numId w:val="2"/>
        </w:numPr>
        <w:ind w:firstLine="420" w:firstLineChars="0"/>
        <w:jc w:val="left"/>
        <w:rPr>
          <w:rFonts w:hint="eastAsia"/>
          <w:lang w:val="en-US" w:eastAsia="zh-CN"/>
        </w:rPr>
      </w:pPr>
      <w:r>
        <w:rPr>
          <w:rFonts w:hint="eastAsia"/>
          <w:b/>
          <w:bCs/>
          <w:lang w:val="en-US" w:eastAsia="zh-CN"/>
        </w:rPr>
        <w:t>随机水平翻转（Probability = 0.5）：</w:t>
      </w:r>
      <w:r>
        <w:rPr>
          <w:rFonts w:hint="eastAsia"/>
          <w:lang w:val="en-US" w:eastAsia="zh-CN"/>
        </w:rPr>
        <w:t>翻转 LR 与 HR 图像对，以增强模型对左右对称结构的鲁棒性；</w:t>
      </w:r>
    </w:p>
    <w:p w14:paraId="6618D2A8">
      <w:pPr>
        <w:numPr>
          <w:ilvl w:val="0"/>
          <w:numId w:val="2"/>
        </w:numPr>
        <w:ind w:left="0" w:leftChars="0" w:firstLine="420" w:firstLineChars="0"/>
        <w:jc w:val="left"/>
        <w:rPr>
          <w:rFonts w:hint="eastAsia"/>
          <w:lang w:val="en-US" w:eastAsia="zh-CN"/>
        </w:rPr>
      </w:pPr>
      <w:r>
        <w:rPr>
          <w:rFonts w:hint="eastAsia"/>
          <w:b/>
          <w:bCs/>
          <w:lang w:val="en-US" w:eastAsia="zh-CN"/>
        </w:rPr>
        <w:t>随机垂直翻转（Probability = 0.5）：</w:t>
      </w:r>
      <w:r>
        <w:rPr>
          <w:rFonts w:hint="eastAsia"/>
          <w:lang w:val="en-US" w:eastAsia="zh-CN"/>
        </w:rPr>
        <w:t>翻转图像上下方向，从而提升模型的旋转与翻转不变性；</w:t>
      </w:r>
    </w:p>
    <w:p w14:paraId="0C250227">
      <w:pPr>
        <w:numPr>
          <w:ilvl w:val="0"/>
          <w:numId w:val="2"/>
        </w:numPr>
        <w:ind w:left="0" w:leftChars="0" w:firstLine="420" w:firstLineChars="0"/>
        <w:jc w:val="left"/>
        <w:rPr>
          <w:rFonts w:hint="eastAsia"/>
          <w:lang w:val="en-US" w:eastAsia="zh-CN"/>
        </w:rPr>
      </w:pPr>
      <w:r>
        <w:rPr>
          <w:rFonts w:hint="eastAsia"/>
          <w:b/>
          <w:bCs/>
          <w:lang w:val="en-US" w:eastAsia="zh-CN"/>
        </w:rPr>
        <w:t>随机旋转：</w:t>
      </w:r>
      <w:r>
        <w:rPr>
          <w:rFonts w:hint="eastAsia"/>
          <w:lang w:val="en-US" w:eastAsia="zh-CN"/>
        </w:rPr>
        <w:t>从 {0°, 90°, 180°, 270°} 中随机选取一个角度对图像对进行同步旋转，进一步增加训练样本的多样性。</w:t>
      </w:r>
    </w:p>
    <w:p w14:paraId="0DF4E523">
      <w:pPr>
        <w:numPr>
          <w:numId w:val="0"/>
        </w:numPr>
        <w:ind w:firstLine="420" w:firstLineChars="0"/>
        <w:jc w:val="left"/>
        <w:rPr>
          <w:rFonts w:hint="eastAsia"/>
          <w:lang w:val="en-US" w:eastAsia="zh-CN"/>
        </w:rPr>
      </w:pPr>
      <w:r>
        <w:rPr>
          <w:rFonts w:hint="eastAsia"/>
          <w:lang w:val="en-US" w:eastAsia="zh-CN"/>
        </w:rPr>
        <w:t>上述所有增强操作在 LR 与 HR 图像对上同步进行，以保持配对的空间一致性。最后，增强后的图像被转换为归一化到 [0,1] 区间的张量输入模型。该数据增强策略能够在不引入额外数据的情况下显著扩大训练样本空间，并使模型在面对不同结构、方向及纹理细节时具备更强的恢复能力。</w:t>
      </w:r>
    </w:p>
    <w:p w14:paraId="4239AB43">
      <w:pPr>
        <w:numPr>
          <w:numId w:val="0"/>
        </w:numPr>
        <w:ind w:firstLine="420" w:firstLineChars="0"/>
        <w:jc w:val="left"/>
        <w:rPr>
          <w:rFonts w:hint="eastAsia"/>
          <w:lang w:val="en-US" w:eastAsia="zh-CN"/>
        </w:rPr>
      </w:pPr>
    </w:p>
    <w:p w14:paraId="32B57F65">
      <w:pPr>
        <w:numPr>
          <w:ilvl w:val="0"/>
          <w:numId w:val="1"/>
        </w:numPr>
        <w:jc w:val="left"/>
        <w:rPr>
          <w:rFonts w:hint="default"/>
          <w:lang w:val="en-US" w:eastAsia="zh-CN"/>
        </w:rPr>
      </w:pPr>
      <w:r>
        <w:rPr>
          <w:rFonts w:hint="eastAsia"/>
          <w:lang w:val="en-US" w:eastAsia="zh-CN"/>
        </w:rPr>
        <w:t>结果</w:t>
      </w:r>
    </w:p>
    <w:p w14:paraId="76BE7C8A">
      <w:pPr>
        <w:numPr>
          <w:numId w:val="0"/>
        </w:numPr>
        <w:ind w:firstLine="420" w:firstLineChars="0"/>
        <w:jc w:val="left"/>
        <w:rPr>
          <w:rFonts w:hint="default"/>
          <w:lang w:val="en-US" w:eastAsia="zh-CN"/>
        </w:rPr>
      </w:pPr>
      <w:r>
        <w:rPr>
          <w:rFonts w:hint="eastAsia"/>
          <w:lang w:val="en-US" w:eastAsia="zh-CN"/>
        </w:rPr>
        <w:t>为验证所提出改进策略对模型性能提升的有效性，本文设计并开展了针对基线模型 RCAN 的消融实验。实验共设置三种改进方式：首先，将原 RCAN 中的通道注意力（CA）模块替换为卷积块注意力模块（CBAM），以同时建模通道与空间维度的特征重要性，从而增强高频细节的恢复能力；其次，在基线模型中引入本文提出的数据增强策略，通过多样化的训练样本提高模型的泛化能力与鲁棒性；最后，将 CBAM 模块替换与数据增强操作相结合，以评估两者的协同增益效果。各组实验的定量指标结果如表 1 所示，通过分步骤分析不同策略对 PSNR 和 SSIM 的影响，可以更清晰地揭示各改进组件在整体性能提升中的作用和贡献。</w:t>
      </w:r>
    </w:p>
    <w:p w14:paraId="350AB619">
      <w:pPr>
        <w:numPr>
          <w:numId w:val="0"/>
        </w:numPr>
        <w:jc w:val="center"/>
        <w:rPr>
          <w:rFonts w:hint="default"/>
          <w:lang w:val="en-US" w:eastAsia="zh-CN"/>
        </w:rPr>
      </w:pPr>
      <w:r>
        <w:rPr>
          <w:rFonts w:hint="eastAsia"/>
          <w:lang w:val="en-US" w:eastAsia="zh-CN"/>
        </w:rPr>
        <w:t>表1. 改进 RCAN 的消融实验结果</w:t>
      </w:r>
    </w:p>
    <w:tbl>
      <w:tblPr>
        <w:tblW w:w="407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910"/>
        <w:gridCol w:w="1080"/>
        <w:gridCol w:w="1080"/>
      </w:tblGrid>
      <w:tr w14:paraId="2775EC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1910" w:type="dxa"/>
            <w:tcBorders>
              <w:top w:val="single" w:color="auto" w:sz="4" w:space="0"/>
              <w:left w:val="nil"/>
              <w:bottom w:val="single" w:color="auto" w:sz="4" w:space="0"/>
              <w:right w:val="single" w:color="auto" w:sz="4" w:space="0"/>
            </w:tcBorders>
            <w:shd w:val="clear"/>
            <w:noWrap/>
            <w:vAlign w:val="center"/>
          </w:tcPr>
          <w:p w14:paraId="7059FEA0">
            <w:pPr>
              <w:keepNext w:val="0"/>
              <w:keepLines w:val="0"/>
              <w:widowControl/>
              <w:suppressLineNumbers w:val="0"/>
              <w:jc w:val="center"/>
              <w:textAlignment w:val="center"/>
              <w:rPr>
                <w:rFonts w:hint="default" w:ascii="宋体" w:hAnsi="宋体" w:eastAsia="宋体" w:cs="宋体"/>
                <w:b/>
                <w:bCs/>
                <w:i w:val="0"/>
                <w:iCs w:val="0"/>
                <w:color w:val="000000"/>
                <w:sz w:val="22"/>
                <w:szCs w:val="22"/>
                <w:u w:val="none"/>
                <w:lang w:val="en-US"/>
              </w:rPr>
            </w:pPr>
            <w:r>
              <w:rPr>
                <w:rFonts w:hint="eastAsia" w:ascii="宋体" w:hAnsi="宋体" w:eastAsia="宋体" w:cs="宋体"/>
                <w:b/>
                <w:bCs/>
                <w:i w:val="0"/>
                <w:iCs w:val="0"/>
                <w:color w:val="000000"/>
                <w:kern w:val="0"/>
                <w:sz w:val="22"/>
                <w:szCs w:val="22"/>
                <w:u w:val="none"/>
                <w:bdr w:val="none" w:color="auto" w:sz="0" w:space="0"/>
                <w:lang w:val="en-US" w:eastAsia="zh-CN" w:bidi="ar"/>
              </w:rPr>
              <w:t>改进策略</w:t>
            </w:r>
          </w:p>
        </w:tc>
        <w:tc>
          <w:tcPr>
            <w:tcW w:w="1080" w:type="dxa"/>
            <w:tcBorders>
              <w:top w:val="single" w:color="auto" w:sz="4" w:space="0"/>
              <w:left w:val="single" w:color="auto" w:sz="4" w:space="0"/>
              <w:bottom w:val="single" w:color="auto" w:sz="4" w:space="0"/>
              <w:right w:val="single" w:color="auto" w:sz="4" w:space="0"/>
            </w:tcBorders>
            <w:shd w:val="clear"/>
            <w:noWrap/>
            <w:vAlign w:val="center"/>
          </w:tcPr>
          <w:p w14:paraId="182B6A8B">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PSNR</w:t>
            </w:r>
          </w:p>
        </w:tc>
        <w:tc>
          <w:tcPr>
            <w:tcW w:w="1080" w:type="dxa"/>
            <w:tcBorders>
              <w:top w:val="single" w:color="auto" w:sz="4" w:space="0"/>
              <w:left w:val="single" w:color="auto" w:sz="4" w:space="0"/>
              <w:bottom w:val="single" w:color="auto" w:sz="4" w:space="0"/>
              <w:right w:val="nil"/>
            </w:tcBorders>
            <w:shd w:val="clear"/>
            <w:noWrap/>
            <w:vAlign w:val="center"/>
          </w:tcPr>
          <w:p w14:paraId="0488A95C">
            <w:pPr>
              <w:keepNext w:val="0"/>
              <w:keepLines w:val="0"/>
              <w:widowControl/>
              <w:suppressLineNumbers w:val="0"/>
              <w:jc w:val="center"/>
              <w:textAlignment w:val="center"/>
              <w:rPr>
                <w:rFonts w:hint="eastAsia" w:ascii="宋体" w:hAnsi="宋体" w:eastAsia="宋体" w:cs="宋体"/>
                <w:b/>
                <w:bCs/>
                <w:i w:val="0"/>
                <w:iCs w:val="0"/>
                <w:color w:val="000000"/>
                <w:sz w:val="22"/>
                <w:szCs w:val="22"/>
                <w:u w:val="none"/>
              </w:rPr>
            </w:pPr>
            <w:r>
              <w:rPr>
                <w:rFonts w:hint="eastAsia" w:ascii="宋体" w:hAnsi="宋体" w:eastAsia="宋体" w:cs="宋体"/>
                <w:b/>
                <w:bCs/>
                <w:i w:val="0"/>
                <w:iCs w:val="0"/>
                <w:color w:val="000000"/>
                <w:kern w:val="0"/>
                <w:sz w:val="22"/>
                <w:szCs w:val="22"/>
                <w:u w:val="none"/>
                <w:bdr w:val="none" w:color="auto" w:sz="0" w:space="0"/>
                <w:lang w:val="en-US" w:eastAsia="zh-CN" w:bidi="ar"/>
              </w:rPr>
              <w:t>SSIM</w:t>
            </w:r>
          </w:p>
        </w:tc>
      </w:tr>
      <w:tr w14:paraId="5EA985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single" w:color="auto" w:sz="4" w:space="0"/>
              <w:right w:val="single" w:color="auto" w:sz="4" w:space="0"/>
            </w:tcBorders>
            <w:shd w:val="clear"/>
            <w:noWrap/>
            <w:vAlign w:val="center"/>
          </w:tcPr>
          <w:p w14:paraId="5093A98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RCAN</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14:paraId="6BCAB3C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28.66</w:t>
            </w:r>
          </w:p>
        </w:tc>
        <w:tc>
          <w:tcPr>
            <w:tcW w:w="0" w:type="auto"/>
            <w:tcBorders>
              <w:top w:val="single" w:color="auto" w:sz="4" w:space="0"/>
              <w:left w:val="single" w:color="auto" w:sz="4" w:space="0"/>
              <w:bottom w:val="single" w:color="auto" w:sz="4" w:space="0"/>
              <w:right w:val="nil"/>
            </w:tcBorders>
            <w:shd w:val="clear"/>
            <w:noWrap/>
            <w:vAlign w:val="center"/>
          </w:tcPr>
          <w:p w14:paraId="07B457A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0.8366</w:t>
            </w:r>
          </w:p>
        </w:tc>
      </w:tr>
      <w:tr w14:paraId="144D3A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single" w:color="auto" w:sz="4" w:space="0"/>
              <w:right w:val="single" w:color="auto" w:sz="4" w:space="0"/>
            </w:tcBorders>
            <w:shd w:val="clear"/>
            <w:noWrap/>
            <w:vAlign w:val="center"/>
          </w:tcPr>
          <w:p w14:paraId="54CBC61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+CBAM</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14:paraId="55B5826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29.57</w:t>
            </w:r>
          </w:p>
        </w:tc>
        <w:tc>
          <w:tcPr>
            <w:tcW w:w="0" w:type="auto"/>
            <w:tcBorders>
              <w:top w:val="single" w:color="auto" w:sz="4" w:space="0"/>
              <w:left w:val="single" w:color="auto" w:sz="4" w:space="0"/>
              <w:bottom w:val="single" w:color="auto" w:sz="4" w:space="0"/>
              <w:right w:val="nil"/>
            </w:tcBorders>
            <w:shd w:val="clear"/>
            <w:noWrap/>
            <w:vAlign w:val="center"/>
          </w:tcPr>
          <w:p w14:paraId="5FAB9F9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0.8795</w:t>
            </w:r>
          </w:p>
        </w:tc>
      </w:tr>
      <w:tr w14:paraId="1FFE4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single" w:color="auto" w:sz="4" w:space="0"/>
              <w:right w:val="single" w:color="auto" w:sz="4" w:space="0"/>
            </w:tcBorders>
            <w:shd w:val="clear"/>
            <w:noWrap/>
            <w:vAlign w:val="center"/>
          </w:tcPr>
          <w:p w14:paraId="7B20A91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+数据增强</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14:paraId="3EEF421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30.57</w:t>
            </w:r>
          </w:p>
        </w:tc>
        <w:tc>
          <w:tcPr>
            <w:tcW w:w="0" w:type="auto"/>
            <w:tcBorders>
              <w:top w:val="single" w:color="auto" w:sz="4" w:space="0"/>
              <w:left w:val="single" w:color="auto" w:sz="4" w:space="0"/>
              <w:bottom w:val="single" w:color="auto" w:sz="4" w:space="0"/>
              <w:right w:val="nil"/>
            </w:tcBorders>
            <w:shd w:val="clear"/>
            <w:noWrap/>
            <w:vAlign w:val="center"/>
          </w:tcPr>
          <w:p w14:paraId="402997D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0.8531</w:t>
            </w:r>
          </w:p>
        </w:tc>
      </w:tr>
      <w:tr w14:paraId="70D737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jc w:val="center"/>
        </w:trPr>
        <w:tc>
          <w:tcPr>
            <w:tcW w:w="0" w:type="auto"/>
            <w:tcBorders>
              <w:top w:val="single" w:color="auto" w:sz="4" w:space="0"/>
              <w:left w:val="nil"/>
              <w:bottom w:val="single" w:color="auto" w:sz="4" w:space="0"/>
              <w:right w:val="single" w:color="auto" w:sz="4" w:space="0"/>
            </w:tcBorders>
            <w:shd w:val="clear"/>
            <w:noWrap/>
            <w:vAlign w:val="center"/>
          </w:tcPr>
          <w:p w14:paraId="58C9B5D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+CBAM+数据增强</w:t>
            </w:r>
          </w:p>
        </w:tc>
        <w:tc>
          <w:tcPr>
            <w:tcW w:w="0" w:type="auto"/>
            <w:tcBorders>
              <w:top w:val="single" w:color="auto" w:sz="4" w:space="0"/>
              <w:left w:val="single" w:color="auto" w:sz="4" w:space="0"/>
              <w:bottom w:val="single" w:color="auto" w:sz="4" w:space="0"/>
              <w:right w:val="single" w:color="auto" w:sz="4" w:space="0"/>
            </w:tcBorders>
            <w:shd w:val="clear"/>
            <w:noWrap/>
            <w:vAlign w:val="center"/>
          </w:tcPr>
          <w:p w14:paraId="28C2A21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31.33</w:t>
            </w:r>
          </w:p>
        </w:tc>
        <w:tc>
          <w:tcPr>
            <w:tcW w:w="0" w:type="auto"/>
            <w:tcBorders>
              <w:top w:val="single" w:color="auto" w:sz="4" w:space="0"/>
              <w:left w:val="single" w:color="auto" w:sz="4" w:space="0"/>
              <w:bottom w:val="single" w:color="auto" w:sz="4" w:space="0"/>
              <w:right w:val="nil"/>
            </w:tcBorders>
            <w:shd w:val="clear"/>
            <w:noWrap/>
            <w:vAlign w:val="center"/>
          </w:tcPr>
          <w:p w14:paraId="62AE319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0.8646</w:t>
            </w:r>
          </w:p>
        </w:tc>
      </w:tr>
    </w:tbl>
    <w:p w14:paraId="286F74A8">
      <w:pPr>
        <w:numPr>
          <w:numId w:val="0"/>
        </w:numPr>
        <w:ind w:firstLine="420" w:firstLineChars="0"/>
        <w:jc w:val="left"/>
        <w:rPr>
          <w:rFonts w:hint="eastAsia"/>
          <w:lang w:val="en-US" w:eastAsia="zh-CN"/>
        </w:rPr>
      </w:pPr>
      <w:r>
        <w:rPr>
          <w:rFonts w:hint="eastAsia"/>
          <w:lang w:val="en-US" w:eastAsia="zh-CN"/>
        </w:rPr>
        <w:t>如表 1 所示，基线模型 RCAN 在测试集上的性能表现为 PSNR 28.66 和 SSIM 0.8366。在仅将原有的通道注意力（CA）模块替换为卷积块注意力模块（CBAM）后，模型的 PSNR 提升了 3.2%，SSIM 提升了 5.1%，表明引入同时建模通道与空间信息的注意力机制能够有效增强特征表达能力，从而在高频细节恢复方面取得更优效果。当仅引入本文设计的数据增强策略时，模型的 PSNR 提升了 6.7%，SSIM 提升了 2.0%，这说明多样化的训练数据能够显著提升模型的泛化能力和对不同图像结构的适应性。进一步地，当同时采用 CBAM 模块替换与数据增强操作时，模型的 PSNR 总体提升达到了 9.3%，SSIM 提升了 3.3%，显著优于任一单独改进。这一结果验证了注意力机制优化与数据多样性提升具有协同增益效果，能够在保持全局结构一致性的同时更精准地重建局部细节，从而显著提高超分辨率重建的整体质量。</w:t>
      </w:r>
    </w:p>
    <w:p w14:paraId="23946D96">
      <w:pPr>
        <w:numPr>
          <w:numId w:val="0"/>
        </w:numPr>
        <w:ind w:firstLine="420" w:firstLineChars="0"/>
        <w:jc w:val="left"/>
        <w:rPr>
          <w:rFonts w:hint="default"/>
          <w:lang w:val="en-US" w:eastAsia="zh-CN"/>
        </w:rPr>
      </w:pPr>
    </w:p>
    <w:p w14:paraId="0ED06672">
      <w:pPr>
        <w:numPr>
          <w:ilvl w:val="0"/>
          <w:numId w:val="1"/>
        </w:numPr>
        <w:jc w:val="left"/>
        <w:rPr>
          <w:rFonts w:hint="default"/>
          <w:lang w:val="en-US" w:eastAsia="zh-CN"/>
        </w:rPr>
      </w:pPr>
      <w:r>
        <w:rPr>
          <w:rFonts w:hint="eastAsia"/>
          <w:lang w:val="en-US" w:eastAsia="zh-CN"/>
        </w:rPr>
        <w:t>结论</w:t>
      </w:r>
    </w:p>
    <w:p w14:paraId="444FB759">
      <w:pPr>
        <w:numPr>
          <w:numId w:val="0"/>
        </w:numPr>
        <w:ind w:firstLine="420" w:firstLineChars="0"/>
        <w:jc w:val="left"/>
        <w:rPr>
          <w:rFonts w:hint="default"/>
          <w:lang w:val="en-US" w:eastAsia="zh-CN"/>
        </w:rPr>
      </w:pPr>
      <w:r>
        <w:rPr>
          <w:rFonts w:hint="default"/>
          <w:lang w:val="en-US" w:eastAsia="zh-CN"/>
        </w:rPr>
        <w:t>本文针对 RCAN 在特征表达能力与泛化性能方面的不足，提出了两项有效的改进策略。首先，将原有的通道注意力（CA）模块替换为卷积块注意力模块（CBAM），在通道维度建模的基础上引入空间维度的特征选择机制，使网络能够在重建过程中同时关注关键信息通道与显著空间区域，从而进一步提升了高频细节的恢复能力。其次，设计了覆盖随机裁剪、翻转及旋转等多种操作的数据增强策略，有效扩展了训练样本的多样性，增强了模型在不同图像结构与场景下的泛化性能。消融实验结果表明，两种策略在单独使用时均能带来显著的性能提升，而在联合使用时更能产生协同增益，在多个指标上均显著优于基线模型。这些结果验证了所提出改进的有效性与可行性，为后续超分辨率网络在注意力机制与数据处理策略方面的优化提供了有益参考。</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07FDDD"/>
    <w:multiLevelType w:val="multilevel"/>
    <w:tmpl w:val="AE07FDD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E90CB5"/>
    <w:multiLevelType w:val="singleLevel"/>
    <w:tmpl w:val="E7E90CB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87D16"/>
    <w:rsid w:val="1F287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2025-09-20T04:35:00Z</dcterms:created>
  <dc:creator></dc:creator>
  <cp:lastModifiedBy></cp:lastModifiedBy>
  <dcterms:modified xsi:type="dcterms:W3CDTF">2025-09-20T06:17:50Z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9D23D6EBDD2E48138D05AB69877DA97B_11</vt:lpwstr>
  </property>
  <property fmtid="{D5CDD505-2E9C-101B-9397-08002B2CF9AE}" pid="4" name="KSOTemplateDocerSaveRecord">
    <vt:lpwstr>eyJoZGlkIjoiMDdlZWJiODRkM2NkMDIyOTAxYzExY2QzNWM4YTgyMTIiLCJ1c2VySWQiOiI3NzYzNDI3MzAifQ==</vt:lpwstr>
  </property>
</Properties>
</file>