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1 Programme Overview</w:t>
      </w:r>
    </w:p>
    <w:p>
      <w:r>
        <w:rPr>
          <w:b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2"/>
        </w:rPr>
        <w:t>1.1 Scope and Boundaries</w:t>
      </w:r>
    </w:p>
    <w:p>
      <w:r>
        <w:rPr>
          <w:b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2"/>
        </w:rPr>
        <w:t>1.2 Known Risks</w:t>
      </w:r>
    </w:p>
    <w:p>
      <w:r>
        <w:rPr>
          <w:b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2"/>
        </w:rPr>
        <w:t>2 Technical Design</w:t>
      </w:r>
    </w:p>
    <w:p>
      <w:r>
        <w:rPr>
          <w:b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2"/>
        </w:rPr>
        <w:t>2.1 Storage Layer</w:t>
      </w:r>
    </w:p>
    <w:p>
      <w:r>
        <w:rPr>
          <w:b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2"/>
        </w:rPr>
        <w:t>2.2 Serving Layer</w:t>
      </w:r>
    </w:p>
    <w:p>
      <w:r>
        <w:rPr>
          <w:b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2"/>
        </w:rPr>
        <w:t>3 Rollout Plan</w:t>
      </w:r>
    </w:p>
    <w:p>
      <w:r>
        <w:rPr>
          <w:b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2"/>
        </w:rPr>
        <w:t>3.1 Staged Release</w:t>
      </w:r>
    </w:p>
    <w:p>
      <w:r>
        <w:rPr>
          <w:b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2"/>
        </w:rPr>
        <w:t>3.2 Rollback Criteria</w:t>
      </w:r>
    </w:p>
    <w:p>
      <w:r>
        <w:rPr>
          <w:b/>
          <w:sz w:val="22"/>
        </w:rPr>
        <w:t>Measurements were repeated three times and the median is reported; the spread never exceeded four percent across the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