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1 Programme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1.1 Scope and Boundaries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1.2 Known Risks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1"/>
      </w:pPr>
      <w:r>
        <w:rPr>
          <w:b/>
          <w:sz w:val="32"/>
        </w:rPr>
        <w:t>2 Technical Design</w:t>
      </w:r>
    </w:p>
    <w:p>
      <w:pPr>
        <w:pStyle w:val="Heading3"/>
      </w:pPr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2.1 Storage Layer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2.2 Serving Layer</w:t>
      </w:r>
    </w:p>
    <w:p>
      <w:pPr>
        <w:pStyle w:val="Heading3"/>
      </w:pPr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1"/>
      </w:pPr>
      <w:r>
        <w:rPr>
          <w:b/>
          <w:sz w:val="32"/>
        </w:rPr>
        <w:t>3 Rollout Plan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3.1 Staged Release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3.2 Rollback Criteria</w:t>
      </w:r>
    </w:p>
    <w:p>
      <w:pPr>
        <w:pStyle w:val="Heading3"/>
      </w:pPr>
      <w:r>
        <w:rPr>
          <w:b w:val="0"/>
          <w:sz w:val="22"/>
        </w:rPr>
        <w:t>Measurements were repeated three times and the median is reported; the spread never exceeded four percent across the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