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b/>
          <w:sz w:val="32"/>
        </w:rPr>
        <w:t>1 Programme Overview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3"/>
      </w:pPr>
      <w:r>
        <w:rPr>
          <w:b/>
          <w:sz w:val="28"/>
        </w:rPr>
        <w:t>1.1 Scope and Boundaries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3"/>
      </w:pPr>
      <w:r>
        <w:rPr>
          <w:b/>
          <w:sz w:val="28"/>
        </w:rPr>
        <w:t>1.2 Known Risks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32"/>
        </w:rPr>
        <w:t>2 Technical Design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3"/>
      </w:pPr>
      <w:r>
        <w:rPr>
          <w:b/>
          <w:sz w:val="28"/>
        </w:rPr>
        <w:t>2.1 Storage Layer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3"/>
      </w:pPr>
      <w:r>
        <w:rPr>
          <w:b/>
          <w:sz w:val="28"/>
        </w:rPr>
        <w:t>2.2 Serving Layer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32"/>
        </w:rPr>
        <w:t>3 Rollout Plan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3"/>
      </w:pPr>
      <w:r>
        <w:rPr>
          <w:b/>
          <w:sz w:val="28"/>
        </w:rPr>
        <w:t>3.1 Staged Release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3"/>
      </w:pPr>
      <w:r>
        <w:rPr>
          <w:b/>
          <w:sz w:val="28"/>
        </w:rPr>
        <w:t>3.2 Rollback Criteria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