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100" w:after="480"/>
        <w:jc w:val="center"/>
      </w:pPr>
      <w:r>
        <w:t>Prism 个性化证券投顾智能体系统项目详细方案</w:t>
      </w:r>
    </w:p>
    <w:p>
      <w:pPr>
        <w:spacing w:after="840"/>
        <w:jc w:val="center"/>
      </w:pPr>
      <w:r>
        <w:rPr>
          <w:rFonts w:ascii="Arial" w:hAnsi="Arial" w:eastAsia="黑体"/>
          <w:color w:val="333333"/>
          <w:sz w:val="26"/>
        </w:rPr>
        <w:t>基于同花顺问财 SkillHub 的个性化证券投顾智能体系统设计</w:t>
      </w:r>
    </w:p>
    <w:tbl>
      <w:tblPr>
        <w:tblW w:type="dxa" w:w="7937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40"/>
      </w:tblPr>
      <w:tblGrid>
        <w:gridCol w:w="1814"/>
        <w:gridCol w:w="6123"/>
      </w:tblGrid>
      <w:tr>
        <w:tc>
          <w:tcPr>
            <w:tcW w:type="dxa" w:w="1814"/>
            <w:shd w:fill="EEF4F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F1F1F"/>
                <w:sz w:val="20"/>
              </w:rPr>
              <w:t>项目名称</w:t>
            </w:r>
          </w:p>
        </w:tc>
        <w:tc>
          <w:tcPr>
            <w:tcW w:type="dxa" w:w="612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F1F1F"/>
                <w:sz w:val="20"/>
              </w:rPr>
              <w:t>Prism 个性化证券投顾智能体系统</w:t>
            </w:r>
          </w:p>
        </w:tc>
      </w:tr>
      <w:tr>
        <w:tc>
          <w:tcPr>
            <w:tcW w:type="dxa" w:w="1814"/>
            <w:shd w:fill="EEF4F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F1F1F"/>
                <w:sz w:val="20"/>
              </w:rPr>
              <w:t>参赛方向</w:t>
            </w:r>
          </w:p>
        </w:tc>
        <w:tc>
          <w:tcPr>
            <w:tcW w:type="dxa" w:w="612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F1F1F"/>
                <w:sz w:val="20"/>
              </w:rPr>
              <w:t>人工智能  智能体</w:t>
            </w:r>
          </w:p>
        </w:tc>
      </w:tr>
      <w:tr>
        <w:tc>
          <w:tcPr>
            <w:tcW w:type="dxa" w:w="1814"/>
            <w:shd w:fill="EEF4F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F1F1F"/>
                <w:sz w:val="20"/>
              </w:rPr>
              <w:t>核心能力</w:t>
            </w:r>
          </w:p>
        </w:tc>
        <w:tc>
          <w:tcPr>
            <w:tcW w:type="dxa" w:w="612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F1F1F"/>
                <w:sz w:val="20"/>
              </w:rPr>
              <w:t>画像约束  多智能体研究  确定性计算  双重审查</w:t>
            </w:r>
          </w:p>
        </w:tc>
      </w:tr>
      <w:tr>
        <w:tc>
          <w:tcPr>
            <w:tcW w:type="dxa" w:w="1814"/>
            <w:shd w:fill="EEF4F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F1F1F"/>
                <w:sz w:val="20"/>
              </w:rPr>
              <w:t>文档日期</w:t>
            </w:r>
          </w:p>
        </w:tc>
        <w:tc>
          <w:tcPr>
            <w:tcW w:type="dxa" w:w="612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F1F1F"/>
                <w:sz w:val="20"/>
              </w:rPr>
              <w:t>2026 年 9 月</w:t>
            </w:r>
          </w:p>
        </w:tc>
      </w:tr>
    </w:tbl>
    <w:p>
      <w:pPr>
        <w:spacing w:before="680" w:line="372" w:lineRule="auto"/>
        <w:jc w:val="both"/>
      </w:pPr>
      <w:r>
        <w:rPr>
          <w:rFonts w:ascii="Times New Roman" w:hAnsi="Times New Roman" w:eastAsia="宋体"/>
          <w:color w:val="1F1F1F"/>
          <w:sz w:val="22"/>
        </w:rPr>
        <w:t>本方案说明 Prism 如何把投资者画像、专业研究、金融计算、证据追溯和风险合规审查连接为一条可验证的投顾决策链。系统覆盖大盘、行业、个股、基金、可转债和组合优化场景，所有数值由确定性程序计算，所有建议在输出前经过独立风险与合规审查。</w:t>
      </w:r>
    </w:p>
    <w:p>
      <w:r>
        <w:br w:type="page"/>
      </w:r>
    </w:p>
    <w:p>
      <w:pPr>
        <w:pStyle w:val="Heading1"/>
        <w:pageBreakBefore w:val="0"/>
        <w:jc w:val="center"/>
      </w:pPr>
      <w:r>
        <w:t>目录</w:t>
      </w:r>
    </w:p>
    <w:p>
      <w:pPr>
        <w:spacing w:after="160"/>
        <w:jc w:val="center"/>
      </w:pPr>
      <w:r>
        <w:rPr>
          <w:rFonts w:ascii="Times New Roman" w:hAnsi="Times New Roman" w:eastAsia="宋体"/>
          <w:color w:val="666666"/>
          <w:sz w:val="19"/>
        </w:rPr>
        <w:t>项目详细方案章节索引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/>
          <w:color w:val="1F1F1F"/>
          <w:sz w:val="21"/>
        </w:rPr>
        <w:t>第一章  项目概况</w:t>
        <w:tab/>
        <w:t>3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 w:val="0"/>
          <w:color w:val="1F1F1F"/>
          <w:sz w:val="21"/>
        </w:rPr>
        <w:t>第二章  方案概要</w:t>
        <w:tab/>
        <w:t>5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 w:val="0"/>
          <w:color w:val="1F1F1F"/>
          <w:sz w:val="21"/>
        </w:rPr>
        <w:t>第三章  产品方案</w:t>
        <w:tab/>
        <w:t>7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 w:val="0"/>
          <w:color w:val="1F1F1F"/>
          <w:sz w:val="21"/>
        </w:rPr>
        <w:t>第四章  产品功能与应用展示</w:t>
        <w:tab/>
        <w:t>9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/>
          <w:color w:val="1F1F1F"/>
          <w:sz w:val="21"/>
        </w:rPr>
        <w:t>第五章  技术方案</w:t>
        <w:tab/>
        <w:t>14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/>
          <w:color w:val="1F1F1F"/>
          <w:sz w:val="21"/>
        </w:rPr>
        <w:t>第六章  创新亮点</w:t>
        <w:tab/>
        <w:t>19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/>
          <w:color w:val="1F1F1F"/>
          <w:sz w:val="21"/>
        </w:rPr>
        <w:t>第七章  系统验证与项目成果</w:t>
        <w:tab/>
        <w:t>23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 w:val="0"/>
          <w:color w:val="1F1F1F"/>
          <w:sz w:val="21"/>
        </w:rPr>
        <w:t>第八章  落地模式与项目价值</w:t>
        <w:tab/>
        <w:t>26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 w:val="0"/>
          <w:color w:val="1F1F1F"/>
          <w:sz w:val="21"/>
        </w:rPr>
        <w:t>第九章  风险控制与发展规划</w:t>
        <w:tab/>
        <w:t>28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 w:val="0"/>
          <w:color w:val="1F1F1F"/>
          <w:sz w:val="21"/>
        </w:rPr>
        <w:t>附录  证据索引与实现说明</w:t>
        <w:tab/>
        <w:t>30</w:t>
      </w:r>
    </w:p>
    <w:p>
      <w:r>
        <w:br w:type="page"/>
      </w:r>
    </w:p>
    <w:p>
      <w:pPr>
        <w:pStyle w:val="Heading1"/>
      </w:pPr>
      <w:r>
        <w:t>第一章 项目概况</w:t>
      </w:r>
    </w:p>
    <w:p>
      <w:pPr>
        <w:pStyle w:val="Heading2"/>
      </w:pPr>
      <w:r>
        <w:t>一、 项目背景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证券投顾正在由静态信息展示转向智能协作。用户需要系统结合其风险承受能力、投资期限、流动性要求和真实持仓，持续回答“当前风险在哪里、结论依据是什么、可以如何调整”。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传统投顾服务依赖人工经验和分散工具，服务半径、响应效率与个性化程度受到限制；通用大语言模型虽然能够理解自然语言，但无法天然保证金融数据真实、计算结果正确、建议符合适当性要求。Prism 围绕同花顺 A18 赛题，使用问财 SkillHub 与结构化金融数据能力，将用户画像、多场景研究、组合计算、证据追溯和风险合规审查连接为完整的决策支持流程。</w:t>
      </w:r>
    </w:p>
    <w:p>
      <w:pPr>
        <w:pStyle w:val="Heading2"/>
      </w:pPr>
      <w:r>
        <w:t>二、 行业痛点与项目任务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1-1 行业痛点与 Prism 处理目标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1176"/>
        <w:gridCol w:w="2458"/>
        <w:gridCol w:w="3740"/>
        <w:gridCol w:w="1924"/>
      </w:tblGrid>
      <w:tr>
        <w:trPr>
          <w:tblHeader w:val="true"/>
          <w:cantSplit w:val="true"/>
        </w:trPr>
        <w:tc>
          <w:tcPr>
            <w:tcW w:type="dxa" w:w="11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行业痛点</w:t>
            </w:r>
          </w:p>
        </w:tc>
        <w:tc>
          <w:tcPr>
            <w:tcW w:type="dxa" w:w="245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根本原因</w:t>
            </w:r>
          </w:p>
        </w:tc>
        <w:tc>
          <w:tcPr>
            <w:tcW w:type="dxa" w:w="37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Prism 处理机制</w:t>
            </w:r>
          </w:p>
        </w:tc>
        <w:tc>
          <w:tcPr>
            <w:tcW w:type="dxa" w:w="19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预期结果</w:t>
            </w:r>
          </w:p>
        </w:tc>
      </w:tr>
      <w:tr>
        <w:trPr>
          <w:cantSplit w:val="true"/>
        </w:trPr>
        <w:tc>
          <w:tcPr>
            <w:tcW w:type="dxa" w:w="11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建议缺乏个性化</w:t>
            </w:r>
          </w:p>
        </w:tc>
        <w:tc>
          <w:tcPr>
            <w:tcW w:type="dxa" w:w="2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风险问卷、持仓和研究过程相互割裂</w:t>
            </w:r>
          </w:p>
        </w:tc>
        <w:tc>
          <w:tcPr>
            <w:tcW w:type="dxa" w:w="37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将已确认画像转换为风险预算和配置约束</w:t>
            </w:r>
          </w:p>
        </w:tc>
        <w:tc>
          <w:tcPr>
            <w:tcW w:type="dxa" w:w="19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同一组合在不同画像下得到不同风险判断</w:t>
            </w:r>
          </w:p>
        </w:tc>
      </w:tr>
      <w:tr>
        <w:trPr>
          <w:cantSplit w:val="true"/>
        </w:trPr>
        <w:tc>
          <w:tcPr>
            <w:tcW w:type="dxa" w:w="117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多场景分析相互孤立</w:t>
            </w:r>
          </w:p>
        </w:tc>
        <w:tc>
          <w:tcPr>
            <w:tcW w:type="dxa" w:w="2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大盘、行业、个股、基金和转债使用不同资料与方法</w:t>
            </w:r>
          </w:p>
        </w:tc>
        <w:tc>
          <w:tcPr>
            <w:tcW w:type="dxa" w:w="374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采用“1 个主协调器 + N 个专业研究节点”的任务体系</w:t>
            </w:r>
          </w:p>
        </w:tc>
        <w:tc>
          <w:tcPr>
            <w:tcW w:type="dxa" w:w="19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统一规划、并行执行、结构化汇总</w:t>
            </w:r>
          </w:p>
        </w:tc>
      </w:tr>
      <w:tr>
        <w:trPr>
          <w:cantSplit w:val="true"/>
        </w:trPr>
        <w:tc>
          <w:tcPr>
            <w:tcW w:type="dxa" w:w="11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金融数据与结论难以核验</w:t>
            </w:r>
          </w:p>
        </w:tc>
        <w:tc>
          <w:tcPr>
            <w:tcW w:type="dxa" w:w="2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来源、时间、口径和结论未形成引用关系</w:t>
            </w:r>
          </w:p>
        </w:tc>
        <w:tc>
          <w:tcPr>
            <w:tcW w:type="dxa" w:w="37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建立 Evidence至Fact至Finding至Recommendation 证据链</w:t>
            </w:r>
          </w:p>
        </w:tc>
        <w:tc>
          <w:tcPr>
            <w:tcW w:type="dxa" w:w="19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结论可逐层追溯至原始依据</w:t>
            </w:r>
          </w:p>
        </w:tc>
      </w:tr>
      <w:tr>
        <w:trPr>
          <w:cantSplit w:val="true"/>
        </w:trPr>
        <w:tc>
          <w:tcPr>
            <w:tcW w:type="dxa" w:w="117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大模型可能产生数值幻觉</w:t>
            </w:r>
          </w:p>
        </w:tc>
        <w:tc>
          <w:tcPr>
            <w:tcW w:type="dxa" w:w="2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语言生成与金融计算职责混合</w:t>
            </w:r>
          </w:p>
        </w:tc>
        <w:tc>
          <w:tcPr>
            <w:tcW w:type="dxa" w:w="374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LLM 与确定性计算引擎物理隔离</w:t>
            </w:r>
          </w:p>
        </w:tc>
        <w:tc>
          <w:tcPr>
            <w:tcW w:type="dxa" w:w="19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金额、比例、阈值和调仓数量可复算</w:t>
            </w:r>
          </w:p>
        </w:tc>
      </w:tr>
      <w:tr>
        <w:trPr>
          <w:cantSplit w:val="true"/>
        </w:trPr>
        <w:tc>
          <w:tcPr>
            <w:tcW w:type="dxa" w:w="11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建议合规边界不清</w:t>
            </w:r>
          </w:p>
        </w:tc>
        <w:tc>
          <w:tcPr>
            <w:tcW w:type="dxa" w:w="2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风险审查与内容生成耦合</w:t>
            </w:r>
          </w:p>
        </w:tc>
        <w:tc>
          <w:tcPr>
            <w:tcW w:type="dxa" w:w="37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独立风险闸门与合规闸门双重裁决</w:t>
            </w:r>
          </w:p>
        </w:tc>
        <w:tc>
          <w:tcPr>
            <w:tcW w:type="dxa" w:w="19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不满足条件时明确复核或阻断</w:t>
            </w:r>
          </w:p>
        </w:tc>
      </w:tr>
      <w:tr>
        <w:trPr>
          <w:cantSplit w:val="true"/>
        </w:trPr>
        <w:tc>
          <w:tcPr>
            <w:tcW w:type="dxa" w:w="117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外部服务不稳定</w:t>
            </w:r>
          </w:p>
        </w:tc>
        <w:tc>
          <w:tcPr>
            <w:tcW w:type="dxa" w:w="2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上游额度、超时和数据缺失会沿链路放大</w:t>
            </w:r>
          </w:p>
        </w:tc>
        <w:tc>
          <w:tcPr>
            <w:tcW w:type="dxa" w:w="374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有界并行、超时控制、缓存与备用来源、显式降级</w:t>
            </w:r>
          </w:p>
        </w:tc>
        <w:tc>
          <w:tcPr>
            <w:tcW w:type="dxa" w:w="19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失败不伪装为成功，影响范围可见</w:t>
            </w:r>
          </w:p>
        </w:tc>
      </w:tr>
    </w:tbl>
    <w:p>
      <w:pPr>
        <w:spacing w:after="40"/>
      </w:pPr>
    </w:p>
    <w:p>
      <w:pPr>
        <w:pStyle w:val="Heading2"/>
      </w:pPr>
      <w:r>
        <w:t>三、 项目定位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面向个人投资者及为其提供服务的证券业务团队，定位为“可解释、可计算、可审查的个性化证券投顾智能体工作台”。系统覆盖大盘研判、行业配置、个股分析、ETF 与基金筛选、可转债分析、组合风险体检和再平衡测算。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系统以形成闭合决策链为目标：用户条件可确认、数据来源可追溯、计算过程可复算、风险边界可执行、历史结论可回看。</w:t>
      </w:r>
    </w:p>
    <w:p>
      <w:pPr>
        <w:pStyle w:val="Heading2"/>
      </w:pPr>
      <w:r>
        <w:t>四、 建设目标与验收口径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1-2 项目目标与验收方式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628"/>
        <w:gridCol w:w="1633"/>
        <w:gridCol w:w="3141"/>
        <w:gridCol w:w="3896"/>
      </w:tblGrid>
      <w:tr>
        <w:trPr>
          <w:tblHeader w:val="true"/>
          <w:cantSplit w:val="true"/>
        </w:trPr>
        <w:tc>
          <w:tcPr>
            <w:tcW w:type="dxa" w:w="6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建设目标</w:t>
            </w:r>
          </w:p>
        </w:tc>
        <w:tc>
          <w:tcPr>
            <w:tcW w:type="dxa" w:w="163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核心要求</w:t>
            </w:r>
          </w:p>
        </w:tc>
        <w:tc>
          <w:tcPr>
            <w:tcW w:type="dxa" w:w="314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Prism 实现方式</w:t>
            </w:r>
          </w:p>
        </w:tc>
        <w:tc>
          <w:tcPr>
            <w:tcW w:type="dxa" w:w="389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验收材料</w:t>
            </w:r>
          </w:p>
        </w:tc>
      </w:tr>
      <w:tr>
        <w:trPr>
          <w:cantSplit w:val="true"/>
        </w:trPr>
        <w:tc>
          <w:tcPr>
            <w:tcW w:type="dxa" w:w="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个性化</w:t>
            </w:r>
          </w:p>
        </w:tc>
        <w:tc>
          <w:tcPr>
            <w:tcW w:type="dxa" w:w="16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画像必须实质影响结果</w:t>
            </w:r>
          </w:p>
        </w:tc>
        <w:tc>
          <w:tcPr>
            <w:tcW w:type="dxa" w:w="31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画像评分、版本化风险预算、配置边界</w:t>
            </w:r>
          </w:p>
        </w:tc>
        <w:tc>
          <w:tcPr>
            <w:tcW w:type="dxa" w:w="38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不同画像案例与风险报告</w:t>
            </w:r>
          </w:p>
        </w:tc>
      </w:tr>
      <w:tr>
        <w:trPr>
          <w:cantSplit w:val="true"/>
        </w:trPr>
        <w:tc>
          <w:tcPr>
            <w:tcW w:type="dxa" w:w="6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全场景</w:t>
            </w:r>
          </w:p>
        </w:tc>
        <w:tc>
          <w:tcPr>
            <w:tcW w:type="dxa" w:w="163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覆盖赛题要求的主要投顾任务</w:t>
            </w:r>
          </w:p>
        </w:tc>
        <w:tc>
          <w:tcPr>
            <w:tcW w:type="dxa" w:w="314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专业研究矩阵与专项研究服务</w:t>
            </w:r>
          </w:p>
        </w:tc>
        <w:tc>
          <w:tcPr>
            <w:tcW w:type="dxa" w:w="389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页面、接口及研究运行记录</w:t>
            </w:r>
          </w:p>
        </w:tc>
      </w:tr>
      <w:tr>
        <w:trPr>
          <w:cantSplit w:val="true"/>
        </w:trPr>
        <w:tc>
          <w:tcPr>
            <w:tcW w:type="dxa" w:w="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可解释</w:t>
            </w:r>
          </w:p>
        </w:tc>
        <w:tc>
          <w:tcPr>
            <w:tcW w:type="dxa" w:w="16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结论具有来源、时间与逻辑链</w:t>
            </w:r>
          </w:p>
        </w:tc>
        <w:tc>
          <w:tcPr>
            <w:tcW w:type="dxa" w:w="31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四层证据对象、因果路径与决策回执</w:t>
            </w:r>
          </w:p>
        </w:tc>
        <w:tc>
          <w:tcPr>
            <w:tcW w:type="dxa" w:w="38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Evidence Card、历史回执</w:t>
            </w:r>
          </w:p>
        </w:tc>
      </w:tr>
      <w:tr>
        <w:trPr>
          <w:cantSplit w:val="true"/>
        </w:trPr>
        <w:tc>
          <w:tcPr>
            <w:tcW w:type="dxa" w:w="6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准确性</w:t>
            </w:r>
          </w:p>
        </w:tc>
        <w:tc>
          <w:tcPr>
            <w:tcW w:type="dxa" w:w="163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金融数值能够复算</w:t>
            </w:r>
          </w:p>
        </w:tc>
        <w:tc>
          <w:tcPr>
            <w:tcW w:type="dxa" w:w="314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Decimal、公式、守恒与阈值校验</w:t>
            </w:r>
          </w:p>
        </w:tc>
        <w:tc>
          <w:tcPr>
            <w:tcW w:type="dxa" w:w="389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单元测试、固定案例、正式报告</w:t>
            </w:r>
          </w:p>
        </w:tc>
      </w:tr>
      <w:tr>
        <w:trPr>
          <w:cantSplit w:val="true"/>
        </w:trPr>
        <w:tc>
          <w:tcPr>
            <w:tcW w:type="dxa" w:w="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合规性</w:t>
            </w:r>
          </w:p>
        </w:tc>
        <w:tc>
          <w:tcPr>
            <w:tcW w:type="dxa" w:w="16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建议符合适当性和披露要求</w:t>
            </w:r>
          </w:p>
        </w:tc>
        <w:tc>
          <w:tcPr>
            <w:tcW w:type="dxa" w:w="31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风险与合规双闸门</w:t>
            </w:r>
          </w:p>
        </w:tc>
        <w:tc>
          <w:tcPr>
            <w:tcW w:type="dxa" w:w="389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PASS、REVIEW_REQUIRED、BLOCKED 结果</w:t>
            </w:r>
          </w:p>
        </w:tc>
      </w:tr>
      <w:tr>
        <w:trPr>
          <w:cantSplit w:val="true"/>
        </w:trPr>
        <w:tc>
          <w:tcPr>
            <w:tcW w:type="dxa" w:w="6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稳定性</w:t>
            </w:r>
          </w:p>
        </w:tc>
        <w:tc>
          <w:tcPr>
            <w:tcW w:type="dxa" w:w="163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具备并发、超时和降级能力</w:t>
            </w:r>
          </w:p>
        </w:tc>
        <w:tc>
          <w:tcPr>
            <w:tcW w:type="dxa" w:w="314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有界任务执行、Provider 四态、缓存与备用源</w:t>
            </w:r>
          </w:p>
        </w:tc>
        <w:tc>
          <w:tcPr>
            <w:tcW w:type="dxa" w:w="389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负载记录、故障注入和接口测试</w:t>
            </w:r>
          </w:p>
        </w:tc>
      </w:tr>
    </w:tbl>
    <w:p>
      <w:pPr>
        <w:spacing w:after="40"/>
      </w:pPr>
    </w:p>
    <w:p>
      <w:pPr>
        <w:pStyle w:val="Heading1"/>
      </w:pPr>
      <w:r>
        <w:t>第二章 方案概要</w:t>
      </w:r>
    </w:p>
    <w:p>
      <w:pPr>
        <w:pStyle w:val="Heading2"/>
      </w:pPr>
      <w:r>
        <w:t>一、 总体设计思路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以“用户约束先行、专业研究协同、金融计算确定、建议输出受控”为总体设计原则。系统先确认用户画像和持仓，再将问题转换为结构化研究任务；专业节点获取并验证资料，确定性引擎完成数值计算，风险与合规模块决定结果是否具备建议资格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2607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-figure-01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0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2-1 Prism 端到端投顾决策流程</w:t>
      </w:r>
    </w:p>
    <w:p>
      <w:pPr>
        <w:pStyle w:val="Heading2"/>
      </w:pPr>
      <w:r>
        <w:t>二、 “1+N”多智能体协作体系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“1”代表中央协调器，负责意图识别、任务拆解、依赖检查、超时预算和结果汇总；“N”代表按研究职责划分的专业节点。专业节点具有明确输入、输出、数据要求和状态契约，不以自由对话代替金融研究流程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2-1 多智能体职责矩阵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1550"/>
        <w:gridCol w:w="2583"/>
        <w:gridCol w:w="2755"/>
        <w:gridCol w:w="2410"/>
      </w:tblGrid>
      <w:tr>
        <w:trPr>
          <w:tblHeader w:val="true"/>
          <w:cantSplit w:val="true"/>
        </w:trPr>
        <w:tc>
          <w:tcPr>
            <w:tcW w:type="dxa" w:w="155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智能体或节点</w:t>
            </w:r>
          </w:p>
        </w:tc>
        <w:tc>
          <w:tcPr>
            <w:tcW w:type="dxa" w:w="258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275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241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结构化输出</w:t>
            </w:r>
          </w:p>
        </w:tc>
      </w:tr>
      <w:tr>
        <w:trPr>
          <w:cantSplit w:val="true"/>
        </w:trPr>
        <w:tc>
          <w:tcPr>
            <w:tcW w:type="dxa" w:w="15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中央协调器</w:t>
            </w:r>
          </w:p>
        </w:tc>
        <w:tc>
          <w:tcPr>
            <w:tcW w:type="dxa" w:w="25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用户意图、画像、持仓、任务模板</w:t>
            </w:r>
          </w:p>
        </w:tc>
        <w:tc>
          <w:tcPr>
            <w:tcW w:type="dxa" w:w="27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生成 DAG、检查依赖、调度节点</w:t>
            </w:r>
          </w:p>
        </w:tc>
        <w:tc>
          <w:tcPr>
            <w:tcW w:type="dxa" w:w="241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研究计划、节点状态、汇总结果</w:t>
            </w:r>
          </w:p>
        </w:tc>
      </w:tr>
      <w:tr>
        <w:trPr>
          <w:cantSplit w:val="true"/>
        </w:trPr>
        <w:tc>
          <w:tcPr>
            <w:tcW w:type="dxa" w:w="15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宏观研究节点</w:t>
            </w:r>
          </w:p>
        </w:tc>
        <w:tc>
          <w:tcPr>
            <w:tcW w:type="dxa" w:w="258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指数、宏观因子、政策与市场数据</w:t>
            </w:r>
          </w:p>
        </w:tc>
        <w:tc>
          <w:tcPr>
            <w:tcW w:type="dxa" w:w="275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判断市场环境与主要驱动</w:t>
            </w:r>
          </w:p>
        </w:tc>
        <w:tc>
          <w:tcPr>
            <w:tcW w:type="dxa" w:w="241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宏观事实、风险因子、观察结论</w:t>
            </w:r>
          </w:p>
        </w:tc>
      </w:tr>
      <w:tr>
        <w:trPr>
          <w:cantSplit w:val="true"/>
        </w:trPr>
        <w:tc>
          <w:tcPr>
            <w:tcW w:type="dxa" w:w="15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行业研究节点</w:t>
            </w:r>
          </w:p>
        </w:tc>
        <w:tc>
          <w:tcPr>
            <w:tcW w:type="dxa" w:w="25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行业行情、景气数据、事件资料</w:t>
            </w:r>
          </w:p>
        </w:tc>
        <w:tc>
          <w:tcPr>
            <w:tcW w:type="dxa" w:w="27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分析行业景气与集中风险</w:t>
            </w:r>
          </w:p>
        </w:tc>
        <w:tc>
          <w:tcPr>
            <w:tcW w:type="dxa" w:w="241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行业事实、比较结果、风险提示</w:t>
            </w:r>
          </w:p>
        </w:tc>
      </w:tr>
      <w:tr>
        <w:trPr>
          <w:cantSplit w:val="true"/>
        </w:trPr>
        <w:tc>
          <w:tcPr>
            <w:tcW w:type="dxa" w:w="15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个股研究节点</w:t>
            </w:r>
          </w:p>
        </w:tc>
        <w:tc>
          <w:tcPr>
            <w:tcW w:type="dxa" w:w="258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行情、财务、估值与公告</w:t>
            </w:r>
          </w:p>
        </w:tc>
        <w:tc>
          <w:tcPr>
            <w:tcW w:type="dxa" w:w="275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形成公司层面的结构化研究</w:t>
            </w:r>
          </w:p>
        </w:tc>
        <w:tc>
          <w:tcPr>
            <w:tcW w:type="dxa" w:w="241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财务事实、研究发现、失效条件</w:t>
            </w:r>
          </w:p>
        </w:tc>
      </w:tr>
      <w:tr>
        <w:trPr>
          <w:cantSplit w:val="true"/>
        </w:trPr>
        <w:tc>
          <w:tcPr>
            <w:tcW w:type="dxa" w:w="15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ETF 与基金节点</w:t>
            </w:r>
          </w:p>
        </w:tc>
        <w:tc>
          <w:tcPr>
            <w:tcW w:type="dxa" w:w="25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基金资料、费率、波动与成分</w:t>
            </w:r>
          </w:p>
        </w:tc>
        <w:tc>
          <w:tcPr>
            <w:tcW w:type="dxa" w:w="27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筛选产品并穿透底层暴露</w:t>
            </w:r>
          </w:p>
        </w:tc>
        <w:tc>
          <w:tcPr>
            <w:tcW w:type="dxa" w:w="241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产品事实、成分覆盖、集中度</w:t>
            </w:r>
          </w:p>
        </w:tc>
      </w:tr>
      <w:tr>
        <w:trPr>
          <w:cantSplit w:val="true"/>
        </w:trPr>
        <w:tc>
          <w:tcPr>
            <w:tcW w:type="dxa" w:w="15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可转债节点</w:t>
            </w:r>
          </w:p>
        </w:tc>
        <w:tc>
          <w:tcPr>
            <w:tcW w:type="dxa" w:w="258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转债价格、正股、债底与信用字段</w:t>
            </w:r>
          </w:p>
        </w:tc>
        <w:tc>
          <w:tcPr>
            <w:tcW w:type="dxa" w:w="275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计算转股价值与溢价率</w:t>
            </w:r>
          </w:p>
        </w:tc>
        <w:tc>
          <w:tcPr>
            <w:tcW w:type="dxa" w:w="241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确定性指标、风险发现</w:t>
            </w:r>
          </w:p>
        </w:tc>
      </w:tr>
      <w:tr>
        <w:trPr>
          <w:cantSplit w:val="true"/>
        </w:trPr>
        <w:tc>
          <w:tcPr>
            <w:tcW w:type="dxa" w:w="15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组合决策节点</w:t>
            </w:r>
          </w:p>
        </w:tc>
        <w:tc>
          <w:tcPr>
            <w:tcW w:type="dxa" w:w="25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已确认组合、画像预算、有效报价</w:t>
            </w:r>
          </w:p>
        </w:tc>
        <w:tc>
          <w:tcPr>
            <w:tcW w:type="dxa" w:w="27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计算暴露、情景与再平衡方案</w:t>
            </w:r>
          </w:p>
        </w:tc>
        <w:tc>
          <w:tcPr>
            <w:tcW w:type="dxa" w:w="241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组合报告、行动测算、复核状态</w:t>
            </w:r>
          </w:p>
        </w:tc>
      </w:tr>
    </w:tbl>
    <w:p>
      <w:pPr>
        <w:spacing w:after="40"/>
      </w:pPr>
    </w:p>
    <w:p>
      <w:pPr>
        <w:pStyle w:val="Heading2"/>
      </w:pPr>
      <w:r>
        <w:t>三、 三类能力的职责边界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2-2 大模型、确定性引擎与硬闸门职责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766"/>
        <w:gridCol w:w="2735"/>
        <w:gridCol w:w="2297"/>
        <w:gridCol w:w="3500"/>
      </w:tblGrid>
      <w:tr>
        <w:trPr>
          <w:tblHeader w:val="true"/>
          <w:cantSplit w:val="true"/>
        </w:trPr>
        <w:tc>
          <w:tcPr>
            <w:tcW w:type="dxa" w:w="76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能力类型</w:t>
            </w:r>
          </w:p>
        </w:tc>
        <w:tc>
          <w:tcPr>
            <w:tcW w:type="dxa" w:w="273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允许承担的工作</w:t>
            </w:r>
          </w:p>
        </w:tc>
        <w:tc>
          <w:tcPr>
            <w:tcW w:type="dxa" w:w="229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禁止承担的工作</w:t>
            </w:r>
          </w:p>
        </w:tc>
        <w:tc>
          <w:tcPr>
            <w:tcW w:type="dxa" w:w="35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输出约束</w:t>
            </w:r>
          </w:p>
        </w:tc>
      </w:tr>
      <w:tr>
        <w:trPr>
          <w:cantSplit w:val="true"/>
        </w:trPr>
        <w:tc>
          <w:tcPr>
            <w:tcW w:type="dxa" w:w="7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大语言模型</w:t>
            </w:r>
          </w:p>
        </w:tc>
        <w:tc>
          <w:tcPr>
            <w:tcW w:type="dxa" w:w="27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意图识别、槽位解析、追问澄清、通俗解释</w:t>
            </w:r>
          </w:p>
        </w:tc>
        <w:tc>
          <w:tcPr>
            <w:tcW w:type="dxa" w:w="229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金融加减乘除、暴露穿透、调仓数量、风险裁决</w:t>
            </w:r>
          </w:p>
        </w:tc>
        <w:tc>
          <w:tcPr>
            <w:tcW w:type="dxa" w:w="35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只能引用结构化输入与已计算结果</w:t>
            </w:r>
          </w:p>
        </w:tc>
      </w:tr>
      <w:tr>
        <w:trPr>
          <w:cantSplit w:val="true"/>
        </w:trPr>
        <w:tc>
          <w:tcPr>
            <w:tcW w:type="dxa" w:w="76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确定性引擎</w:t>
            </w:r>
          </w:p>
        </w:tc>
        <w:tc>
          <w:tcPr>
            <w:tcW w:type="dxa" w:w="273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画像评分、金额权重、HHI、风险预算、情景和再平衡</w:t>
            </w:r>
          </w:p>
        </w:tc>
        <w:tc>
          <w:tcPr>
            <w:tcW w:type="dxa" w:w="229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生成未经审查的主观投资承诺</w:t>
            </w:r>
          </w:p>
        </w:tc>
        <w:tc>
          <w:tcPr>
            <w:tcW w:type="dxa" w:w="350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公式、精度、版本和状态可复核</w:t>
            </w:r>
          </w:p>
        </w:tc>
      </w:tr>
      <w:tr>
        <w:trPr>
          <w:cantSplit w:val="true"/>
        </w:trPr>
        <w:tc>
          <w:tcPr>
            <w:tcW w:type="dxa" w:w="7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风险与合规闸门</w:t>
            </w:r>
          </w:p>
        </w:tc>
        <w:tc>
          <w:tcPr>
            <w:tcW w:type="dxa" w:w="27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适当性、证据完整性、禁止表述、风险披露</w:t>
            </w:r>
          </w:p>
        </w:tc>
        <w:tc>
          <w:tcPr>
            <w:tcW w:type="dxa" w:w="229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修改原始金融事实或绕过缺失数据</w:t>
            </w:r>
          </w:p>
        </w:tc>
        <w:tc>
          <w:tcPr>
            <w:tcW w:type="dxa" w:w="35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仅输出 PASS、REVIEW_REQUIRED、BLOCKED</w:t>
            </w:r>
          </w:p>
        </w:tc>
      </w:tr>
    </w:tbl>
    <w:p>
      <w:pPr>
        <w:spacing w:after="40"/>
      </w:pPr>
    </w:p>
    <w:p>
      <w:pPr>
        <w:pStyle w:val="Heading2"/>
      </w:pPr>
      <w:r>
        <w:t>四、 赛题要求覆盖关系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2-3 赛题任务与项目能力对应关系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1468"/>
        <w:gridCol w:w="3752"/>
        <w:gridCol w:w="2121"/>
        <w:gridCol w:w="1957"/>
      </w:tblGrid>
      <w:tr>
        <w:trPr>
          <w:tblHeader w:val="true"/>
          <w:cantSplit w:val="true"/>
        </w:trPr>
        <w:tc>
          <w:tcPr>
            <w:tcW w:type="dxa" w:w="14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赛题要求</w:t>
            </w:r>
          </w:p>
        </w:tc>
        <w:tc>
          <w:tcPr>
            <w:tcW w:type="dxa" w:w="37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Prism 对应能力</w:t>
            </w:r>
          </w:p>
        </w:tc>
        <w:tc>
          <w:tcPr>
            <w:tcW w:type="dxa" w:w="212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产品入口</w:t>
            </w:r>
          </w:p>
        </w:tc>
        <w:tc>
          <w:tcPr>
            <w:tcW w:type="dxa" w:w="195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工程证据</w:t>
            </w:r>
          </w:p>
        </w:tc>
      </w:tr>
      <w:tr>
        <w:trPr>
          <w:cantSplit w:val="true"/>
        </w:trPr>
        <w:tc>
          <w:tcPr>
            <w:tcW w:type="dxa" w:w="14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用户画像与风险偏好</w:t>
            </w:r>
          </w:p>
        </w:tc>
        <w:tc>
          <w:tcPr>
            <w:tcW w:type="dxa" w:w="37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19 题问卷、自然语言提案、行为画像、风险预算</w:t>
            </w:r>
          </w:p>
        </w:tc>
        <w:tc>
          <w:tcPr>
            <w:tcW w:type="dxa" w:w="21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个人中心、画像确认</w:t>
            </w:r>
          </w:p>
        </w:tc>
        <w:tc>
          <w:tcPr>
            <w:tcW w:type="dxa" w:w="19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画像服务与评分测试</w:t>
            </w:r>
          </w:p>
        </w:tc>
      </w:tr>
      <w:tr>
        <w:trPr>
          <w:cantSplit w:val="true"/>
        </w:trPr>
        <w:tc>
          <w:tcPr>
            <w:tcW w:type="dxa" w:w="146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多场景投顾分析</w:t>
            </w:r>
          </w:p>
        </w:tc>
        <w:tc>
          <w:tcPr>
            <w:tcW w:type="dxa" w:w="375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大盘、行业、个股、基金、转债和组合分析</w:t>
            </w:r>
          </w:p>
        </w:tc>
        <w:tc>
          <w:tcPr>
            <w:tcW w:type="dxa" w:w="212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投资任务工作台</w:t>
            </w:r>
          </w:p>
        </w:tc>
        <w:tc>
          <w:tcPr>
            <w:tcW w:type="dxa" w:w="19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专项研究服务与接口测试</w:t>
            </w:r>
          </w:p>
        </w:tc>
      </w:tr>
      <w:tr>
        <w:trPr>
          <w:cantSplit w:val="true"/>
        </w:trPr>
        <w:tc>
          <w:tcPr>
            <w:tcW w:type="dxa" w:w="14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多智能体协同</w:t>
            </w:r>
          </w:p>
        </w:tc>
        <w:tc>
          <w:tcPr>
            <w:tcW w:type="dxa" w:w="37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中央协调、DAG、有界并行、结果聚合</w:t>
            </w:r>
          </w:p>
        </w:tc>
        <w:tc>
          <w:tcPr>
            <w:tcW w:type="dxa" w:w="21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研究工作流</w:t>
            </w:r>
          </w:p>
        </w:tc>
        <w:tc>
          <w:tcPr>
            <w:tcW w:type="dxa" w:w="19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编排器与研究矩阵测试</w:t>
            </w:r>
          </w:p>
        </w:tc>
      </w:tr>
      <w:tr>
        <w:trPr>
          <w:cantSplit w:val="true"/>
        </w:trPr>
        <w:tc>
          <w:tcPr>
            <w:tcW w:type="dxa" w:w="146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数据溯源与幻觉控制</w:t>
            </w:r>
          </w:p>
        </w:tc>
        <w:tc>
          <w:tcPr>
            <w:tcW w:type="dxa" w:w="375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Provider 状态、证据链、交叉验证</w:t>
            </w:r>
          </w:p>
        </w:tc>
        <w:tc>
          <w:tcPr>
            <w:tcW w:type="dxa" w:w="212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Evidence Card</w:t>
            </w:r>
          </w:p>
        </w:tc>
        <w:tc>
          <w:tcPr>
            <w:tcW w:type="dxa" w:w="19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证据契约与冲突案例</w:t>
            </w:r>
          </w:p>
        </w:tc>
      </w:tr>
      <w:tr>
        <w:trPr>
          <w:cantSplit w:val="true"/>
        </w:trPr>
        <w:tc>
          <w:tcPr>
            <w:tcW w:type="dxa" w:w="14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可视化与多轮交互</w:t>
            </w:r>
          </w:p>
        </w:tc>
        <w:tc>
          <w:tcPr>
            <w:tcW w:type="dxa" w:w="37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对话入口、指标卡、研究流程、上下文恢复</w:t>
            </w:r>
          </w:p>
        </w:tc>
        <w:tc>
          <w:tcPr>
            <w:tcW w:type="dxa" w:w="21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Copilot 工作台</w:t>
            </w:r>
          </w:p>
        </w:tc>
        <w:tc>
          <w:tcPr>
            <w:tcW w:type="dxa" w:w="19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浏览器测试与页面快照</w:t>
            </w:r>
          </w:p>
        </w:tc>
      </w:tr>
      <w:tr>
        <w:trPr>
          <w:cantSplit w:val="true"/>
        </w:trPr>
        <w:tc>
          <w:tcPr>
            <w:tcW w:type="dxa" w:w="146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高并发与稳定性</w:t>
            </w:r>
          </w:p>
        </w:tc>
        <w:tc>
          <w:tcPr>
            <w:tcW w:type="dxa" w:w="375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超时预算、缓存、备用源、负载观测</w:t>
            </w:r>
          </w:p>
        </w:tc>
        <w:tc>
          <w:tcPr>
            <w:tcW w:type="dxa" w:w="212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运行状态页</w:t>
            </w:r>
          </w:p>
        </w:tc>
        <w:tc>
          <w:tcPr>
            <w:tcW w:type="dxa" w:w="19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本地 HTTP 负载记录</w:t>
            </w:r>
          </w:p>
        </w:tc>
      </w:tr>
      <w:tr>
        <w:trPr>
          <w:cantSplit w:val="true"/>
        </w:trPr>
        <w:tc>
          <w:tcPr>
            <w:tcW w:type="dxa" w:w="14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合规安全</w:t>
            </w:r>
          </w:p>
        </w:tc>
        <w:tc>
          <w:tcPr>
            <w:tcW w:type="dxa" w:w="37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用户归属、风险闸门、合规闸门、审计记录</w:t>
            </w:r>
          </w:p>
        </w:tc>
        <w:tc>
          <w:tcPr>
            <w:tcW w:type="dxa" w:w="21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风险提示与决策回执</w:t>
            </w:r>
          </w:p>
        </w:tc>
        <w:tc>
          <w:tcPr>
            <w:tcW w:type="dxa" w:w="19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闸门测试与历史事件</w:t>
            </w:r>
          </w:p>
        </w:tc>
      </w:tr>
    </w:tbl>
    <w:p>
      <w:pPr>
        <w:spacing w:after="40"/>
      </w:pPr>
    </w:p>
    <w:p>
      <w:pPr>
        <w:pStyle w:val="Heading1"/>
      </w:pPr>
      <w:r>
        <w:t>第三章 产品方案</w:t>
      </w:r>
    </w:p>
    <w:p>
      <w:pPr>
        <w:pStyle w:val="Heading2"/>
      </w:pPr>
      <w:r>
        <w:t>一、 产品功能结构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采用“一个工作台、三个中心、六类任务”的产品结构。一个工作台承担统一对话和任务入口；三个中心分别管理用户画像、持仓组合和证据历史；六类任务覆盖赛题要求的主要投顾场景。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2607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-figure-03-dependenc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0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3-1 Prism 功能模块与职责依赖</w:t>
      </w:r>
    </w:p>
    <w:p>
      <w:pPr>
        <w:pStyle w:val="Heading2"/>
      </w:pPr>
      <w:r>
        <w:t>二、 投资者画像与风险偏好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 xml:space="preserve">正式问卷覆盖损失承受、投资期限、流动性需求、投资经验和收益预期等基础维度，并形成风险等级。自然语言描述只生成待确认字段，不直接改写已生效画像；历史交易用于形成行为证据，当样本不足时显示 </w:t>
      </w:r>
      <w:r>
        <w:rPr>
          <w:rFonts w:ascii="Consolas" w:hAnsi="Consolas" w:eastAsia="等线"/>
          <w:color w:val="243B53"/>
          <w:sz w:val="19"/>
          <w:shd w:fill="F2F2F2"/>
        </w:rPr>
        <w:t>INSUFFICIENT_DATA</w:t>
      </w:r>
      <w:r>
        <w:rPr>
          <w:rFonts w:ascii="Times New Roman" w:hAnsi="Times New Roman" w:eastAsia="宋体"/>
          <w:color w:val="1F1F1F"/>
          <w:sz w:val="21"/>
        </w:rPr>
        <w:t>，不以推测值替代。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3-1 画像信息的作用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1361"/>
        <w:gridCol w:w="3402"/>
        <w:gridCol w:w="1587"/>
        <w:gridCol w:w="2948"/>
      </w:tblGrid>
      <w:tr>
        <w:trPr>
          <w:tblHeader w:val="true"/>
          <w:cantSplit w:val="true"/>
        </w:trPr>
        <w:tc>
          <w:tcPr>
            <w:tcW w:type="dxa" w:w="136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信息来源</w:t>
            </w:r>
          </w:p>
        </w:tc>
        <w:tc>
          <w:tcPr>
            <w:tcW w:type="dxa" w:w="340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158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是否需要确认</w:t>
            </w:r>
          </w:p>
        </w:tc>
        <w:tc>
          <w:tcPr>
            <w:tcW w:type="dxa" w:w="294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对系统的影响</w:t>
            </w:r>
          </w:p>
        </w:tc>
      </w:tr>
      <w:tr>
        <w:trPr>
          <w:cantSplit w:val="true"/>
        </w:trPr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正式问卷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确定性评分与等级映射</w:t>
            </w:r>
          </w:p>
        </w:tc>
        <w:tc>
          <w:tcPr>
            <w:tcW w:type="dxa" w:w="15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提交即形成版本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决定基础风险等级与预算规则</w:t>
            </w:r>
          </w:p>
        </w:tc>
      </w:tr>
      <w:tr>
        <w:trPr>
          <w:cantSplit w:val="true"/>
        </w:trPr>
        <w:tc>
          <w:tcPr>
            <w:tcW w:type="dxa" w:w="136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自然语言描述</w:t>
            </w:r>
          </w:p>
        </w:tc>
        <w:tc>
          <w:tcPr>
            <w:tcW w:type="dxa" w:w="34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LLM 提取候选字段并保留原文</w:t>
            </w:r>
          </w:p>
        </w:tc>
        <w:tc>
          <w:tcPr>
            <w:tcW w:type="dxa" w:w="158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必须逐项确认</w:t>
            </w:r>
          </w:p>
        </w:tc>
        <w:tc>
          <w:tcPr>
            <w:tcW w:type="dxa" w:w="294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补充期限、流动性和目标条件</w:t>
            </w:r>
          </w:p>
        </w:tc>
      </w:tr>
      <w:tr>
        <w:trPr>
          <w:cantSplit w:val="true"/>
        </w:trPr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当前持仓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计算资产、行业和现金暴露</w:t>
            </w:r>
          </w:p>
        </w:tc>
        <w:tc>
          <w:tcPr>
            <w:tcW w:type="dxa" w:w="15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导入后核对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形成组合风险事实</w:t>
            </w:r>
          </w:p>
        </w:tc>
      </w:tr>
      <w:tr>
        <w:trPr>
          <w:cantSplit w:val="true"/>
        </w:trPr>
        <w:tc>
          <w:tcPr>
            <w:tcW w:type="dxa" w:w="136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历史交易</w:t>
            </w:r>
          </w:p>
        </w:tc>
        <w:tc>
          <w:tcPr>
            <w:tcW w:type="dxa" w:w="34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计算持有期、换手与行为特征</w:t>
            </w:r>
          </w:p>
        </w:tc>
        <w:tc>
          <w:tcPr>
            <w:tcW w:type="dxa" w:w="158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数据充分后复核</w:t>
            </w:r>
          </w:p>
        </w:tc>
        <w:tc>
          <w:tcPr>
            <w:tcW w:type="dxa" w:w="294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用于识别问卷与行为差异</w:t>
            </w:r>
          </w:p>
        </w:tc>
      </w:tr>
    </w:tbl>
    <w:p>
      <w:pPr>
        <w:spacing w:after="40"/>
      </w:pPr>
    </w:p>
    <w:p>
      <w:pPr>
        <w:pStyle w:val="Heading2"/>
      </w:pPr>
      <w:r>
        <w:t>三、 多场景研究与证据展示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用户可以通过自然语言提问，也可以直接选择大盘、行业、个股、基金或可转债任务。系统根据意图生成结构化计划，将任务交给对应研究节点；页面同时展示节点状态、数据来源、观察时间和缺失字段。研究结果按照“证据至事实至发现”展开，用户可以从结论反向定位依据。</w:t>
      </w:r>
    </w:p>
    <w:p>
      <w:pPr>
        <w:pStyle w:val="Heading2"/>
      </w:pPr>
      <w:r>
        <w:t>四、 组合分析与决策支持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 xml:space="preserve">组合中心接收文字、表格或截图持仓。用户确认后，系统计算市值、现金、资产结构、底层成分暴露、单一资产集中度和行业集中度，并与画像对应的风险预算比较。具备有效报价和约束时，系统继续计算目标结构、情景变化与再平衡行动；所有方案标记为 </w:t>
      </w:r>
      <w:r>
        <w:rPr>
          <w:rFonts w:ascii="Consolas" w:hAnsi="Consolas" w:eastAsia="等线"/>
          <w:color w:val="243B53"/>
          <w:sz w:val="19"/>
          <w:shd w:fill="F2F2F2"/>
        </w:rPr>
        <w:t>ADVISORY_ONLY</w:t>
      </w:r>
      <w:r>
        <w:rPr>
          <w:rFonts w:ascii="Times New Roman" w:hAnsi="Times New Roman" w:eastAsia="宋体"/>
          <w:color w:val="1F1F1F"/>
          <w:sz w:val="21"/>
        </w:rPr>
        <w:t>，不执行自动交易。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3-2 组合能力与输出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912"/>
        <w:gridCol w:w="2735"/>
        <w:gridCol w:w="3099"/>
        <w:gridCol w:w="2552"/>
      </w:tblGrid>
      <w:tr>
        <w:trPr>
          <w:tblHeader w:val="true"/>
          <w:cantSplit w:val="true"/>
        </w:trPr>
        <w:tc>
          <w:tcPr>
            <w:tcW w:type="dxa" w:w="9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73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必要输入</w:t>
            </w:r>
          </w:p>
        </w:tc>
        <w:tc>
          <w:tcPr>
            <w:tcW w:type="dxa" w:w="309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确定性处理</w:t>
            </w:r>
          </w:p>
        </w:tc>
        <w:tc>
          <w:tcPr>
            <w:tcW w:type="dxa" w:w="25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用户输出</w:t>
            </w:r>
          </w:p>
        </w:tc>
      </w:tr>
      <w:tr>
        <w:trPr>
          <w:cantSplit w:val="true"/>
        </w:trPr>
        <w:tc>
          <w:tcPr>
            <w:tcW w:type="dxa" w:w="9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持仓体检</w:t>
            </w:r>
          </w:p>
        </w:tc>
        <w:tc>
          <w:tcPr>
            <w:tcW w:type="dxa" w:w="27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已确认持仓、现金和价格</w:t>
            </w:r>
          </w:p>
        </w:tc>
        <w:tc>
          <w:tcPr>
            <w:tcW w:type="dxa" w:w="309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市值、权重、HHI、风险预算</w:t>
            </w:r>
          </w:p>
        </w:tc>
        <w:tc>
          <w:tcPr>
            <w:tcW w:type="dxa" w:w="25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风险来源、观察值、阈值和状态</w:t>
            </w:r>
          </w:p>
        </w:tc>
      </w:tr>
      <w:tr>
        <w:trPr>
          <w:cantSplit w:val="true"/>
        </w:trPr>
        <w:tc>
          <w:tcPr>
            <w:tcW w:type="dxa" w:w="91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基金穿透</w:t>
            </w:r>
          </w:p>
        </w:tc>
        <w:tc>
          <w:tcPr>
            <w:tcW w:type="dxa" w:w="273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基金成分与报告期</w:t>
            </w:r>
          </w:p>
        </w:tc>
        <w:tc>
          <w:tcPr>
            <w:tcW w:type="dxa" w:w="309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合并直接和间接暴露</w:t>
            </w:r>
          </w:p>
        </w:tc>
        <w:tc>
          <w:tcPr>
            <w:tcW w:type="dxa" w:w="255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底层资产、覆盖率和未分类部分</w:t>
            </w:r>
          </w:p>
        </w:tc>
      </w:tr>
      <w:tr>
        <w:trPr>
          <w:cantSplit w:val="true"/>
        </w:trPr>
        <w:tc>
          <w:tcPr>
            <w:tcW w:type="dxa" w:w="9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情景分析</w:t>
            </w:r>
          </w:p>
        </w:tc>
        <w:tc>
          <w:tcPr>
            <w:tcW w:type="dxa" w:w="27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组合与用户指定冲击</w:t>
            </w:r>
          </w:p>
        </w:tc>
        <w:tc>
          <w:tcPr>
            <w:tcW w:type="dxa" w:w="309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重新计算组合价值和贡献</w:t>
            </w:r>
          </w:p>
        </w:tc>
        <w:tc>
          <w:tcPr>
            <w:tcW w:type="dxa" w:w="25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基线至情景差异及主要影响项</w:t>
            </w:r>
          </w:p>
        </w:tc>
      </w:tr>
      <w:tr>
        <w:trPr>
          <w:cantSplit w:val="true"/>
        </w:trPr>
        <w:tc>
          <w:tcPr>
            <w:tcW w:type="dxa" w:w="91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目标结构</w:t>
            </w:r>
          </w:p>
        </w:tc>
        <w:tc>
          <w:tcPr>
            <w:tcW w:type="dxa" w:w="273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画像预算、当前暴露</w:t>
            </w:r>
          </w:p>
        </w:tc>
        <w:tc>
          <w:tcPr>
            <w:tcW w:type="dxa" w:w="309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约束下的目标权重提案</w:t>
            </w:r>
          </w:p>
        </w:tc>
        <w:tc>
          <w:tcPr>
            <w:tcW w:type="dxa" w:w="255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当前权重、目标权重和失效条件</w:t>
            </w:r>
          </w:p>
        </w:tc>
      </w:tr>
      <w:tr>
        <w:trPr>
          <w:cantSplit w:val="true"/>
        </w:trPr>
        <w:tc>
          <w:tcPr>
            <w:tcW w:type="dxa" w:w="9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再平衡</w:t>
            </w:r>
          </w:p>
        </w:tc>
        <w:tc>
          <w:tcPr>
            <w:tcW w:type="dxa" w:w="27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目标结构、报价、交易单位和费用</w:t>
            </w:r>
          </w:p>
        </w:tc>
        <w:tc>
          <w:tcPr>
            <w:tcW w:type="dxa" w:w="309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股数、费用、现金、换手与交易后复核</w:t>
            </w:r>
          </w:p>
        </w:tc>
        <w:tc>
          <w:tcPr>
            <w:tcW w:type="dxa" w:w="25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分步行动、现金变化和剩余风险</w:t>
            </w:r>
          </w:p>
        </w:tc>
      </w:tr>
    </w:tbl>
    <w:p>
      <w:pPr>
        <w:spacing w:after="40"/>
      </w:pPr>
    </w:p>
    <w:p>
      <w:pPr>
        <w:pStyle w:val="Heading2"/>
      </w:pPr>
      <w:r>
        <w:t>五、 用户操作流程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1.  注册或登录本地账户，完成风险问卷并确认画像；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2.  导入文字、表格或截图持仓，核对证券、数量、价格与现金；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3.  在工作台输入问题或选择专业任务；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4.  查看研究节点、数据状态、组合计算和风险裁决；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5.  展开证据链，核对来源、报告期、计算口径与失效条件；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6.  在数据充分时运行情景或再平衡测算，并保存结果用于历史复核。</w:t>
      </w:r>
    </w:p>
    <w:p>
      <w:pPr>
        <w:pStyle w:val="Heading1"/>
      </w:pPr>
      <w:r>
        <w:t>第四章 产品功能与应用展示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本章使用 2026 年 9 月 17 日采集的项目页面快照。截图用于说明当前产品形态和信息组织；其中的行情、组合和状态均对应各自记录的观察时间，不代表持续有效的市场结论。</w:t>
      </w:r>
    </w:p>
    <w:p>
      <w:pPr>
        <w:pStyle w:val="Heading2"/>
      </w:pPr>
      <w:r>
        <w:t>一、 投资任务工作台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工作台以对话作为主入口，同时展示画像状态、持仓状态和专业任务入口。用户可以输入“分析我的持仓风险”等自然语言问题，也可以直接进入大盘、个股、基金、可转债和组合分析。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4327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pages-snapshot-workbench-2026091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32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4-1 投资任务工作台</w:t>
      </w:r>
    </w:p>
    <w:p>
      <w:pPr>
        <w:pStyle w:val="Heading2"/>
      </w:pPr>
      <w:r>
        <w:t>二、 画像建立与风险约束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个人中心展示正式问卷、风险等级、八维画像和资产配置参考。问卷评分与自然语言提案分开处理，未经确认的候选字段不能直接进入风险预算。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39891" cy="640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pages-snapshot-profile-202609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9891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4-2 投资者画像与风险约束</w:t>
      </w:r>
    </w:p>
    <w:p>
      <w:pPr>
        <w:pStyle w:val="Heading2"/>
      </w:pPr>
      <w:r>
        <w:t>三、 持仓分析与风险体检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持仓页面在同一视图中呈现资产结构、证券集中度、行业分布、现金比例和风险检查。每项状态同时给出观察值、适用阈值与计算口径，支持从组合问题定位到具体持仓。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685650" cy="64007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pages-snapshot-portfolio-2026091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5650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4-3 持仓分析与风险对照</w:t>
      </w:r>
    </w:p>
    <w:p>
      <w:pPr>
        <w:pStyle w:val="Heading2"/>
      </w:pPr>
      <w:r>
        <w:t>四、 市场观察与研究任务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大盘页面组织指数行情、技术指标、宏观因子和行业观察，并显示数据来源、观察时间和当前可用状态。单项查询可以直接返回结果，完整研究则进入多节点执行与证据校验流程。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640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pages-snapshot-market-2026091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4-4 大盘鉴别与市场观察</w:t>
      </w:r>
    </w:p>
    <w:p>
      <w:pPr>
        <w:pStyle w:val="Heading2"/>
      </w:pPr>
      <w:r>
        <w:t>五、 行为画像与持续复核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交易风格页面接收历史交易，展示数据充分性和可计算的行为特征。系统不在样本不足时强行给出风格结论，问卷画像仍作为有效的基础风险输入。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52192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pages-snapshot-trading-style-202609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21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4-5 行为画像与数据充分性</w:t>
      </w:r>
    </w:p>
    <w:p>
      <w:pPr>
        <w:pStyle w:val="Heading1"/>
      </w:pPr>
      <w:r>
        <w:t>第五章 技术方案</w:t>
      </w:r>
    </w:p>
    <w:p>
      <w:pPr>
        <w:pStyle w:val="Heading2"/>
      </w:pPr>
      <w:r>
        <w:t>一、 开发环境与技术选型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5-1 主要技术组件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646"/>
        <w:gridCol w:w="3874"/>
        <w:gridCol w:w="2454"/>
        <w:gridCol w:w="2324"/>
      </w:tblGrid>
      <w:tr>
        <w:trPr>
          <w:tblHeader w:val="true"/>
          <w:cantSplit w:val="true"/>
        </w:trPr>
        <w:tc>
          <w:tcPr>
            <w:tcW w:type="dxa" w:w="64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87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技术组件</w:t>
            </w:r>
          </w:p>
        </w:tc>
        <w:tc>
          <w:tcPr>
            <w:tcW w:type="dxa" w:w="245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23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选型理由</w:t>
            </w:r>
          </w:p>
        </w:tc>
      </w:tr>
      <w:tr>
        <w:trPr>
          <w:cantSplit w:val="true"/>
        </w:trPr>
        <w:tc>
          <w:tcPr>
            <w:tcW w:type="dxa" w:w="6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前端</w:t>
            </w:r>
          </w:p>
        </w:tc>
        <w:tc>
          <w:tcPr>
            <w:tcW w:type="dxa" w:w="38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HTML、CSS、JavaScript、AntV X6</w:t>
            </w:r>
          </w:p>
        </w:tc>
        <w:tc>
          <w:tcPr>
            <w:tcW w:type="dxa" w:w="24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工作台、图表、研究流程和 DAG 画布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轻量同源部署，复用成熟图编排能力</w:t>
            </w:r>
          </w:p>
        </w:tc>
      </w:tr>
      <w:tr>
        <w:trPr>
          <w:cantSplit w:val="true"/>
        </w:trPr>
        <w:tc>
          <w:tcPr>
            <w:tcW w:type="dxa" w:w="64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服务端</w:t>
            </w:r>
          </w:p>
        </w:tc>
        <w:tc>
          <w:tcPr>
            <w:tcW w:type="dxa" w:w="387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Python 3.11、FastAPI、Pydantic 2</w:t>
            </w:r>
          </w:p>
        </w:tc>
        <w:tc>
          <w:tcPr>
            <w:tcW w:type="dxa" w:w="245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HTTP、SSE、应用服务和数据契约</w:t>
            </w:r>
          </w:p>
        </w:tc>
        <w:tc>
          <w:tcPr>
            <w:tcW w:type="dxa" w:w="23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类型边界清晰，适合异步任务与金融计算</w:t>
            </w:r>
          </w:p>
        </w:tc>
      </w:tr>
      <w:tr>
        <w:trPr>
          <w:cantSplit w:val="true"/>
        </w:trPr>
        <w:tc>
          <w:tcPr>
            <w:tcW w:type="dxa" w:w="6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计算</w:t>
            </w:r>
          </w:p>
        </w:tc>
        <w:tc>
          <w:tcPr>
            <w:tcW w:type="dxa" w:w="38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Decimal、领域规则模块</w:t>
            </w:r>
          </w:p>
        </w:tc>
        <w:tc>
          <w:tcPr>
            <w:tcW w:type="dxa" w:w="24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金额、权重、风险、情景和再平衡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避免二进制浮点误差，便于复算</w:t>
            </w:r>
          </w:p>
        </w:tc>
      </w:tr>
      <w:tr>
        <w:trPr>
          <w:cantSplit w:val="true"/>
        </w:trPr>
        <w:tc>
          <w:tcPr>
            <w:tcW w:type="dxa" w:w="64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</w:t>
            </w:r>
          </w:p>
        </w:tc>
        <w:tc>
          <w:tcPr>
            <w:tcW w:type="dxa" w:w="387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问财 SkillHub、金融数据 Provider 适配器</w:t>
            </w:r>
          </w:p>
        </w:tc>
        <w:tc>
          <w:tcPr>
            <w:tcW w:type="dxa" w:w="245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行情、财务、行业、基金和转债数据</w:t>
            </w:r>
          </w:p>
        </w:tc>
        <w:tc>
          <w:tcPr>
            <w:tcW w:type="dxa" w:w="23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统一上游差异并保留来源状态</w:t>
            </w:r>
          </w:p>
        </w:tc>
      </w:tr>
      <w:tr>
        <w:trPr>
          <w:cantSplit w:val="true"/>
        </w:trPr>
        <w:tc>
          <w:tcPr>
            <w:tcW w:type="dxa" w:w="6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存储</w:t>
            </w:r>
          </w:p>
        </w:tc>
        <w:tc>
          <w:tcPr>
            <w:tcW w:type="dxa" w:w="38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SQLite、PostgreSQL 适配</w:t>
            </w:r>
          </w:p>
        </w:tc>
        <w:tc>
          <w:tcPr>
            <w:tcW w:type="dxa" w:w="24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上下文、事件、审计和历史结果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支持本地演示与后续部署扩展</w:t>
            </w:r>
          </w:p>
        </w:tc>
      </w:tr>
      <w:tr>
        <w:trPr>
          <w:cantSplit w:val="true"/>
        </w:trPr>
        <w:tc>
          <w:tcPr>
            <w:tcW w:type="dxa" w:w="64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图像识别</w:t>
            </w:r>
          </w:p>
        </w:tc>
        <w:tc>
          <w:tcPr>
            <w:tcW w:type="dxa" w:w="387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Pillow、RapidOCR</w:t>
            </w:r>
          </w:p>
        </w:tc>
        <w:tc>
          <w:tcPr>
            <w:tcW w:type="dxa" w:w="245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截图持仓文字识别</w:t>
            </w:r>
          </w:p>
        </w:tc>
        <w:tc>
          <w:tcPr>
            <w:tcW w:type="dxa" w:w="23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将非结构化输入转为待确认字段</w:t>
            </w:r>
          </w:p>
        </w:tc>
      </w:tr>
      <w:tr>
        <w:trPr>
          <w:cantSplit w:val="true"/>
        </w:trPr>
        <w:tc>
          <w:tcPr>
            <w:tcW w:type="dxa" w:w="6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大模型</w:t>
            </w:r>
          </w:p>
        </w:tc>
        <w:tc>
          <w:tcPr>
            <w:tcW w:type="dxa" w:w="38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OpenAI-compatible 可配置接口</w:t>
            </w:r>
          </w:p>
        </w:tc>
        <w:tc>
          <w:tcPr>
            <w:tcW w:type="dxa" w:w="24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意图、槽位和自然语言解释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与业务计算解耦，支持模型替换</w:t>
            </w:r>
          </w:p>
        </w:tc>
      </w:tr>
    </w:tbl>
    <w:p>
      <w:pPr>
        <w:spacing w:after="40"/>
      </w:pPr>
    </w:p>
    <w:p>
      <w:pPr>
        <w:pStyle w:val="Heading2"/>
      </w:pPr>
      <w:r>
        <w:t>二、 系统总体架构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采用模块化单体架构。前端、接口、应用服务和领域模块在一个可部署应用中协作，研究、计算、证据和审查保持独立边界。相较于过早拆分微服务，该方案减少竞赛演示和本地部署的运维复杂度，同时通过稳定契约保留未来拆分条件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26077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-figure-02-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0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5-1 Prism 系统总体架构</w:t>
      </w:r>
    </w:p>
    <w:p>
      <w:pPr>
        <w:pStyle w:val="Heading2"/>
      </w:pPr>
      <w:r>
        <w:t>三、 Web 前端技术实现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前端采用任务导向的信息架构，包含统一对话入口、画像与持仓上下文、专业任务入口、L2 决策卡和 L3 证据审计视图。固定研究 DAG 使用 AntV X6 展示节点与依赖，列表视图与画布共用同一图模型，避免出现两套状态。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界面使用高密度标签表达状态：</w:t>
      </w:r>
      <w:r>
        <w:rPr>
          <w:rFonts w:ascii="Consolas" w:hAnsi="Consolas" w:eastAsia="等线"/>
          <w:color w:val="243B53"/>
          <w:sz w:val="19"/>
          <w:shd w:fill="F2F2F2"/>
        </w:rPr>
        <w:t>PASS</w:t>
      </w:r>
      <w:r>
        <w:rPr>
          <w:rFonts w:ascii="Times New Roman" w:hAnsi="Times New Roman" w:eastAsia="宋体"/>
          <w:color w:val="1F1F1F"/>
          <w:sz w:val="21"/>
        </w:rPr>
        <w:t xml:space="preserve"> 表示已满足检查条件，</w:t>
      </w:r>
      <w:r>
        <w:rPr>
          <w:rFonts w:ascii="Consolas" w:hAnsi="Consolas" w:eastAsia="等线"/>
          <w:color w:val="243B53"/>
          <w:sz w:val="19"/>
          <w:shd w:fill="F2F2F2"/>
        </w:rPr>
        <w:t>OVERBOUND</w:t>
      </w:r>
      <w:r>
        <w:rPr>
          <w:rFonts w:ascii="Times New Roman" w:hAnsi="Times New Roman" w:eastAsia="宋体"/>
          <w:color w:val="1F1F1F"/>
          <w:sz w:val="21"/>
        </w:rPr>
        <w:t xml:space="preserve"> 表示观察值超出阈值，</w:t>
      </w:r>
      <w:r>
        <w:rPr>
          <w:rFonts w:ascii="Consolas" w:hAnsi="Consolas" w:eastAsia="等线"/>
          <w:color w:val="243B53"/>
          <w:sz w:val="19"/>
          <w:shd w:fill="F2F2F2"/>
        </w:rPr>
        <w:t>CALCULATED</w:t>
      </w:r>
      <w:r>
        <w:rPr>
          <w:rFonts w:ascii="Times New Roman" w:hAnsi="Times New Roman" w:eastAsia="宋体"/>
          <w:color w:val="1F1F1F"/>
          <w:sz w:val="21"/>
        </w:rPr>
        <w:t xml:space="preserve"> 表示已完成确定性计算，</w:t>
      </w:r>
      <w:r>
        <w:rPr>
          <w:rFonts w:ascii="Consolas" w:hAnsi="Consolas" w:eastAsia="等线"/>
          <w:color w:val="243B53"/>
          <w:sz w:val="19"/>
          <w:shd w:fill="F2F2F2"/>
        </w:rPr>
        <w:t>REVIEW_REQUIRED</w:t>
      </w:r>
      <w:r>
        <w:rPr>
          <w:rFonts w:ascii="Times New Roman" w:hAnsi="Times New Roman" w:eastAsia="宋体"/>
          <w:color w:val="1F1F1F"/>
          <w:sz w:val="21"/>
        </w:rPr>
        <w:t xml:space="preserve"> 表示仍需补充资料或复核。错误、空结果和数据缺失使用独立提示，不以默认值掩盖。</w:t>
      </w:r>
    </w:p>
    <w:p>
      <w:pPr>
        <w:pStyle w:val="Heading2"/>
      </w:pPr>
      <w:r>
        <w:t>四、 服务端与任务编排实现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中央协调器接收结构化意图，根据任务类型生成有向无环图。执行器使用依赖关系决定可运行节点，在节点和整体时间预算内执行任务；相互独立的节点并行运行，上游失败时下游节点保留未执行原因。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26077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-figure-04-research-da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0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5-2 多智能体任务编排流程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5-2 编排状态与处理原则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2583"/>
        <w:gridCol w:w="2755"/>
        <w:gridCol w:w="2238"/>
        <w:gridCol w:w="1722"/>
      </w:tblGrid>
      <w:tr>
        <w:trPr>
          <w:tblHeader w:val="true"/>
          <w:cantSplit w:val="true"/>
        </w:trPr>
        <w:tc>
          <w:tcPr>
            <w:tcW w:type="dxa" w:w="258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75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判定条件</w:t>
            </w:r>
          </w:p>
        </w:tc>
        <w:tc>
          <w:tcPr>
            <w:tcW w:type="dxa" w:w="223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后续动作</w:t>
            </w:r>
          </w:p>
        </w:tc>
        <w:tc>
          <w:tcPr>
            <w:tcW w:type="dxa" w:w="172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用户可见信息</w:t>
            </w:r>
          </w:p>
        </w:tc>
      </w:tr>
      <w:tr>
        <w:trPr>
          <w:cantSplit w:val="true"/>
        </w:trPr>
        <w:tc>
          <w:tcPr>
            <w:tcW w:type="dxa" w:w="25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READY</w:t>
            </w:r>
          </w:p>
        </w:tc>
        <w:tc>
          <w:tcPr>
            <w:tcW w:type="dxa" w:w="27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输入与依赖完整</w:t>
            </w:r>
          </w:p>
        </w:tc>
        <w:tc>
          <w:tcPr>
            <w:tcW w:type="dxa" w:w="22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进入执行队列</w:t>
            </w:r>
          </w:p>
        </w:tc>
        <w:tc>
          <w:tcPr>
            <w:tcW w:type="dxa" w:w="17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节点目标与所需数据</w:t>
            </w:r>
          </w:p>
        </w:tc>
      </w:tr>
      <w:tr>
        <w:trPr>
          <w:cantSplit w:val="true"/>
        </w:trPr>
        <w:tc>
          <w:tcPr>
            <w:tcW w:type="dxa" w:w="258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RUNNING</w:t>
            </w:r>
          </w:p>
        </w:tc>
        <w:tc>
          <w:tcPr>
            <w:tcW w:type="dxa" w:w="275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节点在时间预算内运行</w:t>
            </w:r>
          </w:p>
        </w:tc>
        <w:tc>
          <w:tcPr>
            <w:tcW w:type="dxa" w:w="223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接收结构化结果</w:t>
            </w:r>
          </w:p>
        </w:tc>
        <w:tc>
          <w:tcPr>
            <w:tcW w:type="dxa" w:w="172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当前进度与运行节点</w:t>
            </w:r>
          </w:p>
        </w:tc>
      </w:tr>
      <w:tr>
        <w:trPr>
          <w:cantSplit w:val="true"/>
        </w:trPr>
        <w:tc>
          <w:tcPr>
            <w:tcW w:type="dxa" w:w="25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REVIEW_REQUIRED</w:t>
            </w:r>
          </w:p>
        </w:tc>
        <w:tc>
          <w:tcPr>
            <w:tcW w:type="dxa" w:w="27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数据部分缺失、冲突或使用备用来源</w:t>
            </w:r>
          </w:p>
        </w:tc>
        <w:tc>
          <w:tcPr>
            <w:tcW w:type="dxa" w:w="22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保留可用结果，暂停升级结论</w:t>
            </w:r>
          </w:p>
        </w:tc>
        <w:tc>
          <w:tcPr>
            <w:tcW w:type="dxa" w:w="17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缺项、冲突和影响范围</w:t>
            </w:r>
          </w:p>
        </w:tc>
      </w:tr>
      <w:tr>
        <w:trPr>
          <w:cantSplit w:val="true"/>
        </w:trPr>
        <w:tc>
          <w:tcPr>
            <w:tcW w:type="dxa" w:w="258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BLOCKED</w:t>
            </w:r>
          </w:p>
        </w:tc>
        <w:tc>
          <w:tcPr>
            <w:tcW w:type="dxa" w:w="275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必需依赖失败、归属错误或输入无效</w:t>
            </w:r>
          </w:p>
        </w:tc>
        <w:tc>
          <w:tcPr>
            <w:tcW w:type="dxa" w:w="223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停止相关下游节点</w:t>
            </w:r>
          </w:p>
        </w:tc>
        <w:tc>
          <w:tcPr>
            <w:tcW w:type="dxa" w:w="172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阻断位置与恢复条件</w:t>
            </w:r>
          </w:p>
        </w:tc>
      </w:tr>
      <w:tr>
        <w:trPr>
          <w:cantSplit w:val="true"/>
        </w:trPr>
        <w:tc>
          <w:tcPr>
            <w:tcW w:type="dxa" w:w="25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COMPLETED</w:t>
            </w:r>
          </w:p>
        </w:tc>
        <w:tc>
          <w:tcPr>
            <w:tcW w:type="dxa" w:w="27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输出通过契约校验</w:t>
            </w:r>
          </w:p>
        </w:tc>
        <w:tc>
          <w:tcPr>
            <w:tcW w:type="dxa" w:w="22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进入证据与审查流程</w:t>
            </w:r>
          </w:p>
        </w:tc>
        <w:tc>
          <w:tcPr>
            <w:tcW w:type="dxa" w:w="17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节点结果和引用标识</w:t>
            </w:r>
          </w:p>
        </w:tc>
      </w:tr>
    </w:tbl>
    <w:p>
      <w:pPr>
        <w:spacing w:after="40"/>
      </w:pPr>
    </w:p>
    <w:p>
      <w:pPr>
        <w:pStyle w:val="Heading2"/>
      </w:pPr>
      <w:r>
        <w:t>五、 投资者画像与个性化计算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画像评分由确定性规则完成。正式问卷形成基础画像，自然语言只形成候选字段，行为数据形成独立证据。已确认风险等级进入版本化风险预算，控制单一资产、行业、科技行业合计及未分类暴露上限。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5-3 当前风险预算规则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1409"/>
        <w:gridCol w:w="1690"/>
        <w:gridCol w:w="1972"/>
        <w:gridCol w:w="2254"/>
        <w:gridCol w:w="1973"/>
      </w:tblGrid>
      <w:tr>
        <w:trPr>
          <w:tblHeader w:val="true"/>
          <w:cantSplit w:val="true"/>
        </w:trPr>
        <w:tc>
          <w:tcPr>
            <w:tcW w:type="dxa" w:w="140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169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单一资产上限</w:t>
            </w:r>
          </w:p>
        </w:tc>
        <w:tc>
          <w:tcPr>
            <w:tcW w:type="dxa" w:w="19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已识别行业上限</w:t>
            </w:r>
          </w:p>
        </w:tc>
        <w:tc>
          <w:tcPr>
            <w:tcW w:type="dxa" w:w="225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科技行业合计上限</w:t>
            </w:r>
          </w:p>
        </w:tc>
        <w:tc>
          <w:tcPr>
            <w:tcW w:type="dxa" w:w="197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未分类合计上限</w:t>
            </w:r>
          </w:p>
        </w:tc>
      </w:tr>
      <w:tr>
        <w:trPr>
          <w:cantSplit w:val="true"/>
        </w:trPr>
        <w:tc>
          <w:tcPr>
            <w:tcW w:type="dxa" w:w="14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保守型</w:t>
            </w:r>
          </w:p>
        </w:tc>
        <w:tc>
          <w:tcPr>
            <w:tcW w:type="dxa" w:w="169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20%</w:t>
            </w:r>
          </w:p>
        </w:tc>
        <w:tc>
          <w:tcPr>
            <w:tcW w:type="dxa" w:w="19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30%</w:t>
            </w:r>
          </w:p>
        </w:tc>
        <w:tc>
          <w:tcPr>
            <w:tcW w:type="dxa" w:w="22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25%</w:t>
            </w:r>
          </w:p>
        </w:tc>
        <w:tc>
          <w:tcPr>
            <w:tcW w:type="dxa" w:w="197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10%</w:t>
            </w:r>
          </w:p>
        </w:tc>
      </w:tr>
      <w:tr>
        <w:trPr>
          <w:cantSplit w:val="true"/>
        </w:trPr>
        <w:tc>
          <w:tcPr>
            <w:tcW w:type="dxa" w:w="140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均衡型</w:t>
            </w:r>
          </w:p>
        </w:tc>
        <w:tc>
          <w:tcPr>
            <w:tcW w:type="dxa" w:w="169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35%</w:t>
            </w:r>
          </w:p>
        </w:tc>
        <w:tc>
          <w:tcPr>
            <w:tcW w:type="dxa" w:w="197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45%</w:t>
            </w:r>
          </w:p>
        </w:tc>
        <w:tc>
          <w:tcPr>
            <w:tcW w:type="dxa" w:w="225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40%</w:t>
            </w:r>
          </w:p>
        </w:tc>
        <w:tc>
          <w:tcPr>
            <w:tcW w:type="dxa" w:w="197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20%</w:t>
            </w:r>
          </w:p>
        </w:tc>
      </w:tr>
      <w:tr>
        <w:trPr>
          <w:cantSplit w:val="true"/>
        </w:trPr>
        <w:tc>
          <w:tcPr>
            <w:tcW w:type="dxa" w:w="14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成长型</w:t>
            </w:r>
          </w:p>
        </w:tc>
        <w:tc>
          <w:tcPr>
            <w:tcW w:type="dxa" w:w="169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50%</w:t>
            </w:r>
          </w:p>
        </w:tc>
        <w:tc>
          <w:tcPr>
            <w:tcW w:type="dxa" w:w="19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60%</w:t>
            </w:r>
          </w:p>
        </w:tc>
        <w:tc>
          <w:tcPr>
            <w:tcW w:type="dxa" w:w="22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60%</w:t>
            </w:r>
          </w:p>
        </w:tc>
        <w:tc>
          <w:tcPr>
            <w:tcW w:type="dxa" w:w="197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35%</w:t>
            </w:r>
          </w:p>
        </w:tc>
      </w:tr>
    </w:tbl>
    <w:p>
      <w:pPr>
        <w:spacing w:after="40"/>
      </w:pP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画像版本、持仓快照和规则版本共同绑定一次计算。用户重新确认画像或刷新组合后，派生结果需要重新运行，避免旧结论在新条件下继续生效。</w:t>
      </w:r>
    </w:p>
    <w:p>
      <w:pPr>
        <w:pStyle w:val="Heading2"/>
      </w:pPr>
      <w:r>
        <w:t>六、 研究证据与幻觉控制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将研究依据拆分为四类对象：Evidence 保存原始来源、字段、时间和单位；Fact 表示通过验证的金融事实；Finding 表示基于事实形成的结构化发现；Recommendation 表示通过风险与合规审查后的建议。引用方向固定，不能由结论反向补造依据。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70"/>
      </w:tblPr>
      <w:tblGrid>
        <w:gridCol w:w="1328"/>
        <w:gridCol w:w="1328"/>
        <w:gridCol w:w="1328"/>
        <w:gridCol w:w="1328"/>
        <w:gridCol w:w="1328"/>
        <w:gridCol w:w="1328"/>
        <w:gridCol w:w="1330"/>
      </w:tblGrid>
      <w:tr>
        <w:tc>
          <w:tcPr>
            <w:tcW w:type="dxa" w:w="1328"/>
            <w:shd w:fill="EEF4F8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原始记录</w:t>
              <w:br/>
              <w:t>→</w:t>
            </w:r>
          </w:p>
        </w:tc>
        <w:tc>
          <w:tcPr>
            <w:tcW w:type="dxa" w:w="1328"/>
            <w:shd w:fill="F7F2EA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证据</w:t>
              <w:br/>
              <w:t>→</w:t>
            </w:r>
          </w:p>
        </w:tc>
        <w:tc>
          <w:tcPr>
            <w:tcW w:type="dxa" w:w="1328"/>
            <w:shd w:fill="EEF4F8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来源校验</w:t>
              <w:br/>
              <w:t>→</w:t>
            </w:r>
          </w:p>
        </w:tc>
        <w:tc>
          <w:tcPr>
            <w:tcW w:type="dxa" w:w="1328"/>
            <w:shd w:fill="F7F2EA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事实</w:t>
              <w:br/>
              <w:t>→</w:t>
            </w:r>
          </w:p>
        </w:tc>
        <w:tc>
          <w:tcPr>
            <w:tcW w:type="dxa" w:w="1328"/>
            <w:shd w:fill="EEF4F8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研究发现</w:t>
              <w:br/>
              <w:t>→</w:t>
            </w:r>
          </w:p>
        </w:tc>
        <w:tc>
          <w:tcPr>
            <w:tcW w:type="dxa" w:w="1328"/>
            <w:shd w:fill="F7F2EA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双闸门</w:t>
              <w:br/>
              <w:t>→</w:t>
            </w:r>
          </w:p>
        </w:tc>
        <w:tc>
          <w:tcPr>
            <w:tcW w:type="dxa" w:w="1330"/>
            <w:shd w:fill="EEF4F8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建议回执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5-3 金融证据链与幻觉控制流程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同一数据的转发、缓存或不同展示形式不能被计作多个独立来源。来源冲突、时间过期、字段缺失时，系统保留证据但不升级为已验证事实；LLM 生成的文本也不能反向成为金融事实。</w:t>
      </w:r>
    </w:p>
    <w:p>
      <w:pPr>
        <w:pStyle w:val="Heading2"/>
      </w:pPr>
      <w:r>
        <w:t>七、 确定性金融计算引擎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组合计算全部使用 Decimal 和明确公式。对持仓价值 vᵢ 及其在标的或行业 g 中的成分比例 w(i,g)，暴露金额与占比为：</w:t>
      </w:r>
    </w:p>
    <w:p>
      <w:pPr>
        <w:spacing w:before="100" w:after="140"/>
        <w:jc w:val="center"/>
      </w:pPr>
      <w:r>
        <w:rPr>
          <w:rFonts w:ascii="Cambria Math" w:hAnsi="Cambria Math" w:eastAsia="Cambria Math"/>
          <w:color w:val="1F1F1F"/>
          <w:sz w:val="22"/>
        </w:rPr>
        <w:t>E(g) = Σ[i] v(i) × w(i,g),    p(g) = E(g) / V × 100%    (5-1)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V 为报告指定口径下的组合总资产。直接持有的证券成分比例为 1；基金或 ETF 使用披露成分，并将未覆盖部分保留为未分类暴露。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集中度使用 Herfindahl-Hirschman Index：</w:t>
      </w:r>
    </w:p>
    <w:p>
      <w:pPr>
        <w:spacing w:before="100" w:after="140"/>
        <w:jc w:val="center"/>
      </w:pPr>
      <w:r>
        <w:rPr>
          <w:rFonts w:ascii="Cambria Math" w:hAnsi="Cambria Math" w:eastAsia="Cambria Math"/>
          <w:color w:val="1F1F1F"/>
          <w:sz w:val="22"/>
        </w:rPr>
        <w:t>HHI = 10000 × Σ[g] (E(g) / V)²    (5-2)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目标结构与当前结构的金额变化为：</w:t>
      </w:r>
    </w:p>
    <w:p>
      <w:pPr>
        <w:spacing w:before="100" w:after="140"/>
        <w:jc w:val="center"/>
      </w:pPr>
      <w:r>
        <w:rPr>
          <w:rFonts w:ascii="Cambria Math" w:hAnsi="Cambria Math" w:eastAsia="Cambria Math"/>
          <w:color w:val="1F1F1F"/>
          <w:sz w:val="22"/>
        </w:rPr>
        <w:t>Δv(i) = V × [w(i,target) − w(i,current)]    (5-3)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再平衡服务在金额变化基础上继续计算 0.50% 默认权重死区、换手上限、整手股数、印花税、过户费、佣金、现金变化和交易后风险。任何缺少有效报价、币种不一致或目标权重不守恒的输入都会产生错误或复核状态，而不是由模型补齐。</w:t>
      </w:r>
    </w:p>
    <w:p>
      <w:pPr>
        <w:pStyle w:val="Heading2"/>
      </w:pPr>
      <w:r>
        <w:t>八、 数据接入与质量控制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问财 SkillHub 和其他金融数据源通过统一 Provider 契约接入。每次响应保留 Provider、source、lineage、observed_at、retrieved_at、报告期、单位和 missing_fields。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5-4 数据结果状态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1385"/>
        <w:gridCol w:w="3165"/>
        <w:gridCol w:w="2572"/>
        <w:gridCol w:w="2176"/>
      </w:tblGrid>
      <w:tr>
        <w:trPr>
          <w:tblHeader w:val="true"/>
          <w:cantSplit w:val="true"/>
        </w:trPr>
        <w:tc>
          <w:tcPr>
            <w:tcW w:type="dxa" w:w="138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16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业务含义</w:t>
            </w:r>
          </w:p>
        </w:tc>
        <w:tc>
          <w:tcPr>
            <w:tcW w:type="dxa" w:w="25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后续处理</w:t>
            </w:r>
          </w:p>
        </w:tc>
        <w:tc>
          <w:tcPr>
            <w:tcW w:type="dxa" w:w="21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页面表达</w:t>
            </w:r>
          </w:p>
        </w:tc>
      </w:tr>
      <w:tr>
        <w:trPr>
          <w:cantSplit w:val="true"/>
        </w:trPr>
        <w:tc>
          <w:tcPr>
            <w:tcW w:type="dxa" w:w="13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SUCCESS</w:t>
            </w:r>
          </w:p>
        </w:tc>
        <w:tc>
          <w:tcPr>
            <w:tcW w:type="dxa" w:w="31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查询成功且必需字段完整</w:t>
            </w:r>
          </w:p>
        </w:tc>
        <w:tc>
          <w:tcPr>
            <w:tcW w:type="dxa" w:w="2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进入验证与计算</w:t>
            </w:r>
          </w:p>
        </w:tc>
        <w:tc>
          <w:tcPr>
            <w:tcW w:type="dxa" w:w="21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展示数据、来源和时间</w:t>
            </w:r>
          </w:p>
        </w:tc>
      </w:tr>
      <w:tr>
        <w:trPr>
          <w:cantSplit w:val="true"/>
        </w:trPr>
        <w:tc>
          <w:tcPr>
            <w:tcW w:type="dxa" w:w="138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PARTIAL</w:t>
            </w:r>
          </w:p>
        </w:tc>
        <w:tc>
          <w:tcPr>
            <w:tcW w:type="dxa" w:w="316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查询成功但字段不完整</w:t>
            </w:r>
          </w:p>
        </w:tc>
        <w:tc>
          <w:tcPr>
            <w:tcW w:type="dxa" w:w="257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使用可用部分并降低结论等级</w:t>
            </w:r>
          </w:p>
        </w:tc>
        <w:tc>
          <w:tcPr>
            <w:tcW w:type="dxa" w:w="217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展示缺项和影响</w:t>
            </w:r>
          </w:p>
        </w:tc>
      </w:tr>
      <w:tr>
        <w:trPr>
          <w:cantSplit w:val="true"/>
        </w:trPr>
        <w:tc>
          <w:tcPr>
            <w:tcW w:type="dxa" w:w="13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EMPTY</w:t>
            </w:r>
          </w:p>
        </w:tc>
        <w:tc>
          <w:tcPr>
            <w:tcW w:type="dxa" w:w="31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查询成功但指定范围无记录</w:t>
            </w:r>
          </w:p>
        </w:tc>
        <w:tc>
          <w:tcPr>
            <w:tcW w:type="dxa" w:w="2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保留空结果，不解释为零</w:t>
            </w:r>
          </w:p>
        </w:tc>
        <w:tc>
          <w:tcPr>
            <w:tcW w:type="dxa" w:w="21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展示查询范围与空状态</w:t>
            </w:r>
          </w:p>
        </w:tc>
      </w:tr>
      <w:tr>
        <w:trPr>
          <w:cantSplit w:val="true"/>
        </w:trPr>
        <w:tc>
          <w:tcPr>
            <w:tcW w:type="dxa" w:w="138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FAILED</w:t>
            </w:r>
          </w:p>
        </w:tc>
        <w:tc>
          <w:tcPr>
            <w:tcW w:type="dxa" w:w="316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鉴权、额度、超时、网络或解析失败</w:t>
            </w:r>
          </w:p>
        </w:tc>
        <w:tc>
          <w:tcPr>
            <w:tcW w:type="dxa" w:w="257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停止依赖该数据的计算</w:t>
            </w:r>
          </w:p>
        </w:tc>
        <w:tc>
          <w:tcPr>
            <w:tcW w:type="dxa" w:w="217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展示安全错误与恢复条件</w:t>
            </w:r>
          </w:p>
        </w:tc>
      </w:tr>
    </w:tbl>
    <w:p>
      <w:pPr>
        <w:spacing w:after="40"/>
      </w:pP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缓存与备用来源不会改变原始数据状态；过期缓存明确标记为 stale。报价冲突、财务口径冲突和来源身份不独立时进入复核，不以平均值自动消除分歧。</w:t>
      </w:r>
    </w:p>
    <w:p>
      <w:pPr>
        <w:pStyle w:val="Heading2"/>
      </w:pPr>
      <w:r>
        <w:t>九、 风险与合规双重审查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 xml:space="preserve">风险闸门检查画像、持仓、证据、风险预算与配置结果是否一致；合规闸门检查事实引用、风险揭示、禁止表述和候选文本。建议组合器只有在两个闸门均为 </w:t>
      </w:r>
      <w:r>
        <w:rPr>
          <w:rFonts w:ascii="Consolas" w:hAnsi="Consolas" w:eastAsia="等线"/>
          <w:color w:val="243B53"/>
          <w:sz w:val="19"/>
          <w:shd w:fill="F2F2F2"/>
        </w:rPr>
        <w:t>PASS</w:t>
      </w:r>
      <w:r>
        <w:rPr>
          <w:rFonts w:ascii="Times New Roman" w:hAnsi="Times New Roman" w:eastAsia="宋体"/>
          <w:color w:val="1F1F1F"/>
          <w:sz w:val="21"/>
        </w:rPr>
        <w:t xml:space="preserve"> 时才生成正式建议和决策回执。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2607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-figure-06-decision-ga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0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5-4 风险与合规双闸门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5-5 审查状态与系统动作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2447"/>
        <w:gridCol w:w="3589"/>
        <w:gridCol w:w="1142"/>
        <w:gridCol w:w="2120"/>
      </w:tblGrid>
      <w:tr>
        <w:trPr>
          <w:tblHeader w:val="true"/>
          <w:cantSplit w:val="true"/>
        </w:trPr>
        <w:tc>
          <w:tcPr>
            <w:tcW w:type="dxa" w:w="244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58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典型条件</w:t>
            </w:r>
          </w:p>
        </w:tc>
        <w:tc>
          <w:tcPr>
            <w:tcW w:type="dxa" w:w="114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系统动作</w:t>
            </w:r>
          </w:p>
        </w:tc>
        <w:tc>
          <w:tcPr>
            <w:tcW w:type="dxa" w:w="21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输出内容</w:t>
            </w:r>
          </w:p>
        </w:tc>
      </w:tr>
      <w:tr>
        <w:trPr>
          <w:cantSplit w:val="true"/>
        </w:trPr>
        <w:tc>
          <w:tcPr>
            <w:tcW w:type="dxa" w:w="24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PASS</w:t>
            </w:r>
          </w:p>
        </w:tc>
        <w:tc>
          <w:tcPr>
            <w:tcW w:type="dxa" w:w="35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证据、画像、组合和披露均满足要求</w:t>
            </w:r>
          </w:p>
        </w:tc>
        <w:tc>
          <w:tcPr>
            <w:tcW w:type="dxa" w:w="114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生成建议与回执</w:t>
            </w:r>
          </w:p>
        </w:tc>
        <w:tc>
          <w:tcPr>
            <w:tcW w:type="dxa" w:w="21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建议、依据、风险和失效条件</w:t>
            </w:r>
          </w:p>
        </w:tc>
      </w:tr>
      <w:tr>
        <w:trPr>
          <w:cantSplit w:val="true"/>
        </w:trPr>
        <w:tc>
          <w:tcPr>
            <w:tcW w:type="dxa" w:w="244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REVIEW_REQUIRED</w:t>
            </w:r>
          </w:p>
        </w:tc>
        <w:tc>
          <w:tcPr>
            <w:tcW w:type="dxa" w:w="358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数据部分缺失、来源冲突或仍需人工复核</w:t>
            </w:r>
          </w:p>
        </w:tc>
        <w:tc>
          <w:tcPr>
            <w:tcW w:type="dxa" w:w="114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暂缓完整建议</w:t>
            </w:r>
          </w:p>
        </w:tc>
        <w:tc>
          <w:tcPr>
            <w:tcW w:type="dxa" w:w="212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缺项、冲突和补充事项</w:t>
            </w:r>
          </w:p>
        </w:tc>
      </w:tr>
      <w:tr>
        <w:trPr>
          <w:cantSplit w:val="true"/>
        </w:trPr>
        <w:tc>
          <w:tcPr>
            <w:tcW w:type="dxa" w:w="24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BLOCKED</w:t>
            </w:r>
          </w:p>
        </w:tc>
        <w:tc>
          <w:tcPr>
            <w:tcW w:type="dxa" w:w="35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用户归属不一致、引用断裂、输入失效或禁止表述</w:t>
            </w:r>
          </w:p>
        </w:tc>
        <w:tc>
          <w:tcPr>
            <w:tcW w:type="dxa" w:w="114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终止建议生成</w:t>
            </w:r>
          </w:p>
        </w:tc>
        <w:tc>
          <w:tcPr>
            <w:tcW w:type="dxa" w:w="21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阻断原因和安全提示</w:t>
            </w:r>
          </w:p>
        </w:tc>
      </w:tr>
    </w:tbl>
    <w:p>
      <w:pPr>
        <w:spacing w:after="40"/>
      </w:pPr>
    </w:p>
    <w:p>
      <w:pPr>
        <w:pStyle w:val="Heading2"/>
      </w:pPr>
      <w:r>
        <w:t>十、 存储、部署与安全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本地应用由 FastAPI 提供同源工作台和接口，SQLite 保存账户、已确认上下文、研究运行与决策事件，并保留 PostgreSQL 适配。用户归属由服务端账户确定；Windows 本地凭据使用受保护存储，浏览器不保存明文密钥。访问审计记录请求方法、路径、结果与关联标识。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模块化单体是当前阶段的合理选择：它降低了竞赛环境中的部署和联调成本，并通过 Pydantic 契约、领域模块和事件记录维持可测试性。后续可按研究执行、数据 Provider 和历史服务的压力边界拆分。</w:t>
      </w:r>
    </w:p>
    <w:p>
      <w:pPr>
        <w:pStyle w:val="Heading1"/>
      </w:pPr>
      <w:r>
        <w:t>第六章 创新亮点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的独特性不依赖某一个模型或某一项算法，而在于把画像、授权、持仓、研究、计算、审查和回执放入同一条状态化决策链。产品 PRD 中的 19 题问卷、8 维画像、6 类投顾任务、持仓适配度、五步协作过程和全局授权开关，在工程层分别对应版本化上下文、能力路由、证据型研究、确定性计算和建议资格审查。任一关键条件变化，相关分析都需要重新计算或降级，不继续沿用旧结论。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70"/>
      </w:tblPr>
      <w:tblGrid>
        <w:gridCol w:w="1328"/>
        <w:gridCol w:w="1328"/>
        <w:gridCol w:w="1328"/>
        <w:gridCol w:w="1328"/>
        <w:gridCol w:w="1328"/>
        <w:gridCol w:w="1328"/>
        <w:gridCol w:w="1330"/>
      </w:tblGrid>
      <w:tr>
        <w:tc>
          <w:tcPr>
            <w:tcW w:type="dxa" w:w="1328"/>
            <w:shd w:fill="EEF4F8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问卷持仓授权</w:t>
              <w:br/>
              <w:t>→</w:t>
            </w:r>
          </w:p>
        </w:tc>
        <w:tc>
          <w:tcPr>
            <w:tcW w:type="dxa" w:w="1328"/>
            <w:shd w:fill="F7F2EA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画像上下文</w:t>
              <w:br/>
              <w:t>→</w:t>
            </w:r>
          </w:p>
        </w:tc>
        <w:tc>
          <w:tcPr>
            <w:tcW w:type="dxa" w:w="1328"/>
            <w:shd w:fill="EEF4F8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能力路由</w:t>
              <w:br/>
              <w:t>→</w:t>
            </w:r>
          </w:p>
        </w:tc>
        <w:tc>
          <w:tcPr>
            <w:tcW w:type="dxa" w:w="1328"/>
            <w:shd w:fill="F7F2EA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证据研究</w:t>
              <w:br/>
              <w:t>→</w:t>
            </w:r>
          </w:p>
        </w:tc>
        <w:tc>
          <w:tcPr>
            <w:tcW w:type="dxa" w:w="1328"/>
            <w:shd w:fill="EEF4F8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组合计算</w:t>
              <w:br/>
              <w:t>→</w:t>
            </w:r>
          </w:p>
        </w:tc>
        <w:tc>
          <w:tcPr>
            <w:tcW w:type="dxa" w:w="1328"/>
            <w:shd w:fill="F7F2EA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双重审查</w:t>
              <w:br/>
              <w:t>→</w:t>
            </w:r>
          </w:p>
        </w:tc>
        <w:tc>
          <w:tcPr>
            <w:tcW w:type="dxa" w:w="1330"/>
            <w:shd w:fill="EEF4F8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回执复盘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6-1 Prism 个性化投顾闭环</w:t>
      </w:r>
    </w:p>
    <w:p>
      <w:pPr>
        <w:pStyle w:val="Heading2"/>
      </w:pPr>
      <w:r>
        <w:t>一、 投资画像编译为全局运行参数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PRD 将 19 题问卷划分为 6 个部分，并形成风险承受、投资经验、交易活跃、自主研究、信息投入、AI 信任、个性需求和辅助需求 8 个量化维度。Prism 在此基础上生成 C1 至 C5 风险等级、投资者原型、画像标签、服务策略、推荐智能体和建议资产配置。画像不是仅供展示的用户标签，而是后续计算和产品行为的共同输入。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用户重新测评后，画像变化同步作用于顶栏、AI 对话侧栏、个人中心、持仓适配度、风险预算和再平衡复核。与只在会话提示词中附加“保守型”标签的做法相比，Prism 让同一画像版本在交互层、计算层和审查层保持一致，避免页面推荐与组合风险判断使用不同用户条件。</w:t>
      </w:r>
    </w:p>
    <w:p>
      <w:pPr>
        <w:pStyle w:val="Heading2"/>
      </w:pPr>
      <w:r>
        <w:t>二、 场景状态与授权共同驱动能力路由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系统不会把所有问题交给同一条通用问答链路。大盘、行业、个股、ETF 与基金、可转债、资产重组优化分别进入对应专业任务；资产重组优化先检查持仓是否存在，无持仓时转入导入流程；券商持仓和实时行情授权关闭后，相关数据能力随之停止；未知标的或指数只进入标明边界的定性模式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这种路由同时考虑用户意图、当前业务状态和数据授权。常见金融问答产品通常只根据文本识别主题，Prism 进一步判断当前条件是否足以执行任务，并明确给出补充数据、切换工具页、降级分析或停止执行的结果。</w:t>
      </w:r>
    </w:p>
    <w:p>
      <w:pPr>
        <w:pStyle w:val="Heading2"/>
      </w:pPr>
      <w:r>
        <w:t>三、 对话入口与专业工具形成双向闭环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AI 对话承担统一入口，持仓分析、大盘鉴别和个人中心承担结构化操作。用户可以从大盘页面把当前指数带回 AI 对话继续追问，也可以从对话中的资产重组请求跳转持仓导入；对话右侧持续显示画像和持仓速览，快捷能力直接切换六类专业模式。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因此同时保留自然语言的低门槛和专业工具的确定性。它不同于仅提供聊天窗口的金融助手，也不同于只能在固定表单中生成报告的规则型投顾：对话负责表达问题，工具页负责确认状态和数据，二者共享同一用户上下文。</w:t>
      </w:r>
    </w:p>
    <w:p>
      <w:pPr>
        <w:pStyle w:val="Heading2"/>
      </w:pPr>
      <w:r>
        <w:t>四、 画像适配度连接个人约束与真实持仓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风险测评与持仓分析不是两个独立模块。系统将非可转债权益市值占比与画像建议权益区间直接比较，并将单一资产、行业、科技行业和未分类暴露纳入风险预算。持仓变化、报价刷新或画像重测都会触发适配度和风险事实重新计算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这一机制把“用户能承受什么风险”与“用户实际上承担了什么风险”放在同一界面和同一计算口径下。传统风险问卷通常只决定产品风险等级，传统持仓工具通常只展示盈亏和占比；Prism 用画像预算解释持仓偏离，并把偏离结果继续传递给研究和再平衡流程。</w:t>
      </w:r>
    </w:p>
    <w:p>
      <w:pPr>
        <w:pStyle w:val="Heading2"/>
      </w:pPr>
      <w:r>
        <w:t>五、 多智能体协作过程可观察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PRD 明确展示意图理解与画像匹配、实时数据检索、多智能体协同分析、交叉验证与一致性校验、合规审查与风险提示五个阶段。工程实现进一步使用 DAG 管理依赖和并行节点，记录 READY、RUNNING、REVIEW_REQUIRED、BLOCKED 和 COMPLETED 状态。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用户看到的不只是等待动画，还能判断任务正在获取什么数据、哪些节点已经完成、哪项依赖导致复核或阻断。相比只返回最终文本的助手，该机制使多智能体协作具有可观测的执行过程，便于发现缺项、定位失败并恢复任务。</w:t>
      </w:r>
    </w:p>
    <w:p>
      <w:pPr>
        <w:pStyle w:val="Heading2"/>
      </w:pPr>
      <w:r>
        <w:t>六、 证据等级决定结论能否升级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专业节点按 Evidence、Fact、Finding、Recommendation 四层对象输出结果。Evidence 保存来源、字段、观察时间和单位；Fact 必须引用有效证据；Finding 必须引用闭合事实；Recommendation 只有通过风险与合规审查后才能形成。多个节点表达相同观点不会自动提高可信度，系统还要检查引用关系和来源独立性。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该机制把“多智能体一致”与“事实成立”区分开。常见多智能体方案容易把多数意见当作正确答案，Prism 要求结论能够回到原始记录，并在来源冲突、时间过期或字段缺失时降低结论等级。</w:t>
      </w:r>
    </w:p>
    <w:p>
      <w:pPr>
        <w:pStyle w:val="Heading2"/>
      </w:pPr>
      <w:r>
        <w:t>七、 大模型与金融计算物理隔离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LLM 负责意图识别、槽位解析、追问澄清和通俗解释；确定性引擎使用 Decimal、明确公式和领域规则计算市值、盈亏、权重、暴露、HHI、风险预算、情景变化和再平衡数量。模型不能直接生成基金穿透结果、权重守恒或调仓股数。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这一边界使金融数值具备固定分母、精度、阈值和规则版本，能够通过单元测试和案例回放复算。模型替换只影响语言理解与表达，不改变底层计算口径，也不会绕过适当性和合规规则。</w:t>
      </w:r>
    </w:p>
    <w:p>
      <w:pPr>
        <w:pStyle w:val="Heading2"/>
      </w:pPr>
      <w:r>
        <w:t>八、 建议资格先于建议生成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先判断系统是否具备生成建议的资格，再决定输出内容。数据状态严格区分 SUCCESS、PARTIAL、EMPTY 和 FAILED；风险闸门核对画像、持仓、预算和配置结果，合规闸门核对事实引用、风险揭示和禁止表述。任一闸门未通过，系统只能返回 REVIEW_REQUIRED 或 BLOCKED，不生成完整建议。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通过后的 DecisionReceipt 绑定画像版本、持仓快照、研究结果、证据引用、闸门状态和规则版本；DecisionEvent 保存通过、复核或阻断事件。与在生成文本后追加免责声明相比，该机制将合规要求放在建议生成之前，并能够解释一条建议在什么条件下产生、何时失效。</w:t>
      </w:r>
    </w:p>
    <w:p>
      <w:pPr>
        <w:pStyle w:val="Heading2"/>
      </w:pPr>
      <w:r>
        <w:t>九、 典型产品形态差异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以下对比按产品机制归纳典型形态，不针对特定品牌作功能评价。Prism 的差异不在于单独拥有问卷、聊天或持仓页面，而在于这些能力使用同一画像和上下文版本，并通过明确的状态契约连接。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6-1 Prism 与典型智能投顾形态对比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979"/>
        <w:gridCol w:w="2447"/>
        <w:gridCol w:w="2447"/>
        <w:gridCol w:w="3425"/>
      </w:tblGrid>
      <w:tr>
        <w:trPr>
          <w:tblHeader w:val="true"/>
          <w:cantSplit w:val="true"/>
        </w:trPr>
        <w:tc>
          <w:tcPr>
            <w:tcW w:type="dxa" w:w="97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244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通用金融问答助手</w:t>
            </w:r>
          </w:p>
        </w:tc>
        <w:tc>
          <w:tcPr>
            <w:tcW w:type="dxa" w:w="244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规则型智能投顾工具</w:t>
            </w:r>
          </w:p>
        </w:tc>
        <w:tc>
          <w:tcPr>
            <w:tcW w:type="dxa" w:w="342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Prism</w:t>
            </w:r>
          </w:p>
        </w:tc>
      </w:tr>
      <w:tr>
        <w:trPr>
          <w:cantSplit w:val="true"/>
        </w:trPr>
        <w:tc>
          <w:tcPr>
            <w:tcW w:type="dxa" w:w="97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用户建模</w:t>
            </w:r>
          </w:p>
        </w:tc>
        <w:tc>
          <w:tcPr>
            <w:tcW w:type="dxa" w:w="24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通常依赖当前提问和少量偏好标签</w:t>
            </w:r>
          </w:p>
        </w:tc>
        <w:tc>
          <w:tcPr>
            <w:tcW w:type="dxa" w:w="24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问卷主要用于风险等级和组合模板</w:t>
            </w:r>
          </w:p>
        </w:tc>
        <w:tc>
          <w:tcPr>
            <w:tcW w:type="dxa" w:w="34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19 题、8 维画像形成全局运行参数</w:t>
            </w:r>
          </w:p>
        </w:tc>
      </w:tr>
      <w:tr>
        <w:trPr>
          <w:cantSplit w:val="true"/>
        </w:trPr>
        <w:tc>
          <w:tcPr>
            <w:tcW w:type="dxa" w:w="97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个性化范围</w:t>
            </w:r>
          </w:p>
        </w:tc>
        <w:tc>
          <w:tcPr>
            <w:tcW w:type="dxa" w:w="244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影响回答主题或表达方式</w:t>
            </w:r>
          </w:p>
        </w:tc>
        <w:tc>
          <w:tcPr>
            <w:tcW w:type="dxa" w:w="244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主要影响资产配置区间</w:t>
            </w:r>
          </w:p>
        </w:tc>
        <w:tc>
          <w:tcPr>
            <w:tcW w:type="dxa" w:w="342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同时影响能力路由、风险预算、持仓适配和审查</w:t>
            </w:r>
          </w:p>
        </w:tc>
      </w:tr>
      <w:tr>
        <w:trPr>
          <w:cantSplit w:val="true"/>
        </w:trPr>
        <w:tc>
          <w:tcPr>
            <w:tcW w:type="dxa" w:w="97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交互形态</w:t>
            </w:r>
          </w:p>
        </w:tc>
        <w:tc>
          <w:tcPr>
            <w:tcW w:type="dxa" w:w="24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以单一聊天窗口为主</w:t>
            </w:r>
          </w:p>
        </w:tc>
        <w:tc>
          <w:tcPr>
            <w:tcW w:type="dxa" w:w="24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以固定表单和报告为主</w:t>
            </w:r>
          </w:p>
        </w:tc>
        <w:tc>
          <w:tcPr>
            <w:tcW w:type="dxa" w:w="34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对话入口与持仓、大盘、画像工具双向跳转</w:t>
            </w:r>
          </w:p>
        </w:tc>
      </w:tr>
      <w:tr>
        <w:trPr>
          <w:cantSplit w:val="true"/>
        </w:trPr>
        <w:tc>
          <w:tcPr>
            <w:tcW w:type="dxa" w:w="97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多场景协同</w:t>
            </w:r>
          </w:p>
        </w:tc>
        <w:tc>
          <w:tcPr>
            <w:tcW w:type="dxa" w:w="244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不同问题在同一问答链路处理</w:t>
            </w:r>
          </w:p>
        </w:tc>
        <w:tc>
          <w:tcPr>
            <w:tcW w:type="dxa" w:w="244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聚焦组合配置或产品匹配</w:t>
            </w:r>
          </w:p>
        </w:tc>
        <w:tc>
          <w:tcPr>
            <w:tcW w:type="dxa" w:w="342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六类专业任务由中央协调器统一编排</w:t>
            </w:r>
          </w:p>
        </w:tc>
      </w:tr>
      <w:tr>
        <w:trPr>
          <w:cantSplit w:val="true"/>
        </w:trPr>
        <w:tc>
          <w:tcPr>
            <w:tcW w:type="dxa" w:w="97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数据条件处理</w:t>
            </w:r>
          </w:p>
        </w:tc>
        <w:tc>
          <w:tcPr>
            <w:tcW w:type="dxa" w:w="24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数据不足时追问或给出概括性回答</w:t>
            </w:r>
          </w:p>
        </w:tc>
        <w:tc>
          <w:tcPr>
            <w:tcW w:type="dxa" w:w="24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缺少必要数据时停止测算</w:t>
            </w:r>
          </w:p>
        </w:tc>
        <w:tc>
          <w:tcPr>
            <w:tcW w:type="dxa" w:w="34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状态与授权共同路由，明确补充、降级或阻断</w:t>
            </w:r>
          </w:p>
        </w:tc>
      </w:tr>
      <w:tr>
        <w:trPr>
          <w:cantSplit w:val="true"/>
        </w:trPr>
        <w:tc>
          <w:tcPr>
            <w:tcW w:type="dxa" w:w="97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过程透明度</w:t>
            </w:r>
          </w:p>
        </w:tc>
        <w:tc>
          <w:tcPr>
            <w:tcW w:type="dxa" w:w="244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主要展示最终回复</w:t>
            </w:r>
          </w:p>
        </w:tc>
        <w:tc>
          <w:tcPr>
            <w:tcW w:type="dxa" w:w="244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主要展示规则结果</w:t>
            </w:r>
          </w:p>
        </w:tc>
        <w:tc>
          <w:tcPr>
            <w:tcW w:type="dxa" w:w="342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展示五步协作、节点状态、数据来源和审查状态</w:t>
            </w:r>
          </w:p>
        </w:tc>
      </w:tr>
      <w:tr>
        <w:trPr>
          <w:cantSplit w:val="true"/>
        </w:trPr>
        <w:tc>
          <w:tcPr>
            <w:tcW w:type="dxa" w:w="97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金融计算</w:t>
            </w:r>
          </w:p>
        </w:tc>
        <w:tc>
          <w:tcPr>
            <w:tcW w:type="dxa" w:w="24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可能与语言生成混合</w:t>
            </w:r>
          </w:p>
        </w:tc>
        <w:tc>
          <w:tcPr>
            <w:tcW w:type="dxa" w:w="24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使用固定规则计算</w:t>
            </w:r>
          </w:p>
        </w:tc>
        <w:tc>
          <w:tcPr>
            <w:tcW w:type="dxa" w:w="34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LLM 与确定性计算物理隔离，结果可复算</w:t>
            </w:r>
          </w:p>
        </w:tc>
      </w:tr>
      <w:tr>
        <w:trPr>
          <w:cantSplit w:val="true"/>
        </w:trPr>
        <w:tc>
          <w:tcPr>
            <w:tcW w:type="dxa" w:w="97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合规控制</w:t>
            </w:r>
          </w:p>
        </w:tc>
        <w:tc>
          <w:tcPr>
            <w:tcW w:type="dxa" w:w="244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常在结果末尾附加风险提示</w:t>
            </w:r>
          </w:p>
        </w:tc>
        <w:tc>
          <w:tcPr>
            <w:tcW w:type="dxa" w:w="244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以适当性匹配和固定披露为主</w:t>
            </w:r>
          </w:p>
        </w:tc>
        <w:tc>
          <w:tcPr>
            <w:tcW w:type="dxa" w:w="342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风险与合规双闸门在建议生成前独立裁决</w:t>
            </w:r>
          </w:p>
        </w:tc>
      </w:tr>
      <w:tr>
        <w:trPr>
          <w:cantSplit w:val="true"/>
        </w:trPr>
        <w:tc>
          <w:tcPr>
            <w:tcW w:type="dxa" w:w="97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历史复核</w:t>
            </w:r>
          </w:p>
        </w:tc>
        <w:tc>
          <w:tcPr>
            <w:tcW w:type="dxa" w:w="24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保存会话文本</w:t>
            </w:r>
          </w:p>
        </w:tc>
        <w:tc>
          <w:tcPr>
            <w:tcW w:type="dxa" w:w="24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保存测评或配置报告</w:t>
            </w:r>
          </w:p>
        </w:tc>
        <w:tc>
          <w:tcPr>
            <w:tcW w:type="dxa" w:w="34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保存画像、持仓、证据、规则和裁决的决策回执</w:t>
            </w:r>
          </w:p>
        </w:tc>
      </w:tr>
    </w:tbl>
    <w:p>
      <w:pPr>
        <w:spacing w:after="40"/>
      </w:pP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6-2 创新机制与可验证成果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845"/>
        <w:gridCol w:w="2053"/>
        <w:gridCol w:w="2536"/>
        <w:gridCol w:w="3864"/>
      </w:tblGrid>
      <w:tr>
        <w:trPr>
          <w:tblHeader w:val="true"/>
          <w:cantSplit w:val="true"/>
        </w:trPr>
        <w:tc>
          <w:tcPr>
            <w:tcW w:type="dxa" w:w="84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创新机制</w:t>
            </w:r>
          </w:p>
        </w:tc>
        <w:tc>
          <w:tcPr>
            <w:tcW w:type="dxa" w:w="205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Prism 独特组合</w:t>
            </w:r>
          </w:p>
        </w:tc>
        <w:tc>
          <w:tcPr>
            <w:tcW w:type="dxa" w:w="253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PRD 中的产品依据</w:t>
            </w:r>
          </w:p>
        </w:tc>
        <w:tc>
          <w:tcPr>
            <w:tcW w:type="dxa" w:w="38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可验证成果</w:t>
            </w:r>
          </w:p>
        </w:tc>
      </w:tr>
      <w:tr>
        <w:trPr>
          <w:cantSplit w:val="true"/>
        </w:trPr>
        <w:tc>
          <w:tcPr>
            <w:tcW w:type="dxa" w:w="8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画像全局生效</w:t>
            </w:r>
          </w:p>
        </w:tc>
        <w:tc>
          <w:tcPr>
            <w:tcW w:type="dxa" w:w="205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画像同时进入交互、计算和审查</w:t>
            </w:r>
          </w:p>
        </w:tc>
        <w:tc>
          <w:tcPr>
            <w:tcW w:type="dxa" w:w="2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重测后全局刷新画像组件与持仓适配度</w:t>
            </w:r>
          </w:p>
        </w:tc>
        <w:tc>
          <w:tcPr>
            <w:tcW w:type="dxa" w:w="38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同一版本在不同页面得到一致风险边界</w:t>
            </w:r>
          </w:p>
        </w:tc>
      </w:tr>
      <w:tr>
        <w:trPr>
          <w:cantSplit w:val="true"/>
        </w:trPr>
        <w:tc>
          <w:tcPr>
            <w:tcW w:type="dxa" w:w="84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条件化能力路由</w:t>
            </w:r>
          </w:p>
        </w:tc>
        <w:tc>
          <w:tcPr>
            <w:tcW w:type="dxa" w:w="205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意图、状态与授权共同决定执行路径</w:t>
            </w:r>
          </w:p>
        </w:tc>
        <w:tc>
          <w:tcPr>
            <w:tcW w:type="dxa" w:w="253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六类模式、持仓检查、授权开关和未知对象降级</w:t>
            </w:r>
          </w:p>
        </w:tc>
        <w:tc>
          <w:tcPr>
            <w:tcW w:type="dxa" w:w="386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无数据时转入补充流程，不伪造完整结论</w:t>
            </w:r>
          </w:p>
        </w:tc>
      </w:tr>
      <w:tr>
        <w:trPr>
          <w:cantSplit w:val="true"/>
        </w:trPr>
        <w:tc>
          <w:tcPr>
            <w:tcW w:type="dxa" w:w="8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对话工具闭环</w:t>
            </w:r>
          </w:p>
        </w:tc>
        <w:tc>
          <w:tcPr>
            <w:tcW w:type="dxa" w:w="205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自然语言与专业页面共享上下文</w:t>
            </w:r>
          </w:p>
        </w:tc>
        <w:tc>
          <w:tcPr>
            <w:tcW w:type="dxa" w:w="2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大盘追问、资产重组跳转、画像和持仓速览</w:t>
            </w:r>
          </w:p>
        </w:tc>
        <w:tc>
          <w:tcPr>
            <w:tcW w:type="dxa" w:w="38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问题、数据确认和继续追问连续衔接</w:t>
            </w:r>
          </w:p>
        </w:tc>
      </w:tr>
      <w:tr>
        <w:trPr>
          <w:cantSplit w:val="true"/>
        </w:trPr>
        <w:tc>
          <w:tcPr>
            <w:tcW w:type="dxa" w:w="84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画像持仓联动</w:t>
            </w:r>
          </w:p>
        </w:tc>
        <w:tc>
          <w:tcPr>
            <w:tcW w:type="dxa" w:w="205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画像预算与真实资产暴露持续比较</w:t>
            </w:r>
          </w:p>
        </w:tc>
        <w:tc>
          <w:tcPr>
            <w:tcW w:type="dxa" w:w="253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权益仓位适配条和持仓整体分析</w:t>
            </w:r>
          </w:p>
        </w:tc>
        <w:tc>
          <w:tcPr>
            <w:tcW w:type="dxa" w:w="386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直接显示偏离区间和影响来源</w:t>
            </w:r>
          </w:p>
        </w:tc>
      </w:tr>
      <w:tr>
        <w:trPr>
          <w:cantSplit w:val="true"/>
        </w:trPr>
        <w:tc>
          <w:tcPr>
            <w:tcW w:type="dxa" w:w="8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可观察编排</w:t>
            </w:r>
          </w:p>
        </w:tc>
        <w:tc>
          <w:tcPr>
            <w:tcW w:type="dxa" w:w="205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五步过程与 DAG 节点状态对应</w:t>
            </w:r>
          </w:p>
        </w:tc>
        <w:tc>
          <w:tcPr>
            <w:tcW w:type="dxa" w:w="2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协作过程、交叉验证和审查状态展示</w:t>
            </w:r>
          </w:p>
        </w:tc>
        <w:tc>
          <w:tcPr>
            <w:tcW w:type="dxa" w:w="38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可定位运行节点、缺项和阻断原因</w:t>
            </w:r>
          </w:p>
        </w:tc>
      </w:tr>
      <w:tr>
        <w:trPr>
          <w:cantSplit w:val="true"/>
        </w:trPr>
        <w:tc>
          <w:tcPr>
            <w:tcW w:type="dxa" w:w="84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证据型研究</w:t>
            </w:r>
          </w:p>
        </w:tc>
        <w:tc>
          <w:tcPr>
            <w:tcW w:type="dxa" w:w="205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结论升级取决于引用闭合而非节点票数</w:t>
            </w:r>
          </w:p>
        </w:tc>
        <w:tc>
          <w:tcPr>
            <w:tcW w:type="dxa" w:w="253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数据来源标签、交叉验证和合规状态</w:t>
            </w:r>
          </w:p>
        </w:tc>
        <w:tc>
          <w:tcPr>
            <w:tcW w:type="dxa" w:w="386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可从结论回查事实与原始证据</w:t>
            </w:r>
          </w:p>
        </w:tc>
      </w:tr>
      <w:tr>
        <w:trPr>
          <w:cantSplit w:val="true"/>
        </w:trPr>
        <w:tc>
          <w:tcPr>
            <w:tcW w:type="dxa" w:w="84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确定性计算隔离</w:t>
            </w:r>
          </w:p>
        </w:tc>
        <w:tc>
          <w:tcPr>
            <w:tcW w:type="dxa" w:w="205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语言模型不承担金额和风险裁决</w:t>
            </w:r>
          </w:p>
        </w:tc>
        <w:tc>
          <w:tcPr>
            <w:tcW w:type="dxa" w:w="253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持仓指标与风险画像规则均有明确口径</w:t>
            </w:r>
          </w:p>
        </w:tc>
        <w:tc>
          <w:tcPr>
            <w:tcW w:type="dxa" w:w="38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公式、精度、阈值和规则版本可复算</w:t>
            </w:r>
          </w:p>
        </w:tc>
      </w:tr>
      <w:tr>
        <w:trPr>
          <w:cantSplit w:val="true"/>
        </w:trPr>
        <w:tc>
          <w:tcPr>
            <w:tcW w:type="dxa" w:w="84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建议资格与回执</w:t>
            </w:r>
          </w:p>
        </w:tc>
        <w:tc>
          <w:tcPr>
            <w:tcW w:type="dxa" w:w="205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双闸门裁决后才生成版本化建议</w:t>
            </w:r>
          </w:p>
        </w:tc>
        <w:tc>
          <w:tcPr>
            <w:tcW w:type="dxa" w:w="253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全程风险提示、合规审查与不执行交易</w:t>
            </w:r>
          </w:p>
        </w:tc>
        <w:tc>
          <w:tcPr>
            <w:tcW w:type="dxa" w:w="386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PASS、REVIEW_REQUIRED、BLOCKED 可回放</w:t>
            </w:r>
          </w:p>
        </w:tc>
      </w:tr>
    </w:tbl>
    <w:p>
      <w:pPr>
        <w:spacing w:after="40"/>
      </w:pPr>
    </w:p>
    <w:p>
      <w:pPr>
        <w:pStyle w:val="Heading1"/>
      </w:pPr>
      <w:r>
        <w:t>第七章 系统验证与项目成果</w:t>
      </w:r>
    </w:p>
    <w:p>
      <w:pPr>
        <w:pStyle w:val="Heading2"/>
      </w:pPr>
      <w:r>
        <w:t>一、 典型组合案例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本案例使用项目保存的正式组合报告，回答“当前组合有哪些风险需要关注”。报告生成于 2026 年 9 月 15 日 07:42:36 UTC，使用成长型画像，风险分数为 85，适当性等级为 C5。金额单位均为人民币元，价格仅对应报告时点。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7-1 案例持仓与市值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1328"/>
        <w:gridCol w:w="1328"/>
        <w:gridCol w:w="2125"/>
        <w:gridCol w:w="2656"/>
        <w:gridCol w:w="1861"/>
      </w:tblGrid>
      <w:tr>
        <w:trPr>
          <w:tblHeader w:val="true"/>
          <w:cantSplit w:val="true"/>
        </w:trPr>
        <w:tc>
          <w:tcPr>
            <w:tcW w:type="dxa" w:w="13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证券</w:t>
            </w:r>
          </w:p>
        </w:tc>
        <w:tc>
          <w:tcPr>
            <w:tcW w:type="dxa" w:w="13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数量（股）</w:t>
            </w:r>
          </w:p>
        </w:tc>
        <w:tc>
          <w:tcPr>
            <w:tcW w:type="dxa" w:w="212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报告价格（元）</w:t>
            </w:r>
          </w:p>
        </w:tc>
        <w:tc>
          <w:tcPr>
            <w:tcW w:type="dxa" w:w="26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市值（元）</w:t>
            </w:r>
          </w:p>
        </w:tc>
        <w:tc>
          <w:tcPr>
            <w:tcW w:type="dxa" w:w="186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占证券持仓比例</w:t>
            </w:r>
          </w:p>
        </w:tc>
      </w:tr>
      <w:tr>
        <w:trPr>
          <w:cantSplit w:val="true"/>
        </w:trPr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宁德时代</w:t>
            </w:r>
          </w:p>
        </w:tc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1,000</w:t>
            </w:r>
          </w:p>
        </w:tc>
        <w:tc>
          <w:tcPr>
            <w:tcW w:type="dxa" w:w="21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316.36</w:t>
            </w:r>
          </w:p>
        </w:tc>
        <w:tc>
          <w:tcPr>
            <w:tcW w:type="dxa" w:w="2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316,360.00</w:t>
            </w:r>
          </w:p>
        </w:tc>
        <w:tc>
          <w:tcPr>
            <w:tcW w:type="dxa" w:w="18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22.32%</w:t>
            </w:r>
          </w:p>
        </w:tc>
      </w:tr>
      <w:tr>
        <w:trPr>
          <w:cantSplit w:val="true"/>
        </w:trPr>
        <w:tc>
          <w:tcPr>
            <w:tcW w:type="dxa" w:w="13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贵州茅台</w:t>
            </w:r>
          </w:p>
        </w:tc>
        <w:tc>
          <w:tcPr>
            <w:tcW w:type="dxa" w:w="13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600</w:t>
            </w:r>
          </w:p>
        </w:tc>
        <w:tc>
          <w:tcPr>
            <w:tcW w:type="dxa" w:w="212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1,272.75</w:t>
            </w:r>
          </w:p>
        </w:tc>
        <w:tc>
          <w:tcPr>
            <w:tcW w:type="dxa" w:w="2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763,650.00</w:t>
            </w:r>
          </w:p>
        </w:tc>
        <w:tc>
          <w:tcPr>
            <w:tcW w:type="dxa" w:w="186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53.87%</w:t>
            </w:r>
          </w:p>
        </w:tc>
      </w:tr>
      <w:tr>
        <w:trPr>
          <w:cantSplit w:val="true"/>
        </w:trPr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中芯国际</w:t>
            </w:r>
          </w:p>
        </w:tc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2,000</w:t>
            </w:r>
          </w:p>
        </w:tc>
        <w:tc>
          <w:tcPr>
            <w:tcW w:type="dxa" w:w="21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114.86</w:t>
            </w:r>
          </w:p>
        </w:tc>
        <w:tc>
          <w:tcPr>
            <w:tcW w:type="dxa" w:w="2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229,720.00</w:t>
            </w:r>
          </w:p>
        </w:tc>
        <w:tc>
          <w:tcPr>
            <w:tcW w:type="dxa" w:w="18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16.21%</w:t>
            </w:r>
          </w:p>
        </w:tc>
      </w:tr>
      <w:tr>
        <w:trPr>
          <w:cantSplit w:val="true"/>
        </w:trPr>
        <w:tc>
          <w:tcPr>
            <w:tcW w:type="dxa" w:w="13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中国平安</w:t>
            </w:r>
          </w:p>
        </w:tc>
        <w:tc>
          <w:tcPr>
            <w:tcW w:type="dxa" w:w="13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800</w:t>
            </w:r>
          </w:p>
        </w:tc>
        <w:tc>
          <w:tcPr>
            <w:tcW w:type="dxa" w:w="212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53.90</w:t>
            </w:r>
          </w:p>
        </w:tc>
        <w:tc>
          <w:tcPr>
            <w:tcW w:type="dxa" w:w="2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43,120.00</w:t>
            </w:r>
          </w:p>
        </w:tc>
        <w:tc>
          <w:tcPr>
            <w:tcW w:type="dxa" w:w="186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3.04%</w:t>
            </w:r>
          </w:p>
        </w:tc>
      </w:tr>
      <w:tr>
        <w:trPr>
          <w:cantSplit w:val="true"/>
        </w:trPr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恒瑞医药</w:t>
            </w:r>
          </w:p>
        </w:tc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1,500</w:t>
            </w:r>
          </w:p>
        </w:tc>
        <w:tc>
          <w:tcPr>
            <w:tcW w:type="dxa" w:w="21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43.13</w:t>
            </w:r>
          </w:p>
        </w:tc>
        <w:tc>
          <w:tcPr>
            <w:tcW w:type="dxa" w:w="2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64,695.00</w:t>
            </w:r>
          </w:p>
        </w:tc>
        <w:tc>
          <w:tcPr>
            <w:tcW w:type="dxa" w:w="18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4.56%</w:t>
            </w:r>
          </w:p>
        </w:tc>
      </w:tr>
    </w:tbl>
    <w:p>
      <w:pPr>
        <w:spacing w:after="40"/>
      </w:pP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证券市值合计 1,417,545.00 元，现金 28,000.00 元，含现金总资产 1,445,545.00 元。贵州茅台占证券持仓 53.87%，占含现金总资产 52.83%，超过成长型画像 50% 的单一资产上限。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7-2 案例风险检查结果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1458"/>
        <w:gridCol w:w="1458"/>
        <w:gridCol w:w="2735"/>
        <w:gridCol w:w="1823"/>
        <w:gridCol w:w="1824"/>
      </w:tblGrid>
      <w:tr>
        <w:trPr>
          <w:tblHeader w:val="true"/>
          <w:cantSplit w:val="true"/>
        </w:trPr>
        <w:tc>
          <w:tcPr>
            <w:tcW w:type="dxa" w:w="145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45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观察值</w:t>
            </w:r>
          </w:p>
        </w:tc>
        <w:tc>
          <w:tcPr>
            <w:tcW w:type="dxa" w:w="273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适用规则</w:t>
            </w:r>
          </w:p>
        </w:tc>
        <w:tc>
          <w:tcPr>
            <w:tcW w:type="dxa" w:w="182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裁决</w:t>
            </w:r>
          </w:p>
        </w:tc>
        <w:tc>
          <w:tcPr>
            <w:tcW w:type="dxa" w:w="18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业务解释</w:t>
            </w:r>
          </w:p>
        </w:tc>
      </w:tr>
      <w:tr>
        <w:trPr>
          <w:cantSplit w:val="true"/>
        </w:trPr>
        <w:tc>
          <w:tcPr>
            <w:tcW w:type="dxa" w:w="1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单一资产占比</w:t>
            </w:r>
          </w:p>
        </w:tc>
        <w:tc>
          <w:tcPr>
            <w:tcW w:type="dxa" w:w="1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52.83%</w:t>
            </w:r>
          </w:p>
        </w:tc>
        <w:tc>
          <w:tcPr>
            <w:tcW w:type="dxa" w:w="27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含现金总资产口径，上限 50%</w:t>
            </w:r>
          </w:p>
        </w:tc>
        <w:tc>
          <w:tcPr>
            <w:tcW w:type="dxa" w:w="182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OVERBOUND</w:t>
            </w:r>
          </w:p>
        </w:tc>
        <w:tc>
          <w:tcPr>
            <w:tcW w:type="dxa" w:w="18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单一标的超过画像预算</w:t>
            </w:r>
          </w:p>
        </w:tc>
      </w:tr>
      <w:tr>
        <w:trPr>
          <w:cantSplit w:val="true"/>
        </w:trPr>
        <w:tc>
          <w:tcPr>
            <w:tcW w:type="dxa" w:w="1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权益类资产占比</w:t>
            </w:r>
          </w:p>
        </w:tc>
        <w:tc>
          <w:tcPr>
            <w:tcW w:type="dxa" w:w="1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98.06%</w:t>
            </w:r>
          </w:p>
        </w:tc>
        <w:tc>
          <w:tcPr>
            <w:tcW w:type="dxa" w:w="273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配置参考区间 70%–90%</w:t>
            </w:r>
          </w:p>
        </w:tc>
        <w:tc>
          <w:tcPr>
            <w:tcW w:type="dxa" w:w="182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OVERBOUND</w:t>
            </w:r>
          </w:p>
        </w:tc>
        <w:tc>
          <w:tcPr>
            <w:tcW w:type="dxa" w:w="18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权益资产占用较高</w:t>
            </w:r>
          </w:p>
        </w:tc>
      </w:tr>
      <w:tr>
        <w:trPr>
          <w:cantSplit w:val="true"/>
        </w:trPr>
        <w:tc>
          <w:tcPr>
            <w:tcW w:type="dxa" w:w="1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现金占比</w:t>
            </w:r>
          </w:p>
        </w:tc>
        <w:tc>
          <w:tcPr>
            <w:tcW w:type="dxa" w:w="1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1.94%</w:t>
            </w:r>
          </w:p>
        </w:tc>
        <w:tc>
          <w:tcPr>
            <w:tcW w:type="dxa" w:w="27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报告检查下限 5.00%</w:t>
            </w:r>
          </w:p>
        </w:tc>
        <w:tc>
          <w:tcPr>
            <w:tcW w:type="dxa" w:w="182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OVERBOUND</w:t>
            </w:r>
          </w:p>
        </w:tc>
        <w:tc>
          <w:tcPr>
            <w:tcW w:type="dxa" w:w="18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流动性缓冲不足</w:t>
            </w:r>
          </w:p>
        </w:tc>
      </w:tr>
      <w:tr>
        <w:trPr>
          <w:cantSplit w:val="true"/>
        </w:trPr>
        <w:tc>
          <w:tcPr>
            <w:tcW w:type="dxa" w:w="1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证券资产 HHI</w:t>
            </w:r>
          </w:p>
        </w:tc>
        <w:tc>
          <w:tcPr>
            <w:tcW w:type="dxa" w:w="1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3,692.96</w:t>
            </w:r>
          </w:p>
        </w:tc>
        <w:tc>
          <w:tcPr>
            <w:tcW w:type="dxa" w:w="273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同一报告口径计算</w:t>
            </w:r>
          </w:p>
        </w:tc>
        <w:tc>
          <w:tcPr>
            <w:tcW w:type="dxa" w:w="182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CALCULATED</w:t>
            </w:r>
          </w:p>
        </w:tc>
        <w:tc>
          <w:tcPr>
            <w:tcW w:type="dxa" w:w="18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证券持仓集中度较高</w:t>
            </w:r>
          </w:p>
        </w:tc>
      </w:tr>
      <w:tr>
        <w:trPr>
          <w:cantSplit w:val="true"/>
        </w:trPr>
        <w:tc>
          <w:tcPr>
            <w:tcW w:type="dxa" w:w="1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行业风险 HHI</w:t>
            </w:r>
          </w:p>
        </w:tc>
        <w:tc>
          <w:tcPr>
            <w:tcW w:type="dxa" w:w="1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3,555.39</w:t>
            </w:r>
          </w:p>
        </w:tc>
        <w:tc>
          <w:tcPr>
            <w:tcW w:type="dxa" w:w="27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检查上限 2,500.00</w:t>
            </w:r>
          </w:p>
        </w:tc>
        <w:tc>
          <w:tcPr>
            <w:tcW w:type="dxa" w:w="182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OVERBOUND</w:t>
            </w:r>
          </w:p>
        </w:tc>
        <w:tc>
          <w:tcPr>
            <w:tcW w:type="dxa" w:w="18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行业分布需要复核</w:t>
            </w:r>
          </w:p>
        </w:tc>
      </w:tr>
      <w:tr>
        <w:trPr>
          <w:cantSplit w:val="true"/>
        </w:trPr>
        <w:tc>
          <w:tcPr>
            <w:tcW w:type="dxa" w:w="1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最大行业占比</w:t>
            </w:r>
          </w:p>
        </w:tc>
        <w:tc>
          <w:tcPr>
            <w:tcW w:type="dxa" w:w="1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52.83%</w:t>
            </w:r>
          </w:p>
        </w:tc>
        <w:tc>
          <w:tcPr>
            <w:tcW w:type="dxa" w:w="273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成长型行业上限 60%</w:t>
            </w:r>
          </w:p>
        </w:tc>
        <w:tc>
          <w:tcPr>
            <w:tcW w:type="dxa" w:w="182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PASS</w:t>
            </w:r>
          </w:p>
        </w:tc>
        <w:tc>
          <w:tcPr>
            <w:tcW w:type="dxa" w:w="18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单项行业上限检查通过</w:t>
            </w:r>
          </w:p>
        </w:tc>
      </w:tr>
    </w:tbl>
    <w:p>
      <w:pPr>
        <w:spacing w:after="40"/>
      </w:pP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 xml:space="preserve">该案例最终状态为 </w:t>
      </w:r>
      <w:r>
        <w:rPr>
          <w:rFonts w:ascii="Consolas" w:hAnsi="Consolas" w:eastAsia="等线"/>
          <w:color w:val="243B53"/>
          <w:sz w:val="19"/>
          <w:shd w:fill="F2F2F2"/>
        </w:rPr>
        <w:t>REVIEW_REQUIRED</w:t>
      </w:r>
      <w:r>
        <w:rPr>
          <w:rFonts w:ascii="Times New Roman" w:hAnsi="Times New Roman" w:eastAsia="宋体"/>
          <w:color w:val="1F1F1F"/>
          <w:sz w:val="21"/>
        </w:rPr>
        <w:t>。最大行业占比通过不代表整个组合无风险；系统保留各项独立裁决，避免用单一指标覆盖其他超限事实。</w:t>
      </w:r>
    </w:p>
    <w:p>
      <w:pPr>
        <w:pStyle w:val="Heading2"/>
      </w:pPr>
      <w:r>
        <w:t>二、 验证体系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7-3 验证对象与方法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930"/>
        <w:gridCol w:w="3874"/>
        <w:gridCol w:w="2789"/>
        <w:gridCol w:w="1705"/>
      </w:tblGrid>
      <w:tr>
        <w:trPr>
          <w:tblHeader w:val="true"/>
          <w:cantSplit w:val="true"/>
        </w:trPr>
        <w:tc>
          <w:tcPr>
            <w:tcW w:type="dxa" w:w="93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验证类别</w:t>
            </w:r>
          </w:p>
        </w:tc>
        <w:tc>
          <w:tcPr>
            <w:tcW w:type="dxa" w:w="387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主要对象</w:t>
            </w:r>
          </w:p>
        </w:tc>
        <w:tc>
          <w:tcPr>
            <w:tcW w:type="dxa" w:w="278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判定方法</w:t>
            </w:r>
          </w:p>
        </w:tc>
        <w:tc>
          <w:tcPr>
            <w:tcW w:type="dxa" w:w="170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能够证明的范围</w:t>
            </w:r>
          </w:p>
        </w:tc>
      </w:tr>
      <w:tr>
        <w:trPr>
          <w:cantSplit w:val="true"/>
        </w:trPr>
        <w:tc>
          <w:tcPr>
            <w:tcW w:type="dxa" w:w="93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单元测试</w:t>
            </w:r>
          </w:p>
        </w:tc>
        <w:tc>
          <w:tcPr>
            <w:tcW w:type="dxa" w:w="38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画像、暴露、预算、证据、闸门和再平衡</w:t>
            </w:r>
          </w:p>
        </w:tc>
        <w:tc>
          <w:tcPr>
            <w:tcW w:type="dxa" w:w="27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固定输入检查公式、阈值和异常</w:t>
            </w:r>
          </w:p>
        </w:tc>
        <w:tc>
          <w:tcPr>
            <w:tcW w:type="dxa" w:w="17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领域规则与契约正确性</w:t>
            </w:r>
          </w:p>
        </w:tc>
      </w:tr>
      <w:tr>
        <w:trPr>
          <w:cantSplit w:val="true"/>
        </w:trPr>
        <w:tc>
          <w:tcPr>
            <w:tcW w:type="dxa" w:w="93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集成测试</w:t>
            </w:r>
          </w:p>
        </w:tc>
        <w:tc>
          <w:tcPr>
            <w:tcW w:type="dxa" w:w="387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上下文、研究、组合、历史和接口</w:t>
            </w:r>
          </w:p>
        </w:tc>
        <w:tc>
          <w:tcPr>
            <w:tcW w:type="dxa" w:w="278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检查跨模块输入输出及用户归属</w:t>
            </w:r>
          </w:p>
        </w:tc>
        <w:tc>
          <w:tcPr>
            <w:tcW w:type="dxa" w:w="170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服务协作与持久化一致性</w:t>
            </w:r>
          </w:p>
        </w:tc>
      </w:tr>
      <w:tr>
        <w:trPr>
          <w:cantSplit w:val="true"/>
        </w:trPr>
        <w:tc>
          <w:tcPr>
            <w:tcW w:type="dxa" w:w="93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浏览器测试</w:t>
            </w:r>
          </w:p>
        </w:tc>
        <w:tc>
          <w:tcPr>
            <w:tcW w:type="dxa" w:w="38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导航、对话、页面状态和结果展开</w:t>
            </w:r>
          </w:p>
        </w:tc>
        <w:tc>
          <w:tcPr>
            <w:tcW w:type="dxa" w:w="27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执行真实页面操作路径</w:t>
            </w:r>
          </w:p>
        </w:tc>
        <w:tc>
          <w:tcPr>
            <w:tcW w:type="dxa" w:w="17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当前用户交互可用性</w:t>
            </w:r>
          </w:p>
        </w:tc>
      </w:tr>
      <w:tr>
        <w:trPr>
          <w:cantSplit w:val="true"/>
        </w:trPr>
        <w:tc>
          <w:tcPr>
            <w:tcW w:type="dxa" w:w="93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固定案例回放</w:t>
            </w:r>
          </w:p>
        </w:tc>
        <w:tc>
          <w:tcPr>
            <w:tcW w:type="dxa" w:w="387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九个版本化评测案例</w:t>
            </w:r>
          </w:p>
        </w:tc>
        <w:tc>
          <w:tcPr>
            <w:tcW w:type="dxa" w:w="278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重复运行并比较语义结果</w:t>
            </w:r>
          </w:p>
        </w:tc>
        <w:tc>
          <w:tcPr>
            <w:tcW w:type="dxa" w:w="170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规则与状态的确定性</w:t>
            </w:r>
          </w:p>
        </w:tc>
      </w:tr>
      <w:tr>
        <w:trPr>
          <w:cantSplit w:val="true"/>
        </w:trPr>
        <w:tc>
          <w:tcPr>
            <w:tcW w:type="dxa" w:w="93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故障注入</w:t>
            </w:r>
          </w:p>
        </w:tc>
        <w:tc>
          <w:tcPr>
            <w:tcW w:type="dxa" w:w="38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PARTIAL、EMPTY、FAILED、来源冲突</w:t>
            </w:r>
          </w:p>
        </w:tc>
        <w:tc>
          <w:tcPr>
            <w:tcW w:type="dxa" w:w="27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验证降级、阻断和错误传播</w:t>
            </w:r>
          </w:p>
        </w:tc>
        <w:tc>
          <w:tcPr>
            <w:tcW w:type="dxa" w:w="17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异常状态处理能力</w:t>
            </w:r>
          </w:p>
        </w:tc>
      </w:tr>
      <w:tr>
        <w:trPr>
          <w:cantSplit w:val="true"/>
        </w:trPr>
        <w:tc>
          <w:tcPr>
            <w:tcW w:type="dxa" w:w="93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负载观测</w:t>
            </w:r>
          </w:p>
        </w:tc>
        <w:tc>
          <w:tcPr>
            <w:tcW w:type="dxa" w:w="387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本地 HTTP 读取接口</w:t>
            </w:r>
          </w:p>
        </w:tc>
        <w:tc>
          <w:tcPr>
            <w:tcW w:type="dxa" w:w="278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记录成功率与 P50、P95、P99</w:t>
            </w:r>
          </w:p>
        </w:tc>
        <w:tc>
          <w:tcPr>
            <w:tcW w:type="dxa" w:w="170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指定环境和接口的性能</w:t>
            </w:r>
          </w:p>
        </w:tc>
      </w:tr>
    </w:tbl>
    <w:p>
      <w:pPr>
        <w:spacing w:after="40"/>
      </w:pPr>
    </w:p>
    <w:p>
      <w:pPr>
        <w:pStyle w:val="Heading2"/>
      </w:pPr>
      <w:r>
        <w:t>三、 当前成果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7-4 已实现成果与核验材料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522"/>
        <w:gridCol w:w="3656"/>
        <w:gridCol w:w="2507"/>
        <w:gridCol w:w="2613"/>
      </w:tblGrid>
      <w:tr>
        <w:trPr>
          <w:tblHeader w:val="true"/>
          <w:cantSplit w:val="true"/>
        </w:trPr>
        <w:tc>
          <w:tcPr>
            <w:tcW w:type="dxa" w:w="52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成果</w:t>
            </w:r>
          </w:p>
        </w:tc>
        <w:tc>
          <w:tcPr>
            <w:tcW w:type="dxa" w:w="36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当前实现</w:t>
            </w:r>
          </w:p>
        </w:tc>
        <w:tc>
          <w:tcPr>
            <w:tcW w:type="dxa" w:w="250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可见结果</w:t>
            </w:r>
          </w:p>
        </w:tc>
        <w:tc>
          <w:tcPr>
            <w:tcW w:type="dxa" w:w="261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工程依据</w:t>
            </w:r>
          </w:p>
        </w:tc>
      </w:tr>
      <w:tr>
        <w:trPr>
          <w:cantSplit w:val="true"/>
        </w:trPr>
        <w:tc>
          <w:tcPr>
            <w:tcW w:type="dxa" w:w="5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个性化画像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19 题问卷、候选提案、行为证据</w:t>
            </w:r>
          </w:p>
        </w:tc>
        <w:tc>
          <w:tcPr>
            <w:tcW w:type="dxa" w:w="25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风险等级、维度解释和预算</w:t>
            </w:r>
          </w:p>
        </w:tc>
        <w:tc>
          <w:tcPr>
            <w:tcW w:type="dxa" w:w="261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画像模块与对应测试</w:t>
            </w:r>
          </w:p>
        </w:tc>
      </w:tr>
      <w:tr>
        <w:trPr>
          <w:cantSplit w:val="true"/>
        </w:trPr>
        <w:tc>
          <w:tcPr>
            <w:tcW w:type="dxa" w:w="52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多场景研究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大盘、行业、个股、基金、转债任务</w:t>
            </w:r>
          </w:p>
        </w:tc>
        <w:tc>
          <w:tcPr>
            <w:tcW w:type="dxa" w:w="250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研究节点、数据状态和 Evidence Card</w:t>
            </w:r>
          </w:p>
        </w:tc>
        <w:tc>
          <w:tcPr>
            <w:tcW w:type="dxa" w:w="261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研究服务与专项测试</w:t>
            </w:r>
          </w:p>
        </w:tc>
      </w:tr>
      <w:tr>
        <w:trPr>
          <w:cantSplit w:val="true"/>
        </w:trPr>
        <w:tc>
          <w:tcPr>
            <w:tcW w:type="dxa" w:w="5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组合决策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暴露、HHI、预算、情景与再平衡</w:t>
            </w:r>
          </w:p>
        </w:tc>
        <w:tc>
          <w:tcPr>
            <w:tcW w:type="dxa" w:w="25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组合报告、行动测算和交易后复核</w:t>
            </w:r>
          </w:p>
        </w:tc>
        <w:tc>
          <w:tcPr>
            <w:tcW w:type="dxa" w:w="261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组合与再平衡模块</w:t>
            </w:r>
          </w:p>
        </w:tc>
      </w:tr>
      <w:tr>
        <w:trPr>
          <w:cantSplit w:val="true"/>
        </w:trPr>
        <w:tc>
          <w:tcPr>
            <w:tcW w:type="dxa" w:w="52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可解释链路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Evidence至Fact至Finding至Recommendation</w:t>
            </w:r>
          </w:p>
        </w:tc>
        <w:tc>
          <w:tcPr>
            <w:tcW w:type="dxa" w:w="250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来源、时间、引用和历史回执</w:t>
            </w:r>
          </w:p>
        </w:tc>
        <w:tc>
          <w:tcPr>
            <w:tcW w:type="dxa" w:w="261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证据契约与决策事件</w:t>
            </w:r>
          </w:p>
        </w:tc>
      </w:tr>
      <w:tr>
        <w:trPr>
          <w:cantSplit w:val="true"/>
        </w:trPr>
        <w:tc>
          <w:tcPr>
            <w:tcW w:type="dxa" w:w="5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合规控制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风险与合规双闸门</w:t>
            </w:r>
          </w:p>
        </w:tc>
        <w:tc>
          <w:tcPr>
            <w:tcW w:type="dxa" w:w="25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通过、复核或阻断</w:t>
            </w:r>
          </w:p>
        </w:tc>
        <w:tc>
          <w:tcPr>
            <w:tcW w:type="dxa" w:w="261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gates 与 recommendation 模块</w:t>
            </w:r>
          </w:p>
        </w:tc>
      </w:tr>
      <w:tr>
        <w:trPr>
          <w:cantSplit w:val="true"/>
        </w:trPr>
        <w:tc>
          <w:tcPr>
            <w:tcW w:type="dxa" w:w="52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工程工作台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FastAPI、同源页面、本地账户与存储</w:t>
            </w:r>
          </w:p>
        </w:tc>
        <w:tc>
          <w:tcPr>
            <w:tcW w:type="dxa" w:w="250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可操作页面和接口文档</w:t>
            </w:r>
          </w:p>
        </w:tc>
        <w:tc>
          <w:tcPr>
            <w:tcW w:type="dxa" w:w="261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API、浏览器与持久化测试</w:t>
            </w:r>
          </w:p>
        </w:tc>
      </w:tr>
    </w:tbl>
    <w:p>
      <w:pPr>
        <w:spacing w:after="40"/>
      </w:pPr>
    </w:p>
    <w:p>
      <w:pPr>
        <w:pStyle w:val="Heading2"/>
      </w:pPr>
      <w:r>
        <w:t>四、 性能记录与指标边界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项目保留一次本地真实 HTTP 持仓读取观测：100 个并发请求全部成功，P95 为 326.038 ms。该记录能够证明指定本地只读接口在对应环境下的并发响应能力，但不能替代完整投顾链路、外部数据源和远程模型的端到端性能验收。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7-5 赛题质量目标与当前证据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694"/>
        <w:gridCol w:w="1388"/>
        <w:gridCol w:w="4302"/>
        <w:gridCol w:w="2914"/>
      </w:tblGrid>
      <w:tr>
        <w:trPr>
          <w:tblHeader w:val="true"/>
          <w:cantSplit w:val="true"/>
        </w:trPr>
        <w:tc>
          <w:tcPr>
            <w:tcW w:type="dxa" w:w="69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3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赛题目标</w:t>
            </w:r>
          </w:p>
        </w:tc>
        <w:tc>
          <w:tcPr>
            <w:tcW w:type="dxa" w:w="430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当前证据</w:t>
            </w:r>
          </w:p>
        </w:tc>
        <w:tc>
          <w:tcPr>
            <w:tcW w:type="dxa" w:w="291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6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并发咨询</w:t>
            </w:r>
          </w:p>
        </w:tc>
        <w:tc>
          <w:tcPr>
            <w:tcW w:type="dxa" w:w="13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不少于 100 用户</w:t>
            </w:r>
          </w:p>
        </w:tc>
        <w:tc>
          <w:tcPr>
            <w:tcW w:type="dxa" w:w="43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本地持仓读取接口 100 并发成功</w:t>
            </w:r>
          </w:p>
        </w:tc>
        <w:tc>
          <w:tcPr>
            <w:tcW w:type="dxa" w:w="29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已验证局部接口，完整咨询链路待验收</w:t>
            </w:r>
          </w:p>
        </w:tc>
      </w:tr>
      <w:tr>
        <w:trPr>
          <w:cantSplit w:val="true"/>
        </w:trPr>
        <w:tc>
          <w:tcPr>
            <w:tcW w:type="dxa" w:w="69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单次响应</w:t>
            </w:r>
          </w:p>
        </w:tc>
        <w:tc>
          <w:tcPr>
            <w:tcW w:type="dxa" w:w="138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不超过 3 秒</w:t>
            </w:r>
          </w:p>
        </w:tc>
        <w:tc>
          <w:tcPr>
            <w:tcW w:type="dxa" w:w="43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本地持仓读取 P95 326.038 ms</w:t>
            </w:r>
          </w:p>
        </w:tc>
        <w:tc>
          <w:tcPr>
            <w:tcW w:type="dxa" w:w="291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不外推至外部 Provider 与 LLM</w:t>
            </w:r>
          </w:p>
        </w:tc>
      </w:tr>
      <w:tr>
        <w:trPr>
          <w:cantSplit w:val="true"/>
        </w:trPr>
        <w:tc>
          <w:tcPr>
            <w:tcW w:type="dxa" w:w="6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系统可用性</w:t>
            </w:r>
          </w:p>
        </w:tc>
        <w:tc>
          <w:tcPr>
            <w:tcW w:type="dxa" w:w="13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99.9% 以上</w:t>
            </w:r>
          </w:p>
        </w:tc>
        <w:tc>
          <w:tcPr>
            <w:tcW w:type="dxa" w:w="43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已有失败降级、缓存与故障注入测试</w:t>
            </w:r>
          </w:p>
        </w:tc>
        <w:tc>
          <w:tcPr>
            <w:tcW w:type="dxa" w:w="29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长期部署可用性尚需持续观测</w:t>
            </w:r>
          </w:p>
        </w:tc>
      </w:tr>
      <w:tr>
        <w:trPr>
          <w:cantSplit w:val="true"/>
        </w:trPr>
        <w:tc>
          <w:tcPr>
            <w:tcW w:type="dxa" w:w="69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数据延迟</w:t>
            </w:r>
          </w:p>
        </w:tc>
        <w:tc>
          <w:tcPr>
            <w:tcW w:type="dxa" w:w="138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秒级</w:t>
            </w:r>
          </w:p>
        </w:tc>
        <w:tc>
          <w:tcPr>
            <w:tcW w:type="dxa" w:w="43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响应保留 observed_at 与 retrieved_at</w:t>
            </w:r>
          </w:p>
        </w:tc>
        <w:tc>
          <w:tcPr>
            <w:tcW w:type="dxa" w:w="291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取决于上游权限、额度与服务状态</w:t>
            </w:r>
          </w:p>
        </w:tc>
      </w:tr>
      <w:tr>
        <w:trPr>
          <w:cantSplit w:val="true"/>
        </w:trPr>
        <w:tc>
          <w:tcPr>
            <w:tcW w:type="dxa" w:w="6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结果可解释</w:t>
            </w:r>
          </w:p>
        </w:tc>
        <w:tc>
          <w:tcPr>
            <w:tcW w:type="dxa" w:w="13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逻辑链与可靠来源</w:t>
            </w:r>
          </w:p>
        </w:tc>
        <w:tc>
          <w:tcPr>
            <w:tcW w:type="dxa" w:w="43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证据链、阈值、公式和决策回执</w:t>
            </w:r>
          </w:p>
        </w:tc>
        <w:tc>
          <w:tcPr>
            <w:tcW w:type="dxa" w:w="29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已形成可核验实现</w:t>
            </w:r>
          </w:p>
        </w:tc>
      </w:tr>
    </w:tbl>
    <w:p>
      <w:pPr>
        <w:spacing w:after="40"/>
      </w:pPr>
    </w:p>
    <w:p>
      <w:pPr>
        <w:pStyle w:val="Heading1"/>
      </w:pPr>
      <w:r>
        <w:t>第八章 落地模式与项目价值</w:t>
      </w:r>
    </w:p>
    <w:p>
      <w:pPr>
        <w:pStyle w:val="Heading2"/>
      </w:pPr>
      <w:r>
        <w:t>一、 服务对象与价值主张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采用 B2B2C 为主、个人研究版为辅的落地思路。证券公司、投顾团队和金融科技平台可以将其作为投顾工作台或智能能力组件，个人投资者则通过受控的研究与组合工具获得可解释的决策支持。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8-1 服务对象与价值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946"/>
        <w:gridCol w:w="2206"/>
        <w:gridCol w:w="3782"/>
        <w:gridCol w:w="2364"/>
      </w:tblGrid>
      <w:tr>
        <w:trPr>
          <w:tblHeader w:val="true"/>
          <w:cantSplit w:val="true"/>
        </w:trPr>
        <w:tc>
          <w:tcPr>
            <w:tcW w:type="dxa" w:w="94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服务对象</w:t>
            </w:r>
          </w:p>
        </w:tc>
        <w:tc>
          <w:tcPr>
            <w:tcW w:type="dxa" w:w="220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主要需求</w:t>
            </w:r>
          </w:p>
        </w:tc>
        <w:tc>
          <w:tcPr>
            <w:tcW w:type="dxa" w:w="378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Prism 交付能力</w:t>
            </w:r>
          </w:p>
        </w:tc>
        <w:tc>
          <w:tcPr>
            <w:tcW w:type="dxa" w:w="23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直接价值</w:t>
            </w:r>
          </w:p>
        </w:tc>
      </w:tr>
      <w:tr>
        <w:trPr>
          <w:cantSplit w:val="true"/>
        </w:trPr>
        <w:tc>
          <w:tcPr>
            <w:tcW w:type="dxa" w:w="9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个人投资者</w:t>
            </w:r>
          </w:p>
        </w:tc>
        <w:tc>
          <w:tcPr>
            <w:tcW w:type="dxa" w:w="220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理解持仓风险并获得个性化解释</w:t>
            </w:r>
          </w:p>
        </w:tc>
        <w:tc>
          <w:tcPr>
            <w:tcW w:type="dxa" w:w="37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画像、持仓体检、研究和情景分析</w:t>
            </w:r>
          </w:p>
        </w:tc>
        <w:tc>
          <w:tcPr>
            <w:tcW w:type="dxa" w:w="23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降低信息整理与计算门槛</w:t>
            </w:r>
          </w:p>
        </w:tc>
      </w:tr>
      <w:tr>
        <w:trPr>
          <w:cantSplit w:val="true"/>
        </w:trPr>
        <w:tc>
          <w:tcPr>
            <w:tcW w:type="dxa" w:w="94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投资顾问团队</w:t>
            </w:r>
          </w:p>
        </w:tc>
        <w:tc>
          <w:tcPr>
            <w:tcW w:type="dxa" w:w="220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扩大服务半径并保持口径一致</w:t>
            </w:r>
          </w:p>
        </w:tc>
        <w:tc>
          <w:tcPr>
            <w:tcW w:type="dxa" w:w="378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多智能体研究、证据卡和合规审查</w:t>
            </w:r>
          </w:p>
        </w:tc>
        <w:tc>
          <w:tcPr>
            <w:tcW w:type="dxa" w:w="236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提升研究准备与客户沟通效率</w:t>
            </w:r>
          </w:p>
        </w:tc>
      </w:tr>
      <w:tr>
        <w:trPr>
          <w:cantSplit w:val="true"/>
        </w:trPr>
        <w:tc>
          <w:tcPr>
            <w:tcW w:type="dxa" w:w="9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证券公司</w:t>
            </w:r>
          </w:p>
        </w:tc>
        <w:tc>
          <w:tcPr>
            <w:tcW w:type="dxa" w:w="220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建设可治理的智能投顾能力</w:t>
            </w:r>
          </w:p>
        </w:tc>
        <w:tc>
          <w:tcPr>
            <w:tcW w:type="dxa" w:w="37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私有部署、账户隔离、审计和接口集成</w:t>
            </w:r>
          </w:p>
        </w:tc>
        <w:tc>
          <w:tcPr>
            <w:tcW w:type="dxa" w:w="23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形成可控、可追溯的智能服务底座</w:t>
            </w:r>
          </w:p>
        </w:tc>
      </w:tr>
      <w:tr>
        <w:trPr>
          <w:cantSplit w:val="true"/>
        </w:trPr>
        <w:tc>
          <w:tcPr>
            <w:tcW w:type="dxa" w:w="94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金融科技平台</w:t>
            </w:r>
          </w:p>
        </w:tc>
        <w:tc>
          <w:tcPr>
            <w:tcW w:type="dxa" w:w="220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快速组合投顾场景</w:t>
            </w:r>
          </w:p>
        </w:tc>
        <w:tc>
          <w:tcPr>
            <w:tcW w:type="dxa" w:w="378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标准 API、Provider 适配和模块化能力</w:t>
            </w:r>
          </w:p>
        </w:tc>
        <w:tc>
          <w:tcPr>
            <w:tcW w:type="dxa" w:w="236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缩短个性化投顾产品建设周期</w:t>
            </w:r>
          </w:p>
        </w:tc>
      </w:tr>
    </w:tbl>
    <w:p>
      <w:pPr>
        <w:spacing w:after="40"/>
      </w:pPr>
    </w:p>
    <w:p>
      <w:pPr>
        <w:pStyle w:val="Heading2"/>
      </w:pPr>
      <w:r>
        <w:t>二、 交付与收入模式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8-2 可行落地模式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1240"/>
        <w:gridCol w:w="3719"/>
        <w:gridCol w:w="1446"/>
        <w:gridCol w:w="2893"/>
      </w:tblGrid>
      <w:tr>
        <w:trPr>
          <w:tblHeader w:val="true"/>
          <w:cantSplit w:val="true"/>
        </w:trPr>
        <w:tc>
          <w:tcPr>
            <w:tcW w:type="dxa" w:w="12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71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144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适用客户</w:t>
            </w:r>
          </w:p>
        </w:tc>
        <w:tc>
          <w:tcPr>
            <w:tcW w:type="dxa" w:w="289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收入来源</w:t>
            </w:r>
          </w:p>
        </w:tc>
      </w:tr>
      <w:tr>
        <w:trPr>
          <w:cantSplit w:val="true"/>
        </w:trPr>
        <w:tc>
          <w:tcPr>
            <w:tcW w:type="dxa" w:w="12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私有化部署</w:t>
            </w:r>
          </w:p>
        </w:tc>
        <w:tc>
          <w:tcPr>
            <w:tcW w:type="dxa" w:w="37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工作台、服务端、规则、账户与审计能力</w:t>
            </w:r>
          </w:p>
        </w:tc>
        <w:tc>
          <w:tcPr>
            <w:tcW w:type="dxa" w:w="14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券商、投顾机构</w:t>
            </w:r>
          </w:p>
        </w:tc>
        <w:tc>
          <w:tcPr>
            <w:tcW w:type="dxa" w:w="28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软件许可、部署实施与年度维护</w:t>
            </w:r>
          </w:p>
        </w:tc>
      </w:tr>
      <w:tr>
        <w:trPr>
          <w:cantSplit w:val="true"/>
        </w:trPr>
        <w:tc>
          <w:tcPr>
            <w:tcW w:type="dxa" w:w="124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平台能力接入</w:t>
            </w:r>
          </w:p>
        </w:tc>
        <w:tc>
          <w:tcPr>
            <w:tcW w:type="dxa" w:w="371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画像、研究、证据、组合和闸门 API</w:t>
            </w:r>
          </w:p>
        </w:tc>
        <w:tc>
          <w:tcPr>
            <w:tcW w:type="dxa" w:w="144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金融科技平台</w:t>
            </w:r>
          </w:p>
        </w:tc>
        <w:tc>
          <w:tcPr>
            <w:tcW w:type="dxa" w:w="289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接口服务与调用量套餐</w:t>
            </w:r>
          </w:p>
        </w:tc>
      </w:tr>
      <w:tr>
        <w:trPr>
          <w:cantSplit w:val="true"/>
        </w:trPr>
        <w:tc>
          <w:tcPr>
            <w:tcW w:type="dxa" w:w="12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专业模块订阅</w:t>
            </w:r>
          </w:p>
        </w:tc>
        <w:tc>
          <w:tcPr>
            <w:tcW w:type="dxa" w:w="37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组合体检、基金穿透、再平衡或证据审查</w:t>
            </w:r>
          </w:p>
        </w:tc>
        <w:tc>
          <w:tcPr>
            <w:tcW w:type="dxa" w:w="14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中小投顾团队</w:t>
            </w:r>
          </w:p>
        </w:tc>
        <w:tc>
          <w:tcPr>
            <w:tcW w:type="dxa" w:w="28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模块订阅和增值服务</w:t>
            </w:r>
          </w:p>
        </w:tc>
      </w:tr>
      <w:tr>
        <w:trPr>
          <w:cantSplit w:val="true"/>
        </w:trPr>
        <w:tc>
          <w:tcPr>
            <w:tcW w:type="dxa" w:w="124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个人研究版</w:t>
            </w:r>
          </w:p>
        </w:tc>
        <w:tc>
          <w:tcPr>
            <w:tcW w:type="dxa" w:w="371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受限数据能力与个人组合工具</w:t>
            </w:r>
          </w:p>
        </w:tc>
        <w:tc>
          <w:tcPr>
            <w:tcW w:type="dxa" w:w="144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个人投资者</w:t>
            </w:r>
          </w:p>
        </w:tc>
        <w:tc>
          <w:tcPr>
            <w:tcW w:type="dxa" w:w="289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基础功能与专业版订阅</w:t>
            </w:r>
          </w:p>
        </w:tc>
      </w:tr>
    </w:tbl>
    <w:p>
      <w:pPr>
        <w:spacing w:after="40"/>
      </w:pP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上述模式均以数据授权、投顾资质、用户适当性和监管要求为前提。当前项目不宣称已经取得面向公众提供证券投资顾问业务的资质，商业化阶段必须由具备相应条件的主体完成合规评估和服务承接。</w:t>
      </w:r>
    </w:p>
    <w:p>
      <w:pPr>
        <w:pStyle w:val="Heading2"/>
      </w:pPr>
      <w:r>
        <w:t>三、 核心资源与合作体系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核心资源包括问财 SkillHub 及合规金融数据、画像和组合领域规则、证据与审查契约、可验证评测案例以及本地可运行工程。重要合作方包括持牌证券机构、金融数据服务方、云与安全服务方及合规咨询机构。</w:t>
      </w:r>
    </w:p>
    <w:p>
      <w:pPr>
        <w:pStyle w:val="Heading2"/>
      </w:pPr>
      <w:r>
        <w:t>四、 项目价值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把分散、不可核验的研究过程转换为结构化、可追溯、可复算的决策支持过程。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1.  对用户：说明风险来自哪里、为什么得出结论、哪些条件会使结论失效；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2.  对投顾团队：复用研究流程和审查口径，减少重复资料整理；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3.  对机构：保留来源、计算、裁决和历史事件，为治理与审计提供基础；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4.  对生态：通过标准 Provider 和服务契约接入不同数据与模型，降低系统锁定。</w:t>
      </w:r>
    </w:p>
    <w:p>
      <w:pPr>
        <w:pStyle w:val="Heading1"/>
      </w:pPr>
      <w:r>
        <w:t>第九章 风险控制与发展规划</w:t>
      </w:r>
    </w:p>
    <w:p>
      <w:pPr>
        <w:pStyle w:val="Heading2"/>
      </w:pPr>
      <w:r>
        <w:t>一、 项目风险与控制措施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9-1 主要风险及对策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604"/>
        <w:gridCol w:w="1932"/>
        <w:gridCol w:w="1328"/>
        <w:gridCol w:w="2777"/>
        <w:gridCol w:w="2657"/>
      </w:tblGrid>
      <w:tr>
        <w:trPr>
          <w:tblHeader w:val="true"/>
          <w:cantSplit w:val="true"/>
        </w:trPr>
        <w:tc>
          <w:tcPr>
            <w:tcW w:type="dxa" w:w="6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风险类别</w:t>
            </w:r>
          </w:p>
        </w:tc>
        <w:tc>
          <w:tcPr>
            <w:tcW w:type="dxa" w:w="19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具体风险</w:t>
            </w:r>
          </w:p>
        </w:tc>
        <w:tc>
          <w:tcPr>
            <w:tcW w:type="dxa" w:w="13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77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当前控制措施</w:t>
            </w:r>
          </w:p>
        </w:tc>
        <w:tc>
          <w:tcPr>
            <w:tcW w:type="dxa" w:w="265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后续措施</w:t>
            </w:r>
          </w:p>
        </w:tc>
      </w:tr>
      <w:tr>
        <w:trPr>
          <w:cantSplit w:val="true"/>
        </w:trPr>
        <w:tc>
          <w:tcPr>
            <w:tcW w:type="dxa" w:w="6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数据风险</w:t>
            </w:r>
          </w:p>
        </w:tc>
        <w:tc>
          <w:tcPr>
            <w:tcW w:type="dxa" w:w="19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上游额度、延迟、缺失或口径冲突</w:t>
            </w:r>
          </w:p>
        </w:tc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研究和组合结果不完整</w:t>
            </w:r>
          </w:p>
        </w:tc>
        <w:tc>
          <w:tcPr>
            <w:tcW w:type="dxa" w:w="277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Provider 四态、时间戳、血缘与显式降级</w:t>
            </w:r>
          </w:p>
        </w:tc>
        <w:tc>
          <w:tcPr>
            <w:tcW w:type="dxa" w:w="26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增加正式授权数据和长期质量监控</w:t>
            </w:r>
          </w:p>
        </w:tc>
      </w:tr>
      <w:tr>
        <w:trPr>
          <w:cantSplit w:val="true"/>
        </w:trPr>
        <w:tc>
          <w:tcPr>
            <w:tcW w:type="dxa" w:w="60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模型风险</w:t>
            </w:r>
          </w:p>
        </w:tc>
        <w:tc>
          <w:tcPr>
            <w:tcW w:type="dxa" w:w="193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意图误判、文本幻觉和前提漂移</w:t>
            </w:r>
          </w:p>
        </w:tc>
        <w:tc>
          <w:tcPr>
            <w:tcW w:type="dxa" w:w="13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任务错误或解释失真</w:t>
            </w:r>
          </w:p>
        </w:tc>
        <w:tc>
          <w:tcPr>
            <w:tcW w:type="dxa" w:w="277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槽位确认、结构化输入、事实黑板</w:t>
            </w:r>
          </w:p>
        </w:tc>
        <w:tc>
          <w:tcPr>
            <w:tcW w:type="dxa" w:w="26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建立目标问题集和人工抽检机制</w:t>
            </w:r>
          </w:p>
        </w:tc>
      </w:tr>
      <w:tr>
        <w:trPr>
          <w:cantSplit w:val="true"/>
        </w:trPr>
        <w:tc>
          <w:tcPr>
            <w:tcW w:type="dxa" w:w="6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计算风险</w:t>
            </w:r>
          </w:p>
        </w:tc>
        <w:tc>
          <w:tcPr>
            <w:tcW w:type="dxa" w:w="19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分母、精度或规则版本不一致</w:t>
            </w:r>
          </w:p>
        </w:tc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金额和阈值不可复核</w:t>
            </w:r>
          </w:p>
        </w:tc>
        <w:tc>
          <w:tcPr>
            <w:tcW w:type="dxa" w:w="277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Decimal、守恒、公式和版本绑定</w:t>
            </w:r>
          </w:p>
        </w:tc>
        <w:tc>
          <w:tcPr>
            <w:tcW w:type="dxa" w:w="26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扩充边界案例与独立复算</w:t>
            </w:r>
          </w:p>
        </w:tc>
      </w:tr>
      <w:tr>
        <w:trPr>
          <w:cantSplit w:val="true"/>
        </w:trPr>
        <w:tc>
          <w:tcPr>
            <w:tcW w:type="dxa" w:w="60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合规风险</w:t>
            </w:r>
          </w:p>
        </w:tc>
        <w:tc>
          <w:tcPr>
            <w:tcW w:type="dxa" w:w="193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超适当性建议、收益承诺或披露不足</w:t>
            </w:r>
          </w:p>
        </w:tc>
        <w:tc>
          <w:tcPr>
            <w:tcW w:type="dxa" w:w="13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违反监管与损害用户权益</w:t>
            </w:r>
          </w:p>
        </w:tc>
        <w:tc>
          <w:tcPr>
            <w:tcW w:type="dxa" w:w="277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独立风险和合规闸门、禁止表述和披露</w:t>
            </w:r>
          </w:p>
        </w:tc>
        <w:tc>
          <w:tcPr>
            <w:tcW w:type="dxa" w:w="26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由持牌机构完成规则审定与持续更新</w:t>
            </w:r>
          </w:p>
        </w:tc>
      </w:tr>
      <w:tr>
        <w:trPr>
          <w:cantSplit w:val="true"/>
        </w:trPr>
        <w:tc>
          <w:tcPr>
            <w:tcW w:type="dxa" w:w="6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安全风险</w:t>
            </w:r>
          </w:p>
        </w:tc>
        <w:tc>
          <w:tcPr>
            <w:tcW w:type="dxa" w:w="19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用户持仓、凭据或账户越权</w:t>
            </w:r>
          </w:p>
        </w:tc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隐私和资产信息泄露</w:t>
            </w:r>
          </w:p>
        </w:tc>
        <w:tc>
          <w:tcPr>
            <w:tcW w:type="dxa" w:w="277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owner 隔离、受保护凭据、访问审计</w:t>
            </w:r>
          </w:p>
        </w:tc>
        <w:tc>
          <w:tcPr>
            <w:tcW w:type="dxa" w:w="26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接入生产身份、密钥管理与独立审计</w:t>
            </w:r>
          </w:p>
        </w:tc>
      </w:tr>
      <w:tr>
        <w:trPr>
          <w:cantSplit w:val="true"/>
        </w:trPr>
        <w:tc>
          <w:tcPr>
            <w:tcW w:type="dxa" w:w="60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性能风险</w:t>
            </w:r>
          </w:p>
        </w:tc>
        <w:tc>
          <w:tcPr>
            <w:tcW w:type="dxa" w:w="193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高峰并发、外部超时和任务堆积</w:t>
            </w:r>
          </w:p>
        </w:tc>
        <w:tc>
          <w:tcPr>
            <w:tcW w:type="dxa" w:w="13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响应超时与服务不可用</w:t>
            </w:r>
          </w:p>
        </w:tc>
        <w:tc>
          <w:tcPr>
            <w:tcW w:type="dxa" w:w="277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有界并行、超时、缓存和备用源</w:t>
            </w:r>
          </w:p>
        </w:tc>
        <w:tc>
          <w:tcPr>
            <w:tcW w:type="dxa" w:w="26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完成端到端压测、容量规划与长期 SLA 观测</w:t>
            </w:r>
          </w:p>
        </w:tc>
      </w:tr>
    </w:tbl>
    <w:p>
      <w:pPr>
        <w:spacing w:after="40"/>
      </w:pPr>
    </w:p>
    <w:p>
      <w:pPr>
        <w:pStyle w:val="Heading2"/>
      </w:pPr>
      <w:r>
        <w:t>二、 当前能力边界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1.  问财 SkillHub 与其他实时服务受凭据、额度、授权和上游状态约束；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2.  持仓 OCR 的识别结果必须由用户确认，证券目录仅用于身份匹配，不替代行情和财务数据；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3.  完整研究质量、远程 LLM 效果和外部服务性能需要按实际部署配置独立验收；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4.  再平衡尚不包含基于历史协方差、流动性压力和长期回测的全局最优求解；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5.  100 并发和 P95 326.038 ms 仅代表已记录的本地持仓读取场景；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 xml:space="preserve">6.  所有方案均为 </w:t>
      </w:r>
      <w:r>
        <w:rPr>
          <w:rFonts w:ascii="Consolas" w:hAnsi="Consolas" w:eastAsia="等线"/>
          <w:color w:val="243B53"/>
          <w:sz w:val="19"/>
          <w:shd w:fill="F2F2F2"/>
        </w:rPr>
        <w:t>ADVISORY_ONLY</w:t>
      </w:r>
      <w:r>
        <w:rPr>
          <w:rFonts w:ascii="Times New Roman" w:hAnsi="Times New Roman" w:eastAsia="宋体"/>
          <w:color w:val="1F1F1F"/>
          <w:sz w:val="21"/>
        </w:rPr>
        <w:t>，系统不执行交易，不承诺收益。</w:t>
      </w:r>
    </w:p>
    <w:p>
      <w:pPr>
        <w:pStyle w:val="Heading2"/>
      </w:pPr>
      <w:r>
        <w:t>三、 发展规划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9-2 项目迭代路线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894"/>
        <w:gridCol w:w="2324"/>
        <w:gridCol w:w="3397"/>
        <w:gridCol w:w="2683"/>
      </w:tblGrid>
      <w:tr>
        <w:trPr>
          <w:tblHeader w:val="true"/>
          <w:cantSplit w:val="true"/>
        </w:trPr>
        <w:tc>
          <w:tcPr>
            <w:tcW w:type="dxa" w:w="89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建设重点</w:t>
            </w:r>
          </w:p>
        </w:tc>
        <w:tc>
          <w:tcPr>
            <w:tcW w:type="dxa" w:w="339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关键任务</w:t>
            </w:r>
          </w:p>
        </w:tc>
        <w:tc>
          <w:tcPr>
            <w:tcW w:type="dxa" w:w="268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验收结果</w:t>
            </w:r>
          </w:p>
        </w:tc>
      </w:tr>
      <w:tr>
        <w:trPr>
          <w:cantSplit w:val="true"/>
        </w:trPr>
        <w:tc>
          <w:tcPr>
            <w:tcW w:type="dxa" w:w="8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近期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完成竞赛交付与真实链路验收</w:t>
            </w:r>
          </w:p>
        </w:tc>
        <w:tc>
          <w:tcPr>
            <w:tcW w:type="dxa" w:w="339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补齐实时研究案例、端到端演示和完整压测</w:t>
            </w:r>
          </w:p>
        </w:tc>
        <w:tc>
          <w:tcPr>
            <w:tcW w:type="dxa" w:w="26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可重复演示、测试报告和问题清单</w:t>
            </w:r>
          </w:p>
        </w:tc>
      </w:tr>
      <w:tr>
        <w:trPr>
          <w:cantSplit w:val="true"/>
        </w:trPr>
        <w:tc>
          <w:tcPr>
            <w:tcW w:type="dxa" w:w="89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中期</w:t>
            </w:r>
          </w:p>
        </w:tc>
        <w:tc>
          <w:tcPr>
            <w:tcW w:type="dxa" w:w="23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强化机构级数据与合规能力</w:t>
            </w:r>
          </w:p>
        </w:tc>
        <w:tc>
          <w:tcPr>
            <w:tcW w:type="dxa" w:w="339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正式数据授权、规则审定、生产身份与审计</w:t>
            </w:r>
          </w:p>
        </w:tc>
        <w:tc>
          <w:tcPr>
            <w:tcW w:type="dxa" w:w="268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私有化试点和受控用户验证</w:t>
            </w:r>
          </w:p>
        </w:tc>
      </w:tr>
      <w:tr>
        <w:trPr>
          <w:cantSplit w:val="true"/>
        </w:trPr>
        <w:tc>
          <w:tcPr>
            <w:tcW w:type="dxa" w:w="8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远期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扩展组合决策与持续评估</w:t>
            </w:r>
          </w:p>
        </w:tc>
        <w:tc>
          <w:tcPr>
            <w:tcW w:type="dxa" w:w="339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协方差、流动性、回测、模型和策略评估</w:t>
            </w:r>
          </w:p>
        </w:tc>
        <w:tc>
          <w:tcPr>
            <w:tcW w:type="dxa" w:w="26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可量化的长期服务质量体系</w:t>
            </w:r>
          </w:p>
        </w:tc>
      </w:tr>
    </w:tbl>
    <w:p>
      <w:pPr>
        <w:spacing w:after="40"/>
      </w:pPr>
    </w:p>
    <w:p>
      <w:pPr>
        <w:pStyle w:val="Heading2"/>
      </w:pPr>
      <w:r>
        <w:t>四、 项目结论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已形成从用户画像、专业研究、金融计算到风险合规审查的完整产品与工程框架。项目成果是一套能够说明“为谁分析、使用什么数据、如何计算、为何得出结论、是否允许生成建议”的可验证投顾决策链。该方案与同花顺 A18 赛题提出的个性化、多智能体、数据准确、可解释和合规安全要求形成直接对应，并为后续机构级部署保留了明确的工程边界。</w:t>
      </w:r>
    </w:p>
    <w:p>
      <w:pPr>
        <w:pStyle w:val="Heading1"/>
      </w:pPr>
      <w:r>
        <w:t>附录 工程实现与核验索引</w:t>
      </w:r>
    </w:p>
    <w:p>
      <w:pPr>
        <w:pStyle w:val="Heading2"/>
      </w:pPr>
      <w:r>
        <w:t>一、 核心模块与验证文件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A-1 核心能力的工程依据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627"/>
        <w:gridCol w:w="3656"/>
        <w:gridCol w:w="3656"/>
        <w:gridCol w:w="1359"/>
      </w:tblGrid>
      <w:tr>
        <w:trPr>
          <w:tblHeader w:val="true"/>
          <w:cantSplit w:val="true"/>
        </w:trPr>
        <w:tc>
          <w:tcPr>
            <w:tcW w:type="dxa" w:w="62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6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实现位置</w:t>
            </w:r>
          </w:p>
        </w:tc>
        <w:tc>
          <w:tcPr>
            <w:tcW w:type="dxa" w:w="36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代表验证文件</w:t>
            </w:r>
          </w:p>
        </w:tc>
        <w:tc>
          <w:tcPr>
            <w:tcW w:type="dxa" w:w="135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核验内容</w:t>
            </w:r>
          </w:p>
        </w:tc>
      </w:tr>
      <w:tr>
        <w:trPr>
          <w:cantSplit w:val="true"/>
        </w:trPr>
        <w:tc>
          <w:tcPr>
            <w:tcW w:type="dxa" w:w="62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画像评分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app/profile/questionnaire.py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app/profile/scoring.py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tests/unit/test_full_questionnaire.py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tests/unit/test_profile_scoring.py</w:t>
            </w:r>
          </w:p>
        </w:tc>
        <w:tc>
          <w:tcPr>
            <w:tcW w:type="dxa" w:w="135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题目、评分与风险等级</w:t>
            </w:r>
          </w:p>
        </w:tc>
      </w:tr>
      <w:tr>
        <w:trPr>
          <w:cantSplit w:val="true"/>
        </w:trPr>
        <w:tc>
          <w:tcPr>
            <w:tcW w:type="dxa" w:w="62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画像与行为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app/service/natural_profile.py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app/profile/behavior.py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tests/unit/test_natural_profile.py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tests/unit/test_behavior_profile.py</w:t>
            </w:r>
          </w:p>
        </w:tc>
        <w:tc>
          <w:tcPr>
            <w:tcW w:type="dxa" w:w="135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候选确认与数据充分性</w:t>
            </w:r>
          </w:p>
        </w:tc>
      </w:tr>
      <w:tr>
        <w:trPr>
          <w:cantSplit w:val="true"/>
        </w:trPr>
        <w:tc>
          <w:tcPr>
            <w:tcW w:type="dxa" w:w="62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任务编排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app/orchestration/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app/service/specialist_matrix.py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tests/unit/test_bounded_orchestration.py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tests/unit/test_specialist_matrix.py</w:t>
            </w:r>
          </w:p>
        </w:tc>
        <w:tc>
          <w:tcPr>
            <w:tcW w:type="dxa" w:w="135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DAG、依赖与节点状态</w:t>
            </w:r>
          </w:p>
        </w:tc>
      </w:tr>
      <w:tr>
        <w:trPr>
          <w:cantSplit w:val="true"/>
        </w:trPr>
        <w:tc>
          <w:tcPr>
            <w:tcW w:type="dxa" w:w="62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研究证据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app/contracts/evidence.py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app/research/cross_validation.py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tests/unit/test_evidence_contract.py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tests/unit/test_research_cross_validation.py</w:t>
            </w:r>
          </w:p>
        </w:tc>
        <w:tc>
          <w:tcPr>
            <w:tcW w:type="dxa" w:w="135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引用与独立来源</w:t>
            </w:r>
          </w:p>
        </w:tc>
      </w:tr>
      <w:tr>
        <w:trPr>
          <w:cantSplit w:val="true"/>
        </w:trPr>
        <w:tc>
          <w:tcPr>
            <w:tcW w:type="dxa" w:w="62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暴露与预算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app/portfolio/exposure.py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app/risk/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tests/unit/test_portfolio_exposure.py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tests/unit/test_risk_budget.py</w:t>
            </w:r>
          </w:p>
        </w:tc>
        <w:tc>
          <w:tcPr>
            <w:tcW w:type="dxa" w:w="135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穿透、集中度和阈值</w:t>
            </w:r>
          </w:p>
        </w:tc>
      </w:tr>
      <w:tr>
        <w:trPr>
          <w:cantSplit w:val="true"/>
        </w:trPr>
        <w:tc>
          <w:tcPr>
            <w:tcW w:type="dxa" w:w="62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组合报告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app/portfolio/report.py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tests/unit/test_portfolio_report.py</w:t>
            </w:r>
          </w:p>
        </w:tc>
        <w:tc>
          <w:tcPr>
            <w:tcW w:type="dxa" w:w="135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市值、现金、比例与报告身份</w:t>
            </w:r>
          </w:p>
        </w:tc>
      </w:tr>
      <w:tr>
        <w:trPr>
          <w:cantSplit w:val="true"/>
        </w:trPr>
        <w:tc>
          <w:tcPr>
            <w:tcW w:type="dxa" w:w="62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情景与再平衡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app/scenarios/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app/rebalancing/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tests/unit/test_scenario_simulation.py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tests/unit/test_portfolio_rebalancing.py</w:t>
            </w:r>
          </w:p>
        </w:tc>
        <w:tc>
          <w:tcPr>
            <w:tcW w:type="dxa" w:w="135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冲击、费用、现金与行动</w:t>
            </w:r>
          </w:p>
        </w:tc>
      </w:tr>
      <w:tr>
        <w:trPr>
          <w:cantSplit w:val="true"/>
        </w:trPr>
        <w:tc>
          <w:tcPr>
            <w:tcW w:type="dxa" w:w="62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双重审查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app/gates/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app/recommendation/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tests/unit/test_decision_gates.py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tests/unit/test_recommendation_composer.py</w:t>
            </w:r>
          </w:p>
        </w:tc>
        <w:tc>
          <w:tcPr>
            <w:tcW w:type="dxa" w:w="135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风险、合规与建议资格</w:t>
            </w:r>
          </w:p>
        </w:tc>
      </w:tr>
      <w:tr>
        <w:trPr>
          <w:cantSplit w:val="true"/>
        </w:trPr>
        <w:tc>
          <w:tcPr>
            <w:tcW w:type="dxa" w:w="62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数据服务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app/providers/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app/runtime/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tests/unit/test_provider_contract.py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tests/unit/test_provider_resilience.py</w:t>
            </w:r>
          </w:p>
        </w:tc>
        <w:tc>
          <w:tcPr>
            <w:tcW w:type="dxa" w:w="135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数据状态与降级</w:t>
            </w:r>
          </w:p>
        </w:tc>
      </w:tr>
      <w:tr>
        <w:trPr>
          <w:cantSplit w:val="true"/>
        </w:trPr>
        <w:tc>
          <w:tcPr>
            <w:tcW w:type="dxa" w:w="62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页面交互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app/api/static/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tests/browser/test_pages_snapshot.mjs</w:t>
            </w:r>
          </w:p>
        </w:tc>
        <w:tc>
          <w:tcPr>
            <w:tcW w:type="dxa" w:w="135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页面加载、导航与快照</w:t>
            </w:r>
          </w:p>
        </w:tc>
      </w:tr>
    </w:tbl>
    <w:p>
      <w:pPr>
        <w:spacing w:after="40"/>
      </w:pPr>
    </w:p>
    <w:p>
      <w:pPr>
        <w:pStyle w:val="Heading2"/>
      </w:pPr>
      <w:r>
        <w:t>二、 主要接口入口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A-2 主要接口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750"/>
        <w:gridCol w:w="5249"/>
        <w:gridCol w:w="1650"/>
        <w:gridCol w:w="1649"/>
      </w:tblGrid>
      <w:tr>
        <w:trPr>
          <w:tblHeader w:val="true"/>
          <w:cantSplit w:val="true"/>
        </w:trPr>
        <w:tc>
          <w:tcPr>
            <w:tcW w:type="dxa" w:w="75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接口类别</w:t>
            </w:r>
          </w:p>
        </w:tc>
        <w:tc>
          <w:tcPr>
            <w:tcW w:type="dxa" w:w="524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代表路径</w:t>
            </w:r>
          </w:p>
        </w:tc>
        <w:tc>
          <w:tcPr>
            <w:tcW w:type="dxa" w:w="165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主要功能</w:t>
            </w:r>
          </w:p>
        </w:tc>
        <w:tc>
          <w:tcPr>
            <w:tcW w:type="dxa" w:w="164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核心检查</w:t>
            </w:r>
          </w:p>
        </w:tc>
      </w:tr>
      <w:tr>
        <w:trPr>
          <w:cantSplit w:val="true"/>
        </w:trPr>
        <w:tc>
          <w:tcPr>
            <w:tcW w:type="dxa" w:w="7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服务状态</w:t>
            </w:r>
          </w:p>
        </w:tc>
        <w:tc>
          <w:tcPr>
            <w:tcW w:type="dxa" w:w="52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GET /api/health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GET /api/docs</w:t>
            </w:r>
          </w:p>
        </w:tc>
        <w:tc>
          <w:tcPr>
            <w:tcW w:type="dxa" w:w="16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健康检查与接口说明</w:t>
            </w:r>
          </w:p>
        </w:tc>
        <w:tc>
          <w:tcPr>
            <w:tcW w:type="dxa" w:w="1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应用状态和契约</w:t>
            </w:r>
          </w:p>
        </w:tc>
      </w:tr>
      <w:tr>
        <w:trPr>
          <w:cantSplit w:val="true"/>
        </w:trPr>
        <w:tc>
          <w:tcPr>
            <w:tcW w:type="dxa" w:w="7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画像上下文</w:t>
            </w:r>
          </w:p>
        </w:tc>
        <w:tc>
          <w:tcPr>
            <w:tcW w:type="dxa" w:w="524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/api/v1/advisor/profile/*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/api/v1/advisor/context/*</w:t>
            </w:r>
          </w:p>
        </w:tc>
        <w:tc>
          <w:tcPr>
            <w:tcW w:type="dxa" w:w="16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问卷、画像与确认上下文</w:t>
            </w:r>
          </w:p>
        </w:tc>
        <w:tc>
          <w:tcPr>
            <w:tcW w:type="dxa" w:w="164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用户归属与版本</w:t>
            </w:r>
          </w:p>
        </w:tc>
      </w:tr>
      <w:tr>
        <w:trPr>
          <w:cantSplit w:val="true"/>
        </w:trPr>
        <w:tc>
          <w:tcPr>
            <w:tcW w:type="dxa" w:w="7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持仓组合</w:t>
            </w:r>
          </w:p>
        </w:tc>
        <w:tc>
          <w:tcPr>
            <w:tcW w:type="dxa" w:w="52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/api/v1/advisor/portfolio/*</w:t>
            </w:r>
          </w:p>
        </w:tc>
        <w:tc>
          <w:tcPr>
            <w:tcW w:type="dxa" w:w="16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导入、刷新、报告与风险</w:t>
            </w:r>
          </w:p>
        </w:tc>
        <w:tc>
          <w:tcPr>
            <w:tcW w:type="dxa" w:w="1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快照、报价与完整性</w:t>
            </w:r>
          </w:p>
        </w:tc>
      </w:tr>
      <w:tr>
        <w:trPr>
          <w:cantSplit w:val="true"/>
        </w:trPr>
        <w:tc>
          <w:tcPr>
            <w:tcW w:type="dxa" w:w="7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专业研究</w:t>
            </w:r>
          </w:p>
        </w:tc>
        <w:tc>
          <w:tcPr>
            <w:tcW w:type="dxa" w:w="524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/api/v1/advisor/research-runs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/api/v1/advisor/stock-research-runs</w:t>
            </w:r>
          </w:p>
        </w:tc>
        <w:tc>
          <w:tcPr>
            <w:tcW w:type="dxa" w:w="16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研究矩阵与个股研究</w:t>
            </w:r>
          </w:p>
        </w:tc>
        <w:tc>
          <w:tcPr>
            <w:tcW w:type="dxa" w:w="164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运行模式、证据和状态</w:t>
            </w:r>
          </w:p>
        </w:tc>
      </w:tr>
      <w:tr>
        <w:trPr>
          <w:cantSplit w:val="true"/>
        </w:trPr>
        <w:tc>
          <w:tcPr>
            <w:tcW w:type="dxa" w:w="7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基金与转债</w:t>
            </w:r>
          </w:p>
        </w:tc>
        <w:tc>
          <w:tcPr>
            <w:tcW w:type="dxa" w:w="52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/api/v1/advisor/fund-research-runs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/api/v1/advisor/convertible-bond-research-runs</w:t>
            </w:r>
          </w:p>
        </w:tc>
        <w:tc>
          <w:tcPr>
            <w:tcW w:type="dxa" w:w="16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专项研究</w:t>
            </w:r>
          </w:p>
        </w:tc>
        <w:tc>
          <w:tcPr>
            <w:tcW w:type="dxa" w:w="1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数据能力和字段口径</w:t>
            </w:r>
          </w:p>
        </w:tc>
      </w:tr>
      <w:tr>
        <w:trPr>
          <w:cantSplit w:val="true"/>
        </w:trPr>
        <w:tc>
          <w:tcPr>
            <w:tcW w:type="dxa" w:w="7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组合决策</w:t>
            </w:r>
          </w:p>
        </w:tc>
        <w:tc>
          <w:tcPr>
            <w:tcW w:type="dxa" w:w="524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/api/v1/advisor/portfolio-optimization-runs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/api/v1/advisor/rebalancing-runs</w:t>
            </w:r>
          </w:p>
        </w:tc>
        <w:tc>
          <w:tcPr>
            <w:tcW w:type="dxa" w:w="16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目标结构与再平衡</w:t>
            </w:r>
          </w:p>
        </w:tc>
        <w:tc>
          <w:tcPr>
            <w:tcW w:type="dxa" w:w="164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约束、现金和交易后风险</w:t>
            </w:r>
          </w:p>
        </w:tc>
      </w:tr>
      <w:tr>
        <w:trPr>
          <w:cantSplit w:val="true"/>
        </w:trPr>
        <w:tc>
          <w:tcPr>
            <w:tcW w:type="dxa" w:w="7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情景分析</w:t>
            </w:r>
          </w:p>
        </w:tc>
        <w:tc>
          <w:tcPr>
            <w:tcW w:type="dxa" w:w="52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/api/v1/advisor/scenario-simulation-runs</w:t>
            </w:r>
          </w:p>
        </w:tc>
        <w:tc>
          <w:tcPr>
            <w:tcW w:type="dxa" w:w="16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自定义或固定情景</w:t>
            </w:r>
          </w:p>
        </w:tc>
        <w:tc>
          <w:tcPr>
            <w:tcW w:type="dxa" w:w="1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冲击条件与运行模式</w:t>
            </w:r>
          </w:p>
        </w:tc>
      </w:tr>
      <w:tr>
        <w:trPr>
          <w:cantSplit w:val="true"/>
        </w:trPr>
        <w:tc>
          <w:tcPr>
            <w:tcW w:type="dxa" w:w="7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投顾对话</w:t>
            </w:r>
          </w:p>
        </w:tc>
        <w:tc>
          <w:tcPr>
            <w:tcW w:type="dxa" w:w="524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/api/v1/advisor/queries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/api/v1/copilot/chat</w:t>
            </w:r>
          </w:p>
        </w:tc>
        <w:tc>
          <w:tcPr>
            <w:tcW w:type="dxa" w:w="16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查询、工具调用与解释</w:t>
            </w:r>
          </w:p>
        </w:tc>
        <w:tc>
          <w:tcPr>
            <w:tcW w:type="dxa" w:w="164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已确认上下文和审查状态</w:t>
            </w:r>
          </w:p>
        </w:tc>
      </w:tr>
      <w:tr>
        <w:trPr>
          <w:cantSplit w:val="true"/>
        </w:trPr>
        <w:tc>
          <w:tcPr>
            <w:tcW w:type="dxa" w:w="7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历史记录</w:t>
            </w:r>
          </w:p>
        </w:tc>
        <w:tc>
          <w:tcPr>
            <w:tcW w:type="dxa" w:w="52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/api/v1/decision-events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/api/v1/advisor/recommendation-history</w:t>
            </w:r>
          </w:p>
        </w:tc>
        <w:tc>
          <w:tcPr>
            <w:tcW w:type="dxa" w:w="16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决策事件与历史建议</w:t>
            </w:r>
          </w:p>
        </w:tc>
        <w:tc>
          <w:tcPr>
            <w:tcW w:type="dxa" w:w="16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用户归属与内容身份</w:t>
            </w:r>
          </w:p>
        </w:tc>
      </w:tr>
    </w:tbl>
    <w:p>
      <w:pPr>
        <w:spacing w:after="40"/>
      </w:pPr>
    </w:p>
    <w:p>
      <w:pPr>
        <w:pStyle w:val="Heading2"/>
      </w:pPr>
      <w:r>
        <w:t>三、 案例来源与复核条件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 xml:space="preserve">第七章案例来自 </w:t>
      </w:r>
      <w:r>
        <w:rPr>
          <w:rFonts w:ascii="Consolas" w:hAnsi="Consolas" w:eastAsia="等线"/>
          <w:color w:val="243B53"/>
          <w:sz w:val="19"/>
          <w:shd w:fill="F2F2F2"/>
        </w:rPr>
        <w:t>app/api/static/pages-snapshot.json</w:t>
      </w:r>
      <w:r>
        <w:rPr>
          <w:rFonts w:ascii="Times New Roman" w:hAnsi="Times New Roman" w:eastAsia="宋体"/>
          <w:color w:val="1F1F1F"/>
          <w:sz w:val="21"/>
        </w:rPr>
        <w:t xml:space="preserve"> 保存的正式组合报告，报告编号为 </w:t>
      </w:r>
      <w:r>
        <w:rPr>
          <w:rFonts w:ascii="Consolas" w:hAnsi="Consolas" w:eastAsia="等线"/>
          <w:color w:val="243B53"/>
          <w:sz w:val="19"/>
          <w:shd w:fill="F2F2F2"/>
        </w:rPr>
        <w:t>portfolio-report-1da3aff92cabe199157c5833ee813107</w:t>
      </w:r>
      <w:r>
        <w:rPr>
          <w:rFonts w:ascii="Times New Roman" w:hAnsi="Times New Roman" w:eastAsia="宋体"/>
          <w:color w:val="1F1F1F"/>
          <w:sz w:val="21"/>
        </w:rPr>
        <w:t xml:space="preserve">，规则版本为 </w:t>
      </w:r>
      <w:r>
        <w:rPr>
          <w:rFonts w:ascii="Consolas" w:hAnsi="Consolas" w:eastAsia="等线"/>
          <w:color w:val="243B53"/>
          <w:sz w:val="19"/>
          <w:shd w:fill="F2F2F2"/>
        </w:rPr>
        <w:t>portfolio-report-rules.v1</w:t>
      </w:r>
      <w:r>
        <w:rPr>
          <w:rFonts w:ascii="Times New Roman" w:hAnsi="Times New Roman" w:eastAsia="宋体"/>
          <w:color w:val="1F1F1F"/>
          <w:sz w:val="21"/>
        </w:rPr>
        <w:t>。市值按数量乘以报告价格复核；总资产按证券市值与现金相加复核；证券资产 HHI 使用报告定义的证券持仓分母和两位小数占比平方和。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 xml:space="preserve">本地真实 HTTP 负载记录来自 </w:t>
      </w:r>
      <w:r>
        <w:rPr>
          <w:rFonts w:ascii="Consolas" w:hAnsi="Consolas" w:eastAsia="等线"/>
          <w:color w:val="243B53"/>
          <w:sz w:val="19"/>
          <w:shd w:fill="F2F2F2"/>
        </w:rPr>
        <w:t>LOG.md</w:t>
      </w:r>
      <w:r>
        <w:rPr>
          <w:rFonts w:ascii="Times New Roman" w:hAnsi="Times New Roman" w:eastAsia="宋体"/>
          <w:color w:val="1F1F1F"/>
          <w:sz w:val="21"/>
        </w:rPr>
        <w:t xml:space="preserve">，工具入口为 </w:t>
      </w:r>
      <w:r>
        <w:rPr>
          <w:rFonts w:ascii="Consolas" w:hAnsi="Consolas" w:eastAsia="等线"/>
          <w:color w:val="243B53"/>
          <w:sz w:val="19"/>
          <w:shd w:fill="F2F2F2"/>
        </w:rPr>
        <w:t>tools/http_load_test.py</w:t>
      </w:r>
      <w:r>
        <w:rPr>
          <w:rFonts w:ascii="Times New Roman" w:hAnsi="Times New Roman" w:eastAsia="宋体"/>
          <w:color w:val="1F1F1F"/>
          <w:sz w:val="21"/>
        </w:rPr>
        <w:t xml:space="preserve">。固定评测入口为 </w:t>
      </w:r>
      <w:r>
        <w:rPr>
          <w:rFonts w:ascii="Consolas" w:hAnsi="Consolas" w:eastAsia="等线"/>
          <w:color w:val="243B53"/>
          <w:sz w:val="19"/>
          <w:shd w:fill="F2F2F2"/>
        </w:rPr>
        <w:t>tools/evaluate_mvp.py</w:t>
      </w:r>
      <w:r>
        <w:rPr>
          <w:rFonts w:ascii="Times New Roman" w:hAnsi="Times New Roman" w:eastAsia="宋体"/>
          <w:color w:val="1F1F1F"/>
          <w:sz w:val="21"/>
        </w:rPr>
        <w:t xml:space="preserve">，案例位于 </w:t>
      </w:r>
      <w:r>
        <w:rPr>
          <w:rFonts w:ascii="Consolas" w:hAnsi="Consolas" w:eastAsia="等线"/>
          <w:color w:val="243B53"/>
          <w:sz w:val="19"/>
          <w:shd w:fill="F2F2F2"/>
        </w:rPr>
        <w:t>eval_cases/</w:t>
      </w:r>
      <w:r>
        <w:rPr>
          <w:rFonts w:ascii="Times New Roman" w:hAnsi="Times New Roman" w:eastAsia="宋体"/>
          <w:color w:val="1F1F1F"/>
          <w:sz w:val="21"/>
        </w:rPr>
        <w:t>。所有运行数字均与对应环境、接口和输入共同解释。</w:t>
      </w:r>
    </w:p>
    <w:p>
      <w:pPr>
        <w:pStyle w:val="Heading2"/>
      </w:pPr>
      <w:r>
        <w:t>四、 状态与术语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A-3 主要状态与对象</w:t>
      </w:r>
    </w:p>
    <w:tbl>
      <w:tblPr>
        <w:tblW w:type="dxa" w:w="9298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jc w:val="left"/>
        <w:tblInd w:type="dxa" w:w="110"/>
      </w:tblPr>
      <w:tblGrid>
        <w:gridCol w:w="3170"/>
        <w:gridCol w:w="1902"/>
        <w:gridCol w:w="1057"/>
        <w:gridCol w:w="3169"/>
      </w:tblGrid>
      <w:tr>
        <w:trPr>
          <w:tblHeader w:val="true"/>
          <w:cantSplit w:val="true"/>
        </w:trPr>
        <w:tc>
          <w:tcPr>
            <w:tcW w:type="dxa" w:w="317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190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05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所属环节</w:t>
            </w:r>
          </w:p>
        </w:tc>
        <w:tc>
          <w:tcPr>
            <w:tcW w:type="dxa" w:w="316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使用说明</w:t>
            </w:r>
          </w:p>
        </w:tc>
      </w:tr>
      <w:tr>
        <w:trPr>
          <w:cantSplit w:val="true"/>
        </w:trPr>
        <w:tc>
          <w:tcPr>
            <w:tcW w:type="dxa" w:w="31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Evidence</w:t>
            </w:r>
          </w:p>
        </w:tc>
        <w:tc>
          <w:tcPr>
            <w:tcW w:type="dxa" w:w="19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原始证据对象</w:t>
            </w:r>
          </w:p>
        </w:tc>
        <w:tc>
          <w:tcPr>
            <w:tcW w:type="dxa" w:w="10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数据与研究</w:t>
            </w:r>
          </w:p>
        </w:tc>
        <w:tc>
          <w:tcPr>
            <w:tcW w:type="dxa" w:w="31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保存来源、字段、时间和质量</w:t>
            </w:r>
          </w:p>
        </w:tc>
      </w:tr>
      <w:tr>
        <w:trPr>
          <w:cantSplit w:val="true"/>
        </w:trPr>
        <w:tc>
          <w:tcPr>
            <w:tcW w:type="dxa" w:w="317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Fact</w:t>
            </w:r>
          </w:p>
        </w:tc>
        <w:tc>
          <w:tcPr>
            <w:tcW w:type="dxa" w:w="19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已验证金融事实</w:t>
            </w:r>
          </w:p>
        </w:tc>
        <w:tc>
          <w:tcPr>
            <w:tcW w:type="dxa" w:w="10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证据校验</w:t>
            </w:r>
          </w:p>
        </w:tc>
        <w:tc>
          <w:tcPr>
            <w:tcW w:type="dxa" w:w="316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必须引用有效 Evidence</w:t>
            </w:r>
          </w:p>
        </w:tc>
      </w:tr>
      <w:tr>
        <w:trPr>
          <w:cantSplit w:val="true"/>
        </w:trPr>
        <w:tc>
          <w:tcPr>
            <w:tcW w:type="dxa" w:w="31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Finding</w:t>
            </w:r>
          </w:p>
        </w:tc>
        <w:tc>
          <w:tcPr>
            <w:tcW w:type="dxa" w:w="19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结构化研究发现</w:t>
            </w:r>
          </w:p>
        </w:tc>
        <w:tc>
          <w:tcPr>
            <w:tcW w:type="dxa" w:w="10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专业研究</w:t>
            </w:r>
          </w:p>
        </w:tc>
        <w:tc>
          <w:tcPr>
            <w:tcW w:type="dxa" w:w="31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必须引用闭合 Fact</w:t>
            </w:r>
          </w:p>
        </w:tc>
      </w:tr>
      <w:tr>
        <w:trPr>
          <w:cantSplit w:val="true"/>
        </w:trPr>
        <w:tc>
          <w:tcPr>
            <w:tcW w:type="dxa" w:w="317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Recommendation</w:t>
            </w:r>
          </w:p>
        </w:tc>
        <w:tc>
          <w:tcPr>
            <w:tcW w:type="dxa" w:w="19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审查后的建议</w:t>
            </w:r>
          </w:p>
        </w:tc>
        <w:tc>
          <w:tcPr>
            <w:tcW w:type="dxa" w:w="10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建议生成</w:t>
            </w:r>
          </w:p>
        </w:tc>
        <w:tc>
          <w:tcPr>
            <w:tcW w:type="dxa" w:w="316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必须通过双闸门</w:t>
            </w:r>
          </w:p>
        </w:tc>
      </w:tr>
      <w:tr>
        <w:trPr>
          <w:cantSplit w:val="true"/>
        </w:trPr>
        <w:tc>
          <w:tcPr>
            <w:tcW w:type="dxa" w:w="31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PASS</w:t>
            </w:r>
          </w:p>
        </w:tc>
        <w:tc>
          <w:tcPr>
            <w:tcW w:type="dxa" w:w="19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满足检查条件</w:t>
            </w:r>
          </w:p>
        </w:tc>
        <w:tc>
          <w:tcPr>
            <w:tcW w:type="dxa" w:w="10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计算或审查</w:t>
            </w:r>
          </w:p>
        </w:tc>
        <w:tc>
          <w:tcPr>
            <w:tcW w:type="dxa" w:w="31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与对应阈值和范围共同阅读</w:t>
            </w:r>
          </w:p>
        </w:tc>
      </w:tr>
      <w:tr>
        <w:trPr>
          <w:cantSplit w:val="true"/>
        </w:trPr>
        <w:tc>
          <w:tcPr>
            <w:tcW w:type="dxa" w:w="317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OVERBOUND</w:t>
            </w:r>
          </w:p>
        </w:tc>
        <w:tc>
          <w:tcPr>
            <w:tcW w:type="dxa" w:w="19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观察值超出阈值</w:t>
            </w:r>
          </w:p>
        </w:tc>
        <w:tc>
          <w:tcPr>
            <w:tcW w:type="dxa" w:w="10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风险检查</w:t>
            </w:r>
          </w:p>
        </w:tc>
        <w:tc>
          <w:tcPr>
            <w:tcW w:type="dxa" w:w="316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不等同于自动交易指令</w:t>
            </w:r>
          </w:p>
        </w:tc>
      </w:tr>
      <w:tr>
        <w:trPr>
          <w:cantSplit w:val="true"/>
        </w:trPr>
        <w:tc>
          <w:tcPr>
            <w:tcW w:type="dxa" w:w="31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CALCULATED</w:t>
            </w:r>
          </w:p>
        </w:tc>
        <w:tc>
          <w:tcPr>
            <w:tcW w:type="dxa" w:w="19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已完成确定性计算</w:t>
            </w:r>
          </w:p>
        </w:tc>
        <w:tc>
          <w:tcPr>
            <w:tcW w:type="dxa" w:w="10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金融计算</w:t>
            </w:r>
          </w:p>
        </w:tc>
        <w:tc>
          <w:tcPr>
            <w:tcW w:type="dxa" w:w="31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表示状态，不表示投资收益</w:t>
            </w:r>
          </w:p>
        </w:tc>
      </w:tr>
      <w:tr>
        <w:trPr>
          <w:cantSplit w:val="true"/>
        </w:trPr>
        <w:tc>
          <w:tcPr>
            <w:tcW w:type="dxa" w:w="317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REVIEW_REQUIRED</w:t>
            </w:r>
          </w:p>
        </w:tc>
        <w:tc>
          <w:tcPr>
            <w:tcW w:type="dxa" w:w="19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需要补充或人工复核</w:t>
            </w:r>
          </w:p>
        </w:tc>
        <w:tc>
          <w:tcPr>
            <w:tcW w:type="dxa" w:w="10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全流程</w:t>
            </w:r>
          </w:p>
        </w:tc>
        <w:tc>
          <w:tcPr>
            <w:tcW w:type="dxa" w:w="316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同时返回原因和影响范围</w:t>
            </w:r>
          </w:p>
        </w:tc>
      </w:tr>
      <w:tr>
        <w:trPr>
          <w:cantSplit w:val="true"/>
        </w:trPr>
        <w:tc>
          <w:tcPr>
            <w:tcW w:type="dxa" w:w="31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BLOCKED</w:t>
            </w:r>
          </w:p>
        </w:tc>
        <w:tc>
          <w:tcPr>
            <w:tcW w:type="dxa" w:w="19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当前条件下禁止继续</w:t>
            </w:r>
          </w:p>
        </w:tc>
        <w:tc>
          <w:tcPr>
            <w:tcW w:type="dxa" w:w="10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编排或审查</w:t>
            </w:r>
          </w:p>
        </w:tc>
        <w:tc>
          <w:tcPr>
            <w:tcW w:type="dxa" w:w="31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返回阻断位置和恢复条件</w:t>
            </w:r>
          </w:p>
        </w:tc>
      </w:tr>
      <w:tr>
        <w:trPr>
          <w:cantSplit w:val="true"/>
        </w:trPr>
        <w:tc>
          <w:tcPr>
            <w:tcW w:type="dxa" w:w="317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ADVISORY_ONLY</w:t>
            </w:r>
          </w:p>
        </w:tc>
        <w:tc>
          <w:tcPr>
            <w:tcW w:type="dxa" w:w="19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仅供决策参考</w:t>
            </w:r>
          </w:p>
        </w:tc>
        <w:tc>
          <w:tcPr>
            <w:tcW w:type="dxa" w:w="10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组合方案</w:t>
            </w:r>
          </w:p>
        </w:tc>
        <w:tc>
          <w:tcPr>
            <w:tcW w:type="dxa" w:w="316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不执行真实交易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276" w:bottom="1219" w:left="1276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777777"/>
        <w:sz w:val="18"/>
      </w:rPr>
      <w:t xml:space="preserve">第 </w:t>
    </w:r>
    <w:r>
      <w:fldChar w:fldCharType="begin"/>
      <w:instrText xml:space="preserve">PAGE</w:instrText>
      <w:fldChar w:fldCharType="separate"/>
      <w:t>目录将在 Word 中自动更新</w:t>
      <w:fldChar w:fldCharType="end"/>
    </w:r>
    <w:r>
      <w:rPr>
        <w:rFonts w:ascii="Times New Roman" w:hAnsi="Times New Roman" w:eastAsia="宋体"/>
        <w:color w:val="77777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color w:val="777777"/>
        <w:sz w:val="17"/>
      </w:rPr>
      <w:t>Prism 个性化证券投顾智能体系统项目详细方案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 个性化证券投顾智能体系统项目详细方案</dc:title>
  <dc:subject>同花顺 A18 个性化证券投顾智能体系统竞赛项目详细方案</dc:subject>
  <dc:creator>Prism 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