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" w:after="100" w:line="276" w:lineRule="auto"/>
        <w:jc w:val="center"/>
      </w:pPr>
      <w:r>
        <w:rPr>
          <w:rFonts w:ascii="Arial Unicode MS" w:hAnsi="Arial Unicode MS" w:eastAsia="Arial Unicode MS"/>
          <w:b/>
          <w:color w:val="000000"/>
          <w:sz w:val="40"/>
        </w:rPr>
        <w:t>Prism 版本迭代与成果展示</w:t>
      </w:r>
    </w:p>
    <w:p>
      <w:pPr>
        <w:spacing w:before="0" w:after="100" w:line="276" w:lineRule="auto"/>
        <w:jc w:val="center"/>
      </w:pPr>
      <w:r>
        <w:rPr>
          <w:rFonts w:ascii="Arial Unicode MS" w:hAnsi="Arial Unicode MS" w:eastAsia="Arial Unicode MS"/>
          <w:color w:val="000000"/>
          <w:sz w:val="20"/>
        </w:rPr>
        <w:t>前端交互与后端能力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none"/>
              <w:insideV w:val="none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系统名称：Prism 证券投顾智能体系统</w:t>
            </w:r>
          </w:p>
        </w:tc>
        <w:tc>
          <w:tcPr>
            <w:tcW w:type="dxa" w:w="489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none"/>
              <w:insideV w:val="none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数据底座：同花顺问财 SkillHub</w:t>
            </w:r>
          </w:p>
        </w:tc>
      </w:tr>
      <w:tr>
        <w:tc>
          <w:tcPr>
            <w:tcW w:type="dxa" w:w="489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none"/>
              <w:insideV w:val="none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评测指标：事实幻觉率 0.00% | P50 延迟 4.39ms</w:t>
            </w:r>
          </w:p>
        </w:tc>
        <w:tc>
          <w:tcPr>
            <w:tcW w:type="dxa" w:w="489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none"/>
              <w:insideV w:val="none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工程验证：472 项单元及集成测试全部通过</w:t>
            </w:r>
          </w:p>
        </w:tc>
      </w:tr>
    </w:tbl>
    <w:p>
      <w:pPr>
        <w:spacing w:after="100" w:line="276" w:lineRule="auto"/>
      </w:pPr>
    </w:p>
    <w:p>
      <w:pPr>
        <w:pStyle w:val="Heading1"/>
        <w:keepNext/>
        <w:pageBreakBefore w:val="0"/>
        <w:spacing w:before="240" w:after="100" w:line="276" w:lineRule="auto"/>
      </w:pPr>
      <w:r>
        <w:rPr>
          <w:rFonts w:ascii="Arial Unicode MS" w:hAnsi="Arial Unicode MS" w:eastAsia="Arial Unicode MS"/>
          <w:b/>
          <w:color w:val="000000"/>
          <w:sz w:val="30"/>
        </w:rPr>
        <w:t>1 版本演进</w:t>
      </w:r>
    </w:p>
    <w:p>
      <w:pPr>
        <w:spacing w:line="276" w:lineRule="auto" w:after="100"/>
      </w:pPr>
      <w:r>
        <w:rPr>
          <w:rFonts w:ascii="Arial Unicode MS" w:hAnsi="Arial Unicode MS" w:eastAsia="Arial Unicode MS"/>
          <w:color w:val="000000"/>
          <w:sz w:val="20"/>
        </w:rPr>
        <w:t>本报告展示 Prism 的版本演进、前端功能与后端能力。本次更新聚焦界面文案：缩短标题，精简说明，同步静态页面与动态提示。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阶段版本</w:t>
            </w:r>
          </w:p>
        </w:tc>
        <w:tc>
          <w:tcPr>
            <w:tcW w:type="dxa" w:w="47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核心技术实现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交付成果与定位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none"/>
              <w:insideV w:val="none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V1 阶段</w:t>
              <w:br/>
              <w:t>(基础投研)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none"/>
              <w:insideV w:val="none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宏观、行业、标的与风险多维研究分析</w:t>
              <w:br/>
              <w:t>独立信源双向交叉验证</w:t>
              <w:br/>
              <w:t>结构化证据链追踪 (Evidence DAG)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none"/>
              <w:insideV w:val="none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投研算法与证据底座</w:t>
              <w:br/>
              <w:t>保证决策依据的客观性与可审计性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none"/>
              <w:insideV w:val="none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V2 阶段</w:t>
              <w:br/>
              <w:t>(模型构建)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none"/>
              <w:insideV w:val="none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确定性情景压力测试模型</w:t>
              <w:br/>
              <w:t>换手率约束与调仓执行阶梯算法</w:t>
              <w:br/>
              <w:t>端到端指标回归自动化评测系统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none"/>
              <w:insideV w:val="none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金融工程计算模型</w:t>
              <w:br/>
              <w:t>量化风险敞口，支持极端行情推演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none"/>
              <w:insideV w:val="none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V3 阶段</w:t>
              <w:br/>
              <w:t>(交互系统)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none"/>
              <w:insideV w:val="none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任务型卡片交互设计</w:t>
              <w:br/>
              <w:t>持仓底层穿透与重叠集中度分析</w:t>
              <w:br/>
              <w:t>自然语言持仓解析与三步执行指示器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none"/>
              <w:insideV w:val="none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终端用户交互系统</w:t>
              <w:br/>
              <w:t>提供直观清晰的投资决策与执行辅助</w:t>
            </w:r>
          </w:p>
        </w:tc>
      </w:tr>
    </w:tbl>
    <w:p>
      <w:pPr>
        <w:spacing w:after="100" w:line="276" w:lineRule="auto"/>
      </w:pPr>
    </w:p>
    <w:p>
      <w:pPr>
        <w:pStyle w:val="Heading1"/>
        <w:keepNext/>
        <w:pageBreakBefore/>
        <w:spacing w:before="240" w:after="100" w:line="276" w:lineRule="auto"/>
      </w:pPr>
      <w:r>
        <w:rPr>
          <w:rFonts w:ascii="Arial Unicode MS" w:hAnsi="Arial Unicode MS" w:eastAsia="Arial Unicode MS"/>
          <w:b/>
          <w:color w:val="000000"/>
          <w:sz w:val="30"/>
        </w:rPr>
        <w:t>2 前端功能</w:t>
      </w:r>
    </w:p>
    <w:p>
      <w:pPr>
        <w:pStyle w:val="Heading2"/>
        <w:keepNext/>
        <w:pageBreakBefore w:val="0"/>
        <w:spacing w:before="160" w:after="100" w:line="276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2.1 投资工作台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工作台展示资产概况、风险上限与任务入口。首页标题为「持仓分析」。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技术实现：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投资边界展示：动态呈现账户风险等级（R3 平衡型）、总资产（50 万元）、科技板块敞口（28.0%）与风控上限（30.0%）。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操作流程：确认边界、运行分析、查看建议。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任务入口：持仓健康体检、标的研究、调仓计划。</w:t>
      </w:r>
    </w:p>
    <w:p>
      <w:pPr>
        <w:spacing w:after="100" w:line="276" w:lineRule="auto"/>
      </w:pPr>
    </w:p>
    <w:p>
      <w:pPr>
        <w:keepNext/>
        <w:spacing w:before="120" w:after="100" w:line="276" w:lineRule="auto"/>
        <w:jc w:val="center"/>
      </w:pPr>
      <w:r>
        <w:rPr>
          <w:rFonts w:ascii="Arial Unicode MS" w:hAnsi="Arial Unicode MS" w:eastAsia="Arial Unicode MS"/>
          <w:color w:val="000000"/>
        </w:rP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3_investor_workbench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76" w:lineRule="auto"/>
        <w:jc w:val="center"/>
      </w:pPr>
      <w:r>
        <w:rPr>
          <w:rFonts w:ascii="Arial Unicode MS" w:hAnsi="Arial Unicode MS" w:eastAsia="Arial Unicode MS"/>
          <w:color w:val="000000"/>
          <w:sz w:val="20"/>
        </w:rPr>
        <w:t>图：投资工作台主界面布局与资产画像</w:t>
      </w:r>
    </w:p>
    <w:p>
      <w:pPr>
        <w:pStyle w:val="Heading2"/>
        <w:keepNext/>
        <w:pageBreakBefore/>
        <w:spacing w:before="160" w:after="100" w:line="276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2.2 持仓体检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检查基金底层持仓，识别重叠持股与行业集中风险。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技术实现：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底层持仓穿透：解析持仓基金的前十大重仓股明细，加权计算实际股票暴露。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风险检查：示例科技行业占比为 28.0%，低于 R3 画像设定的 30.0% 上限。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依据可追溯：提供证据追溯入口，支持查验底层数据源与测算依据。</w:t>
      </w:r>
    </w:p>
    <w:p>
      <w:pPr>
        <w:spacing w:after="100" w:line="276" w:lineRule="auto"/>
      </w:pPr>
    </w:p>
    <w:p>
      <w:pPr>
        <w:keepNext/>
        <w:spacing w:before="120" w:after="100" w:line="276" w:lineRule="auto"/>
        <w:jc w:val="center"/>
      </w:pPr>
      <w:r>
        <w:rPr>
          <w:rFonts w:ascii="Arial Unicode MS" w:hAnsi="Arial Unicode MS" w:eastAsia="Arial Unicode MS"/>
          <w:color w:val="000000"/>
        </w:rP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3_health_check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76" w:lineRule="auto"/>
        <w:jc w:val="center"/>
      </w:pPr>
      <w:r>
        <w:rPr>
          <w:rFonts w:ascii="Arial Unicode MS" w:hAnsi="Arial Unicode MS" w:eastAsia="Arial Unicode MS"/>
          <w:color w:val="000000"/>
          <w:sz w:val="20"/>
        </w:rPr>
        <w:t>图：持仓底层穿透与行业重叠度检测结果</w:t>
      </w:r>
    </w:p>
    <w:p>
      <w:pPr>
        <w:pStyle w:val="Heading2"/>
        <w:keepNext/>
        <w:pageBreakBefore/>
        <w:spacing w:before="160" w:after="100" w:line="276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2.3 标的研究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查看标的财务指标与风险，结合投资画像评估适配性。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技术实现（以 300750 宁德时代为例）：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代码检索与联动：支持股票与 ETF 代码秒级检索，动态拉取基本面指标。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客观数据呈现：聚合历史估值分位、财务成长性、行业景气度及与当前持仓画像的适配性指标。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风险边界提示：客观标示行业波动特征与安全边际，提供辅助决策事实。</w:t>
      </w:r>
    </w:p>
    <w:p>
      <w:pPr>
        <w:spacing w:after="100" w:line="276" w:lineRule="auto"/>
      </w:pPr>
    </w:p>
    <w:p>
      <w:pPr>
        <w:keepNext/>
        <w:spacing w:before="120" w:after="100" w:line="276" w:lineRule="auto"/>
        <w:jc w:val="center"/>
      </w:pPr>
      <w:r>
        <w:rPr>
          <w:rFonts w:ascii="Arial Unicode MS" w:hAnsi="Arial Unicode MS" w:eastAsia="Arial Unicode MS"/>
          <w:color w:val="000000"/>
        </w:rPr>
        <w:drawing>
          <wp:inline xmlns:a="http://schemas.openxmlformats.org/drawingml/2006/main" xmlns:pic="http://schemas.openxmlformats.org/drawingml/2006/picture">
            <wp:extent cx="5669280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3_stock_deep_re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76" w:lineRule="auto"/>
        <w:jc w:val="center"/>
      </w:pPr>
      <w:r>
        <w:rPr>
          <w:rFonts w:ascii="Arial Unicode MS" w:hAnsi="Arial Unicode MS" w:eastAsia="Arial Unicode MS"/>
          <w:color w:val="000000"/>
          <w:sz w:val="20"/>
        </w:rPr>
        <w:t>图：标的基本面分析卡片（以 300750 宁德时代为例）</w:t>
      </w:r>
    </w:p>
    <w:p>
      <w:pPr>
        <w:pStyle w:val="Heading2"/>
        <w:keepNext/>
        <w:pageBreakBefore/>
        <w:spacing w:before="160" w:after="100" w:line="276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2.4 调仓计划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按当前持仓与目标权重安排调仓顺序。仅生成计划，不自动交易。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技术实现：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换手率约束：设置死区阈值（Deadband），将换手率控制在 14.0%，避免频繁无效调仓。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交易执行时序：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    - 第一步（卖出）：减持 001234 科技先锋混合（12.0% -&gt; 6.0%），释放现金 30,000 元。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    - 第二步（卖出）：减持 512480 半导体 ETF（10.0% -&gt; 5.0%），释放现金 25,000 元。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    - 第三步（买入）：增持 510300 沪深300 ETF（18.0% -&gt; 29.0%），使用释放资金 55,000 元。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调仓效果评估：调仓后科技板块敞口降至 16.5%，符合风控安全区间。</w:t>
      </w:r>
    </w:p>
    <w:p>
      <w:pPr>
        <w:spacing w:after="100" w:line="276" w:lineRule="auto"/>
      </w:pPr>
    </w:p>
    <w:p>
      <w:pPr>
        <w:keepNext/>
        <w:spacing w:before="120" w:after="100" w:line="276" w:lineRule="auto"/>
        <w:jc w:val="center"/>
      </w:pPr>
      <w:r>
        <w:rPr>
          <w:rFonts w:ascii="Arial Unicode MS" w:hAnsi="Arial Unicode MS" w:eastAsia="Arial Unicode MS"/>
          <w:color w:val="000000"/>
        </w:rPr>
        <w:drawing>
          <wp:inline xmlns:a="http://schemas.openxmlformats.org/drawingml/2006/main" xmlns:pic="http://schemas.openxmlformats.org/drawingml/2006/picture">
            <wp:extent cx="5669280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3_rebalancing_plan_step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76" w:lineRule="auto"/>
        <w:jc w:val="center"/>
      </w:pPr>
      <w:r>
        <w:rPr>
          <w:rFonts w:ascii="Arial Unicode MS" w:hAnsi="Arial Unicode MS" w:eastAsia="Arial Unicode MS"/>
          <w:color w:val="000000"/>
          <w:sz w:val="20"/>
        </w:rPr>
        <w:t>图：再平衡方案执行时序界面（换手率 14%，先卖后买）</w:t>
      </w:r>
    </w:p>
    <w:p>
      <w:pPr>
        <w:pStyle w:val="Heading2"/>
        <w:keepNext/>
        <w:pageBreakBefore/>
        <w:spacing w:before="160" w:after="100" w:line="276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2.5 持仓与画像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解析持仓文本，设置风险等级、回撤容忍度与行业上限。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技术实现：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自然语言实体解析：从非结构化文本中自动提取标的代码、名称、份额或比例信息。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画像参数配置：支持 R1~R5 风险偏好、最大容忍回撤及单一行业集中度限制的实时调整。</w:t>
      </w:r>
    </w:p>
    <w:p>
      <w:pPr>
        <w:spacing w:after="100" w:line="276" w:lineRule="auto"/>
      </w:pPr>
    </w:p>
    <w:p>
      <w:pPr>
        <w:keepNext/>
        <w:spacing w:before="120" w:after="100" w:line="276" w:lineRule="auto"/>
        <w:jc w:val="center"/>
      </w:pPr>
      <w:r>
        <w:rPr>
          <w:rFonts w:ascii="Arial Unicode MS" w:hAnsi="Arial Unicode MS" w:eastAsia="Arial Unicode MS"/>
          <w:color w:val="000000"/>
        </w:rP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3_portfolio_input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76" w:lineRule="auto"/>
        <w:jc w:val="center"/>
      </w:pPr>
      <w:r>
        <w:rPr>
          <w:rFonts w:ascii="Arial Unicode MS" w:hAnsi="Arial Unicode MS" w:eastAsia="Arial Unicode MS"/>
          <w:color w:val="000000"/>
          <w:sz w:val="20"/>
        </w:rPr>
        <w:t>图：自然语言持仓解析对话框</w:t>
      </w:r>
    </w:p>
    <w:p>
      <w:pPr>
        <w:pStyle w:val="Heading2"/>
        <w:keepNext/>
        <w:pageBreakBefore/>
        <w:spacing w:line="276" w:lineRule="auto" w:after="100"/>
      </w:pPr>
      <w:r>
        <w:rPr>
          <w:rFonts w:ascii="Arial Unicode MS" w:hAnsi="Arial Unicode MS" w:eastAsia="Arial Unicode MS"/>
          <w:color w:val="000000"/>
        </w:rPr>
        <w:t>风险画像设置</w:t>
      </w:r>
    </w:p>
    <w:p>
      <w:pPr>
        <w:keepNext/>
        <w:spacing w:before="120" w:after="100" w:line="276" w:lineRule="auto"/>
        <w:jc w:val="center"/>
      </w:pPr>
      <w:r>
        <w:rPr>
          <w:rFonts w:ascii="Arial Unicode MS" w:hAnsi="Arial Unicode MS" w:eastAsia="Arial Unicode MS"/>
          <w:color w:val="000000"/>
        </w:rP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3_user_profile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76" w:lineRule="auto"/>
        <w:jc w:val="center"/>
      </w:pPr>
      <w:r>
        <w:rPr>
          <w:rFonts w:ascii="Arial Unicode MS" w:hAnsi="Arial Unicode MS" w:eastAsia="Arial Unicode MS"/>
          <w:color w:val="000000"/>
          <w:sz w:val="20"/>
        </w:rPr>
        <w:t>图：用户风险画像与约束配置对话框</w:t>
      </w:r>
    </w:p>
    <w:p>
      <w:pPr>
        <w:pStyle w:val="Heading1"/>
        <w:keepNext/>
        <w:pageBreakBefore/>
        <w:spacing w:before="240" w:after="100" w:line="276" w:lineRule="auto"/>
      </w:pPr>
      <w:r>
        <w:rPr>
          <w:rFonts w:ascii="Arial Unicode MS" w:hAnsi="Arial Unicode MS" w:eastAsia="Arial Unicode MS"/>
          <w:b/>
          <w:color w:val="000000"/>
          <w:sz w:val="30"/>
        </w:rPr>
        <w:t>3 模型与评测</w:t>
      </w:r>
    </w:p>
    <w:p>
      <w:pPr>
        <w:pStyle w:val="Heading2"/>
        <w:keepNext/>
        <w:pageBreakBefore w:val="0"/>
        <w:spacing w:before="160" w:after="100" w:line="276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3.1 分析依据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展示影响结论的关键因素，推演风险偏好或持仓变化对建议的影响。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技术实现：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权重归因计算：量化各因子对调仓决策的贡献比例——风险预算约束占 45%、用户画像约束占 35%、基本面因子占 20%。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反事实推演：计算若放宽集中度上限或调整风险等级时，系统再平衡策略的对应变化。</w:t>
      </w:r>
    </w:p>
    <w:p>
      <w:pPr>
        <w:spacing w:after="100" w:line="276" w:lineRule="auto"/>
      </w:pPr>
    </w:p>
    <w:p>
      <w:pPr>
        <w:keepNext/>
        <w:spacing w:before="120" w:after="100" w:line="276" w:lineRule="auto"/>
        <w:jc w:val="center"/>
      </w:pPr>
      <w:r>
        <w:rPr>
          <w:rFonts w:ascii="Arial Unicode MS" w:hAnsi="Arial Unicode MS" w:eastAsia="Arial Unicode MS"/>
          <w:color w:val="000000"/>
        </w:rP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2_advanced_explainability_da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76" w:lineRule="auto"/>
        <w:jc w:val="center"/>
      </w:pPr>
      <w:r>
        <w:rPr>
          <w:rFonts w:ascii="Arial Unicode MS" w:hAnsi="Arial Unicode MS" w:eastAsia="Arial Unicode MS"/>
          <w:color w:val="000000"/>
          <w:sz w:val="20"/>
        </w:rPr>
        <w:t>图：决策因果归因权重与反事实推演分析</w:t>
      </w:r>
    </w:p>
    <w:p>
      <w:pPr>
        <w:pStyle w:val="Heading2"/>
        <w:keepNext/>
        <w:pageBreakBefore/>
        <w:spacing w:before="160" w:after="100" w:line="276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3.2 情景压力测试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模拟市场压力情景，对比组合风险。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技术实现：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情景设置：选择市场或持仓变化情景，评估风险与目标权重。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指标对比：对比基准组合与优化组合的波动率、最大回撤与下行风险。</w:t>
      </w:r>
    </w:p>
    <w:p>
      <w:pPr>
        <w:spacing w:after="100" w:line="276" w:lineRule="auto"/>
      </w:pPr>
    </w:p>
    <w:p>
      <w:pPr>
        <w:keepNext/>
        <w:spacing w:before="120" w:after="100" w:line="276" w:lineRule="auto"/>
        <w:jc w:val="center"/>
      </w:pPr>
      <w:r>
        <w:rPr>
          <w:rFonts w:ascii="Arial Unicode MS" w:hAnsi="Arial Unicode MS" w:eastAsia="Arial Unicode MS"/>
          <w:color w:val="000000"/>
        </w:rPr>
        <w:drawing>
          <wp:inline xmlns:a="http://schemas.openxmlformats.org/drawingml/2006/main" xmlns:pic="http://schemas.openxmlformats.org/drawingml/2006/picture">
            <wp:extent cx="5669280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2_scenario_simulation_di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76" w:lineRule="auto"/>
        <w:jc w:val="center"/>
      </w:pPr>
      <w:r>
        <w:rPr>
          <w:rFonts w:ascii="Arial Unicode MS" w:hAnsi="Arial Unicode MS" w:eastAsia="Arial Unicode MS"/>
          <w:color w:val="000000"/>
          <w:sz w:val="20"/>
        </w:rPr>
        <w:t>图：情景模拟入口</w:t>
      </w:r>
    </w:p>
    <w:p>
      <w:pPr>
        <w:pStyle w:val="Heading2"/>
        <w:keepNext/>
        <w:pageBreakBefore/>
        <w:spacing w:before="160" w:after="100" w:line="276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3.3 评测结果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评测输出一致性、规则合规性与响应性能。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评测结果：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事实幻觉率：0.00%，所有输出指标均严格绑定底层权威数据源。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响应时延：P50 延迟 4.39ms，P95 延迟 12.8ms，满足高频并发调用需求。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规则合规率：100.0%，投资组合约束与风控边界无一违规。</w:t>
      </w:r>
    </w:p>
    <w:p>
      <w:pPr>
        <w:spacing w:after="100" w:line="276" w:lineRule="auto"/>
      </w:pPr>
    </w:p>
    <w:p>
      <w:pPr>
        <w:keepNext/>
        <w:spacing w:before="120" w:after="100" w:line="276" w:lineRule="auto"/>
        <w:jc w:val="center"/>
      </w:pPr>
      <w:r>
        <w:rPr>
          <w:rFonts w:ascii="Arial Unicode MS" w:hAnsi="Arial Unicode MS" w:eastAsia="Arial Unicode MS"/>
          <w:color w:val="000000"/>
        </w:rPr>
        <w:drawing>
          <wp:inline xmlns:a="http://schemas.openxmlformats.org/drawingml/2006/main" xmlns:pic="http://schemas.openxmlformats.org/drawingml/2006/picture">
            <wp:extent cx="5669280" cy="4251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v2_evaluation_dashboard_scorec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76" w:lineRule="auto"/>
        <w:jc w:val="center"/>
      </w:pPr>
      <w:r>
        <w:rPr>
          <w:rFonts w:ascii="Arial Unicode MS" w:hAnsi="Arial Unicode MS" w:eastAsia="Arial Unicode MS"/>
          <w:color w:val="000000"/>
          <w:sz w:val="20"/>
        </w:rPr>
        <w:t>图：自动化评测指标与回归测试结果看板</w:t>
      </w:r>
    </w:p>
    <w:p>
      <w:pPr>
        <w:pStyle w:val="Heading1"/>
        <w:keepNext/>
        <w:pageBreakBefore/>
        <w:spacing w:before="240" w:after="100" w:line="276" w:lineRule="auto"/>
      </w:pPr>
      <w:r>
        <w:rPr>
          <w:rFonts w:ascii="Arial Unicode MS" w:hAnsi="Arial Unicode MS" w:eastAsia="Arial Unicode MS"/>
          <w:b/>
          <w:color w:val="000000"/>
          <w:sz w:val="30"/>
        </w:rPr>
        <w:t>4 后端能力</w:t>
      </w:r>
    </w:p>
    <w:p>
      <w:pPr>
        <w:pStyle w:val="Heading2"/>
        <w:keepNext/>
        <w:pageBreakBefore w:val="0"/>
        <w:spacing w:before="160" w:after="100" w:line="276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4.1 API 接口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基于 FastAPI 提供接口、OpenAPI 文档与数据校验。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主要接口划分：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/api/v1/health-check: 持仓底层穿透与集中度计算接口。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/api/v1/rebalance: 考虑换手率与流动性约束的组合优化接口。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/api/v1/scenario-simulation: 宏观与行业情景压力测试接口。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/api/v1/explainability: 归因权重与反事实分析接口。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/api/v1/eval: 事实一致性与评测审计接口。</w:t>
      </w:r>
    </w:p>
    <w:p>
      <w:pPr>
        <w:spacing w:after="100" w:line="276" w:lineRule="auto"/>
      </w:pPr>
    </w:p>
    <w:p>
      <w:pPr>
        <w:keepNext/>
        <w:spacing w:before="120" w:after="100" w:line="276" w:lineRule="auto"/>
        <w:jc w:val="center"/>
      </w:pPr>
      <w:r>
        <w:rPr>
          <w:rFonts w:ascii="Arial Unicode MS" w:hAnsi="Arial Unicode MS" w:eastAsia="Arial Unicode MS"/>
          <w:color w:val="000000"/>
        </w:rPr>
        <w:drawing>
          <wp:inline xmlns:a="http://schemas.openxmlformats.org/drawingml/2006/main" xmlns:pic="http://schemas.openxmlformats.org/drawingml/2006/picture">
            <wp:extent cx="5669280" cy="4251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ackend_api_architecture_swagg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76" w:lineRule="auto"/>
        <w:jc w:val="center"/>
      </w:pPr>
      <w:r>
        <w:rPr>
          <w:rFonts w:ascii="Arial Unicode MS" w:hAnsi="Arial Unicode MS" w:eastAsia="Arial Unicode MS"/>
          <w:color w:val="000000"/>
          <w:sz w:val="20"/>
        </w:rPr>
        <w:t>图：API 文档入口与接口示例</w:t>
      </w:r>
    </w:p>
    <w:p>
      <w:pPr>
        <w:pStyle w:val="Heading2"/>
        <w:keepNext/>
        <w:pageBreakBefore/>
        <w:spacing w:before="160" w:after="100" w:line="276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4.2 研究与证据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研究覆盖宏观、行业、标的与风险。结论通过证据链追溯至事实和数据来源。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>技术实现：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证据链分层：遵循「分析结论 (Finding) -&gt; 客观事实 (Fact) -&gt; 数据凭证 (Evidence)」的三层追溯模型。</w:t>
      </w:r>
    </w:p>
    <w:p>
      <w:pPr>
        <w:spacing w:before="20" w:after="100" w:line="276" w:lineRule="auto"/>
      </w:pPr>
      <w:r>
        <w:rPr>
          <w:rFonts w:ascii="Arial Unicode MS" w:hAnsi="Arial Unicode MS" w:eastAsia="Arial Unicode MS"/>
          <w:color w:val="000000"/>
          <w:sz w:val="20"/>
        </w:rPr>
        <w:t xml:space="preserve">  • 双源校验：核心财务与行情数据经由同花顺问财与研报多方校验后入库，确保数据输入可信。</w:t>
      </w:r>
    </w:p>
    <w:p>
      <w:pPr>
        <w:spacing w:after="100" w:line="276" w:lineRule="auto"/>
      </w:pPr>
    </w:p>
    <w:p>
      <w:pPr>
        <w:keepNext/>
        <w:spacing w:before="120" w:after="100" w:line="276" w:lineRule="auto"/>
        <w:jc w:val="center"/>
      </w:pPr>
      <w:r>
        <w:rPr>
          <w:rFonts w:ascii="Arial Unicode MS" w:hAnsi="Arial Unicode MS" w:eastAsia="Arial Unicode MS"/>
          <w:color w:val="000000"/>
        </w:rPr>
        <w:drawing>
          <wp:inline xmlns:a="http://schemas.openxmlformats.org/drawingml/2006/main" xmlns:pic="http://schemas.openxmlformats.org/drawingml/2006/picture">
            <wp:extent cx="5669280" cy="4251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v1_developer_research_matri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76" w:lineRule="auto"/>
        <w:jc w:val="center"/>
      </w:pPr>
      <w:r>
        <w:rPr>
          <w:rFonts w:ascii="Arial Unicode MS" w:hAnsi="Arial Unicode MS" w:eastAsia="Arial Unicode MS"/>
          <w:color w:val="000000"/>
          <w:sz w:val="20"/>
        </w:rPr>
        <w:t>图：多维投研分析与证据追溯架构</w:t>
      </w:r>
    </w:p>
    <w:p>
      <w:pPr>
        <w:spacing w:line="276" w:lineRule="auto" w:after="100"/>
      </w:pPr>
      <w:r>
        <w:rPr>
          <w:rFonts w:ascii="Arial Unicode MS" w:hAnsi="Arial Unicode MS" w:eastAsia="Arial Unicode MS"/>
          <w:color w:val="000000"/>
          <w:sz w:val="20"/>
        </w:rPr>
        <w:br w:type="page"/>
      </w:r>
    </w:p>
    <w:p>
      <w:pPr>
        <w:pStyle w:val="Heading1"/>
        <w:spacing w:line="276" w:lineRule="auto" w:after="100"/>
      </w:pPr>
      <w:r>
        <w:rPr>
          <w:rFonts w:ascii="Arial Unicode MS" w:hAnsi="Arial Unicode MS" w:eastAsia="Arial Unicode MS"/>
          <w:color w:val="000000"/>
        </w:rPr>
        <w:t>5 界面文案更新</w:t>
      </w:r>
    </w:p>
    <w:p>
      <w:pPr>
        <w:spacing w:line="276" w:lineRule="auto" w:after="100"/>
      </w:pPr>
      <w:r>
        <w:rPr>
          <w:rFonts w:ascii="Arial Unicode MS" w:hAnsi="Arial Unicode MS" w:eastAsia="Arial Unicode MS"/>
          <w:color w:val="000000"/>
          <w:sz w:val="20"/>
        </w:rPr>
        <w:t>更新日期：2026 年 9 月 7 日。标题直接说明功能，正文使用短句。首页、工具页与动态提示共调整 49 处，保留风险和交易边界说明。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展示位置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当前文案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首页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持仓分析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工作区概览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投资分析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研究入口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标的研究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调仓工具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调仓顺序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调仓按钮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生成调仓计划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结果解释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/>
            </w:pPr>
            <w:r>
              <w:rPr>
                <w:rFonts w:ascii="Arial Unicode MS" w:hAnsi="Arial Unicode MS" w:eastAsia="Arial Unicode MS"/>
                <w:color w:val="000000"/>
                <w:sz w:val="20"/>
              </w:rPr>
              <w:t>分析依据</w:t>
            </w:r>
          </w:p>
        </w:tc>
      </w:tr>
    </w:tbl>
    <w:p>
      <w:pPr>
        <w:spacing w:line="276" w:lineRule="auto" w:after="100"/>
      </w:pPr>
      <w:r>
        <w:rPr>
          <w:rFonts w:ascii="Arial Unicode MS" w:hAnsi="Arial Unicode MS" w:eastAsia="Arial Unicode MS"/>
          <w:color w:val="000000"/>
          <w:sz w:val="20"/>
        </w:rPr>
        <w:t>说明围绕用途、操作与结果展开。空状态直接提示可查看的内容，避免重复铺垫。</w:t>
      </w:r>
    </w:p>
    <w:p>
      <w:pPr>
        <w:pStyle w:val="Heading2"/>
        <w:pageBreakBefore/>
        <w:spacing w:line="276" w:lineRule="auto" w:after="100"/>
      </w:pPr>
      <w:r>
        <w:rPr>
          <w:rFonts w:ascii="Arial Unicode MS" w:hAnsi="Arial Unicode MS" w:eastAsia="Arial Unicode MS"/>
          <w:color w:val="000000"/>
        </w:rPr>
        <w:t>投资分析页面</w:t>
      </w:r>
    </w:p>
    <w:p>
      <w:pPr>
        <w:keepNext/>
        <w:spacing w:line="276" w:lineRule="auto" w:after="100"/>
      </w:pPr>
      <w:r>
        <w:rPr>
          <w:rFonts w:ascii="Arial Unicode MS" w:hAnsi="Arial Unicode MS" w:eastAsia="Arial Unicode MS"/>
          <w:color w:val="000000"/>
        </w:rPr>
        <w:drawing>
          <wp:inline xmlns:a="http://schemas.openxmlformats.org/drawingml/2006/main" xmlns:pic="http://schemas.openxmlformats.org/drawingml/2006/picture">
            <wp:extent cx="5669280" cy="42519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  <w:spacing w:line="276" w:lineRule="auto" w:after="100"/>
      </w:pPr>
      <w:r>
        <w:rPr>
          <w:rFonts w:ascii="Arial Unicode MS" w:hAnsi="Arial Unicode MS" w:eastAsia="Arial Unicode MS"/>
          <w:color w:val="000000"/>
        </w:rPr>
        <w:t>调仓计划页面</w:t>
      </w:r>
    </w:p>
    <w:p>
      <w:pPr>
        <w:keepNext/>
        <w:spacing w:line="276" w:lineRule="auto" w:after="100"/>
      </w:pPr>
      <w:r>
        <w:rPr>
          <w:rFonts w:ascii="Arial Unicode MS" w:hAnsi="Arial Unicode MS" w:eastAsia="Arial Unicode MS"/>
          <w:color w:val="000000"/>
        </w:rPr>
        <w:drawing>
          <wp:inline xmlns:a="http://schemas.openxmlformats.org/drawingml/2006/main" xmlns:pic="http://schemas.openxmlformats.org/drawingml/2006/picture">
            <wp:extent cx="5669280" cy="42519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完整窗口截图保留导航、主内容区与操作入口。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版本迭代与成果展示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