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55D" w14:textId="460925B1" w:rsidR="00840CCB" w:rsidRPr="004952E8" w:rsidRDefault="00A251C5" w:rsidP="00741CC9">
      <w:pPr>
        <w:pStyle w:val="Title"/>
        <w:keepNext/>
        <w:keepLines/>
        <w:pageBreakBefore w:val="0"/>
        <w:widowControl/>
        <w:spacing w:before="380" w:after="140" w:line="288" w:lineRule="auto"/>
        <w:ind w:firstLine="0" w:left="0"/>
        <w:jc w:val="left"/>
        <w:outlineLvl w:val="0"/>
        <w:rPr>
          <w:rFonts w:ascii="楷体" w:eastAsia="楷体" w:hAnsi="楷体" w:hint="eastAsia"/>
          <w:color w:val="000000" w:themeColor="text1"/>
          <w:sz w:val="52"/>
          <w:szCs w:val="52"/>
        </w:rPr>
      </w:pPr>
      <w:r>
        <w:rPr>
          <w:rFonts w:ascii="楷体" w:hAnsi="楷体" w:eastAsia="楷体"/>
          <w:b/>
          <w:color w:val="000000"/>
          <w:sz w:val="52"/>
        </w:rPr>
        <w:t>S2C 技术路线及实现方案</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3.1 项目总体设计</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3.1.1 项目架构设计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面向证券研究与个性化投资决策支持，围绕用户确认的投资者画像、持仓和分析目的，组织金融数据查询、专业研究、确定性计算、风险审查与结果展示。浏览器工作台承担资料输入和交互，FastAPI 服务承担请求校验和任务协调，领域模块承担金融计算与规则检查，存储模块保存资料版本、研究事实和决策记录。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系统采用模块化单体架构，各模块在同一应用中通过结构化对象协作。前端使用 HTTP 提交请求和读取结果，使用 SSE 接收对话内容及工具执行事件。外部金融服务和语言模型通过独立适配模块接入，应用内部保留提供方、来源、数据时间、缺失字段和处理状态。</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2966442"/>
            <wp:docPr id="1" name="Picture 1"/>
            <wp:cNvGraphicFramePr>
              <a:graphicFrameLocks noChangeAspect="1"/>
            </wp:cNvGraphicFramePr>
            <a:graphic>
              <a:graphicData uri="http://schemas.openxmlformats.org/drawingml/2006/picture">
                <pic:pic>
                  <pic:nvPicPr>
                    <pic:cNvPr id="0" name="Prism系统技术架构.png"/>
                    <pic:cNvPicPr/>
                  </pic:nvPicPr>
                  <pic:blipFill>
                    <a:blip r:embed="rId8"/>
                    <a:stretch>
                      <a:fillRect/>
                    </a:stretch>
                  </pic:blipFill>
                  <pic:spPr>
                    <a:xfrm>
                      <a:off x="0" y="0"/>
                      <a:ext cx="5273675" cy="296644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 系统技术架构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在图 3-1 中，用户交互层接收问题、问卷、持仓和研究资料；FastAPI、Pydantic 与应用服务检查用户归属、参数及上下文。画像、组合、研究、风险和合规模块完成评分、预算、暴露、证据及交易约束检查。LLM client 与金融 Provider 保留外部请求的处理结果和质量状态，SQLite 或 PostgreSQL 保存当前资料、历史资料、研究事实和回执。</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各流程使用与其任务相适应的校验条件。</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3.1.2 大模型设计</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使用模型介绍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语言模型负责理解用户意图、解析输入字段、选择查询工具及解释已有结果。金额、比例、成分穿透、集中度和交易数量由 Python 领域模块计算。系统提示词对上述职责作出明确规定，涉及行情、财务指标和基金披露持仓的问题需要调用对应金融工具。</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系统通过 </w:t>
      </w:r>
      <w:r>
        <w:rPr>
          <w:rFonts w:ascii="楷体" w:hAnsi="楷体" w:eastAsia="楷体"/>
          <w:b w:val="0"/>
          <w:color w:val="000000"/>
          <w:sz w:val="24"/>
        </w:rPr>
        <w:t>AsyncLLMClient</w:t>
      </w:r>
      <w:r>
        <w:rPr>
          <w:rFonts w:ascii="楷体" w:hAnsi="楷体" w:eastAsia="楷体"/>
          <w:b w:val="0"/>
          <w:color w:val="000000"/>
          <w:sz w:val="24"/>
        </w:rPr>
        <w:t xml:space="preserve"> 调用 OpenAI-compatible 的 </w:t>
      </w:r>
      <w:r>
        <w:rPr>
          <w:rFonts w:ascii="楷体" w:hAnsi="楷体" w:eastAsia="楷体"/>
          <w:b w:val="0"/>
          <w:color w:val="000000"/>
          <w:sz w:val="24"/>
        </w:rPr>
        <w:t>/chat/completions</w:t>
      </w:r>
      <w:r>
        <w:rPr>
          <w:rFonts w:ascii="楷体" w:hAnsi="楷体" w:eastAsia="楷体"/>
          <w:b w:val="0"/>
          <w:color w:val="000000"/>
          <w:sz w:val="24"/>
        </w:rPr>
        <w:t xml:space="preserve"> 接口，采用 HTTPX 异步请求处理流式内容及工具调用参数。</w:t>
      </w:r>
      <w:r>
        <w:rPr>
          <w:rFonts w:ascii="楷体" w:hAnsi="楷体" w:eastAsia="楷体"/>
          <w:b w:val="0"/>
          <w:color w:val="000000"/>
          <w:sz w:val="24"/>
        </w:rPr>
        <w:t>LLMConfig</w:t>
      </w:r>
      <w:r>
        <w:rPr>
          <w:rFonts w:ascii="楷体" w:hAnsi="楷体" w:eastAsia="楷体"/>
          <w:b w:val="0"/>
          <w:color w:val="000000"/>
          <w:sz w:val="24"/>
        </w:rPr>
        <w:t xml:space="preserve"> 管理服务地址、模型名称、温度和请求时间。代码中的默认模型名称为 </w:t>
      </w:r>
      <w:r>
        <w:rPr>
          <w:rFonts w:ascii="楷体" w:hAnsi="楷体" w:eastAsia="楷体"/>
          <w:b w:val="0"/>
          <w:color w:val="000000"/>
          <w:sz w:val="24"/>
        </w:rPr>
        <w:t>deepseek-v4-flash</w:t>
      </w:r>
      <w:r>
        <w:rPr>
          <w:rFonts w:ascii="楷体" w:hAnsi="楷体" w:eastAsia="楷体"/>
          <w:b w:val="0"/>
          <w:color w:val="000000"/>
          <w:sz w:val="24"/>
        </w:rPr>
        <w:t>，服务端配置可以指定其他兼容模型；实际可用性取决于配置的服务、凭据和接口能力。</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配置字段</w:t>
            </w:r>
          </w:p>
        </w:tc>
        <w:tc>
          <w:tcPr>
            <w:tcW w:type="dxa" w:w="2239"/>
          </w:tcPr>
          <w:p>
            <w:pPr>
              <w:keepNext/>
              <w:widowControl/>
              <w:spacing w:before="60" w:after="60" w:line="264" w:lineRule="auto"/>
              <w:ind w:firstLine="0" w:left="0"/>
            </w:pPr>
            <w:r>
              <w:rPr>
                <w:rFonts w:ascii="楷体" w:hAnsi="楷体" w:eastAsia="楷体"/>
                <w:b/>
                <w:color w:val="000000"/>
                <w:sz w:val="19"/>
              </w:rPr>
              <w:t>代码默认值</w:t>
            </w:r>
          </w:p>
        </w:tc>
        <w:tc>
          <w:tcPr>
            <w:tcW w:type="dxa" w:w="2239"/>
          </w:tcPr>
          <w:p>
            <w:pPr>
              <w:keepNext/>
              <w:widowControl/>
              <w:spacing w:before="60" w:after="60" w:line="264" w:lineRule="auto"/>
              <w:ind w:firstLine="0" w:left="0"/>
            </w:pPr>
            <w:r>
              <w:rPr>
                <w:rFonts w:ascii="楷体" w:hAnsi="楷体" w:eastAsia="楷体"/>
                <w:b/>
                <w:color w:val="000000"/>
                <w:sz w:val="19"/>
              </w:rPr>
              <w:t>配置作用</w:t>
            </w:r>
          </w:p>
        </w:tc>
        <w:tc>
          <w:tcPr>
            <w:tcW w:type="dxa" w:w="2239"/>
          </w:tcPr>
          <w:p>
            <w:pPr>
              <w:keepNext/>
              <w:widowControl/>
              <w:spacing w:before="60" w:after="60" w:line="264" w:lineRule="auto"/>
              <w:ind w:firstLine="0" w:left="0"/>
            </w:pPr>
            <w:r>
              <w:rPr>
                <w:rFonts w:ascii="楷体" w:hAnsi="楷体" w:eastAsia="楷体"/>
                <w:b/>
                <w:color w:val="000000"/>
                <w:sz w:val="19"/>
              </w:rPr>
              <w:t>使用条件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model</w:t>
            </w:r>
          </w:p>
        </w:tc>
        <w:tc>
          <w:tcPr>
            <w:tcW w:type="dxa" w:w="2239"/>
          </w:tcPr>
          <w:p>
            <w:pPr>
              <w:keepNext w:val="0"/>
              <w:widowControl/>
              <w:spacing w:before="60" w:after="60" w:line="264" w:lineRule="auto"/>
              <w:ind w:firstLine="0" w:left="0"/>
            </w:pPr>
            <w:r>
              <w:rPr>
                <w:rFonts w:ascii="楷体" w:hAnsi="楷体" w:eastAsia="楷体"/>
                <w:b w:val="0"/>
                <w:color w:val="000000"/>
                <w:sz w:val="19"/>
              </w:rPr>
              <w:t>deepseek-v4-flash</w:t>
            </w:r>
          </w:p>
        </w:tc>
        <w:tc>
          <w:tcPr>
            <w:tcW w:type="dxa" w:w="2239"/>
          </w:tcPr>
          <w:p>
            <w:pPr>
              <w:keepNext w:val="0"/>
              <w:widowControl/>
              <w:spacing w:before="60" w:after="60" w:line="264" w:lineRule="auto"/>
              <w:ind w:firstLine="0" w:left="0"/>
            </w:pPr>
            <w:r>
              <w:rPr>
                <w:rFonts w:ascii="楷体" w:hAnsi="楷体" w:eastAsia="楷体"/>
                <w:b w:val="0"/>
                <w:color w:val="000000"/>
                <w:sz w:val="19"/>
              </w:rPr>
              <w:t>指定模型名称</w:t>
            </w:r>
          </w:p>
        </w:tc>
        <w:tc>
          <w:tcPr>
            <w:tcW w:type="dxa" w:w="2239"/>
          </w:tcPr>
          <w:p>
            <w:pPr>
              <w:keepNext w:val="0"/>
              <w:widowControl/>
              <w:spacing w:before="60" w:after="60" w:line="264" w:lineRule="auto"/>
              <w:ind w:firstLine="0" w:left="0"/>
            </w:pPr>
            <w:r>
              <w:rPr>
                <w:rFonts w:ascii="楷体" w:hAnsi="楷体" w:eastAsia="楷体"/>
                <w:b w:val="0"/>
                <w:color w:val="000000"/>
                <w:sz w:val="19"/>
              </w:rPr>
              <w:t>按接入服务支持的型号配置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base_url</w:t>
            </w:r>
          </w:p>
        </w:tc>
        <w:tc>
          <w:tcPr>
            <w:tcW w:type="dxa" w:w="2239"/>
          </w:tcPr>
          <w:p>
            <w:pPr>
              <w:keepNext w:val="0"/>
              <w:widowControl/>
              <w:spacing w:before="60" w:after="60" w:line="264" w:lineRule="auto"/>
              <w:ind w:firstLine="0" w:left="0"/>
            </w:pPr>
            <w:r>
              <w:rPr>
                <w:rFonts w:ascii="楷体" w:hAnsi="楷体" w:eastAsia="楷体"/>
                <w:b w:val="0"/>
                <w:color w:val="000000"/>
                <w:sz w:val="19"/>
              </w:rPr>
              <w:t>https://api.deepseek.com/v1</w:t>
            </w:r>
          </w:p>
        </w:tc>
        <w:tc>
          <w:tcPr>
            <w:tcW w:type="dxa" w:w="2239"/>
          </w:tcPr>
          <w:p>
            <w:pPr>
              <w:keepNext w:val="0"/>
              <w:widowControl/>
              <w:spacing w:before="60" w:after="60" w:line="264" w:lineRule="auto"/>
              <w:ind w:firstLine="0" w:left="0"/>
            </w:pPr>
            <w:r>
              <w:rPr>
                <w:rFonts w:ascii="楷体" w:hAnsi="楷体" w:eastAsia="楷体"/>
                <w:b w:val="0"/>
                <w:color w:val="000000"/>
                <w:sz w:val="19"/>
              </w:rPr>
              <w:t>指定兼容接口地址</w:t>
            </w:r>
          </w:p>
        </w:tc>
        <w:tc>
          <w:tcPr>
            <w:tcW w:type="dxa" w:w="2239"/>
          </w:tcPr>
          <w:p>
            <w:pPr>
              <w:keepNext w:val="0"/>
              <w:widowControl/>
              <w:spacing w:before="60" w:after="60" w:line="264" w:lineRule="auto"/>
              <w:ind w:firstLine="0" w:left="0"/>
            </w:pPr>
            <w:r>
              <w:rPr>
                <w:rFonts w:ascii="楷体" w:hAnsi="楷体" w:eastAsia="楷体"/>
                <w:b w:val="0"/>
                <w:color w:val="000000"/>
                <w:sz w:val="19"/>
              </w:rPr>
              <w:t>服务需支持对应请求与流式协议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temperature</w:t>
            </w:r>
          </w:p>
        </w:tc>
        <w:tc>
          <w:tcPr>
            <w:tcW w:type="dxa" w:w="2239"/>
          </w:tcPr>
          <w:p>
            <w:pPr>
              <w:keepNext w:val="0"/>
              <w:widowControl/>
              <w:spacing w:before="60" w:after="60" w:line="264" w:lineRule="auto"/>
              <w:ind w:firstLine="0" w:left="0"/>
            </w:pPr>
            <w:r>
              <w:rPr>
                <w:rFonts w:ascii="楷体" w:hAnsi="楷体" w:eastAsia="楷体"/>
                <w:b w:val="0"/>
                <w:color w:val="000000"/>
                <w:sz w:val="19"/>
              </w:rPr>
              <w:t>0.2</w:t>
            </w:r>
          </w:p>
        </w:tc>
        <w:tc>
          <w:tcPr>
            <w:tcW w:type="dxa" w:w="2239"/>
          </w:tcPr>
          <w:p>
            <w:pPr>
              <w:keepNext w:val="0"/>
              <w:widowControl/>
              <w:spacing w:before="60" w:after="60" w:line="264" w:lineRule="auto"/>
              <w:ind w:firstLine="0" w:left="0"/>
            </w:pPr>
            <w:r>
              <w:rPr>
                <w:rFonts w:ascii="楷体" w:hAnsi="楷体" w:eastAsia="楷体"/>
                <w:b w:val="0"/>
                <w:color w:val="000000"/>
                <w:sz w:val="19"/>
              </w:rPr>
              <w:t>控制生成采样参数</w:t>
            </w:r>
          </w:p>
        </w:tc>
        <w:tc>
          <w:tcPr>
            <w:tcW w:type="dxa" w:w="2239"/>
          </w:tcPr>
          <w:p>
            <w:pPr>
              <w:keepNext w:val="0"/>
              <w:widowControl/>
              <w:spacing w:before="60" w:after="60" w:line="264" w:lineRule="auto"/>
              <w:ind w:firstLine="0" w:left="0"/>
            </w:pPr>
            <w:r>
              <w:rPr>
                <w:rFonts w:ascii="楷体" w:hAnsi="楷体" w:eastAsia="楷体"/>
                <w:b w:val="0"/>
                <w:color w:val="000000"/>
                <w:sz w:val="19"/>
              </w:rPr>
              <w:t>属于客户端配置值</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timeout_seconds</w:t>
            </w:r>
          </w:p>
        </w:tc>
        <w:tc>
          <w:tcPr>
            <w:tcW w:type="dxa" w:w="2239"/>
          </w:tcPr>
          <w:p>
            <w:pPr>
              <w:keepNext w:val="0"/>
              <w:widowControl/>
              <w:spacing w:before="60" w:after="60" w:line="264" w:lineRule="auto"/>
              <w:ind w:firstLine="0" w:left="0"/>
            </w:pPr>
            <w:r>
              <w:rPr>
                <w:rFonts w:ascii="楷体" w:hAnsi="楷体" w:eastAsia="楷体"/>
                <w:b w:val="0"/>
                <w:color w:val="000000"/>
                <w:sz w:val="19"/>
              </w:rPr>
              <w:t>15.0 秒</w:t>
            </w:r>
          </w:p>
        </w:tc>
        <w:tc>
          <w:tcPr>
            <w:tcW w:type="dxa" w:w="2239"/>
          </w:tcPr>
          <w:p>
            <w:pPr>
              <w:keepNext w:val="0"/>
              <w:widowControl/>
              <w:spacing w:before="60" w:after="60" w:line="264" w:lineRule="auto"/>
              <w:ind w:firstLine="0" w:left="0"/>
            </w:pPr>
            <w:r>
              <w:rPr>
                <w:rFonts w:ascii="楷体" w:hAnsi="楷体" w:eastAsia="楷体"/>
                <w:b w:val="0"/>
                <w:color w:val="000000"/>
                <w:sz w:val="19"/>
              </w:rPr>
              <w:t>限制 HTTP 请求等待</w:t>
            </w:r>
          </w:p>
        </w:tc>
        <w:tc>
          <w:tcPr>
            <w:tcW w:type="dxa" w:w="2239"/>
          </w:tcPr>
          <w:p>
            <w:pPr>
              <w:keepNext w:val="0"/>
              <w:widowControl/>
              <w:spacing w:before="60" w:after="60" w:line="264" w:lineRule="auto"/>
              <w:ind w:firstLine="0" w:left="0"/>
            </w:pPr>
            <w:r>
              <w:rPr>
                <w:rFonts w:ascii="楷体" w:hAnsi="楷体" w:eastAsia="楷体"/>
                <w:b w:val="0"/>
                <w:color w:val="000000"/>
                <w:sz w:val="19"/>
              </w:rPr>
              <w:t>属于请求配置，不表示实测响应时间</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3-1 模型客户端配置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模型配置与金融数据模式分别管理。正式模型对话使用 LIVE 金融工具，并保留查询失败、部分可用和缺少资料等状态。完整模型调用需要有效服务配置；界面展示或本地处理结果分别保留其实际来源。</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研究资料语义检索使用独立的 </w:t>
      </w:r>
      <w:r>
        <w:rPr>
          <w:rFonts w:ascii="楷体" w:hAnsi="楷体" w:eastAsia="楷体"/>
          <w:b w:val="0"/>
          <w:color w:val="000000"/>
          <w:sz w:val="24"/>
        </w:rPr>
        <w:t>intfloat/multilingual-e5-small</w:t>
      </w:r>
      <w:r>
        <w:rPr>
          <w:rFonts w:ascii="楷体" w:hAnsi="楷体" w:eastAsia="楷体"/>
          <w:b w:val="0"/>
          <w:color w:val="000000"/>
          <w:sz w:val="24"/>
        </w:rPr>
        <w:t xml:space="preserve"> embedding 模型。实现固定模型 revision，以 Sentence Transformers 在 CPU 上读取本地模型文件，分别添加 </w:t>
      </w:r>
      <w:r>
        <w:rPr>
          <w:rFonts w:ascii="楷体" w:hAnsi="楷体" w:eastAsia="楷体"/>
          <w:b w:val="0"/>
          <w:color w:val="000000"/>
          <w:sz w:val="24"/>
        </w:rPr>
        <w:t xml:space="preserve">query: </w:t>
      </w:r>
      <w:r>
        <w:rPr>
          <w:rFonts w:ascii="楷体" w:hAnsi="楷体" w:eastAsia="楷体"/>
          <w:b w:val="0"/>
          <w:color w:val="000000"/>
          <w:sz w:val="24"/>
        </w:rPr>
        <w:t xml:space="preserve"> 和 </w:t>
      </w:r>
      <w:r>
        <w:rPr>
          <w:rFonts w:ascii="楷体" w:hAnsi="楷体" w:eastAsia="楷体"/>
          <w:b w:val="0"/>
          <w:color w:val="000000"/>
          <w:sz w:val="24"/>
        </w:rPr>
        <w:t xml:space="preserve">passage: </w:t>
      </w:r>
      <w:r>
        <w:rPr>
          <w:rFonts w:ascii="楷体" w:hAnsi="楷体" w:eastAsia="楷体"/>
          <w:b w:val="0"/>
          <w:color w:val="000000"/>
          <w:sz w:val="24"/>
        </w:rPr>
        <w:t xml:space="preserve"> 前缀并归一化向量。该模型用于资料检索，混合检索在满足运行与发布条件时启用。</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提示词工程介绍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提示词由系统规则、当前已确认上下文、最近消息、用户问题和工具结果共同组成。</w:t>
      </w:r>
      <w:r>
        <w:rPr>
          <w:rFonts w:ascii="楷体" w:hAnsi="楷体" w:eastAsia="楷体"/>
          <w:b w:val="0"/>
          <w:color w:val="000000"/>
          <w:sz w:val="24"/>
        </w:rPr>
        <w:t>COPILOT_SYSTEM_PROMPT</w:t>
      </w:r>
      <w:r>
        <w:rPr>
          <w:rFonts w:ascii="楷体" w:hAnsi="楷体" w:eastAsia="楷体"/>
          <w:b w:val="0"/>
          <w:color w:val="000000"/>
          <w:sz w:val="24"/>
        </w:rPr>
        <w:t xml:space="preserve"> 规定金融事实查询、资料引用、工具分工和风险揭示；</w:t>
      </w:r>
      <w:r>
        <w:rPr>
          <w:rFonts w:ascii="楷体" w:hAnsi="楷体" w:eastAsia="楷体"/>
          <w:b w:val="0"/>
          <w:color w:val="000000"/>
          <w:sz w:val="24"/>
        </w:rPr>
        <w:t>COPILOT_TOOLS</w:t>
      </w:r>
      <w:r>
        <w:rPr>
          <w:rFonts w:ascii="楷体" w:hAnsi="楷体" w:eastAsia="楷体"/>
          <w:b w:val="0"/>
          <w:color w:val="000000"/>
          <w:sz w:val="24"/>
        </w:rPr>
        <w:t xml:space="preserve"> 以 JSON Schema 声明工具名称、输入类型和必需字段。消息构建保留最近六条历史消息，以支持指代和连续追问。</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913894"/>
            <wp:docPr id="2" name="Picture 2"/>
            <wp:cNvGraphicFramePr>
              <a:graphicFrameLocks noChangeAspect="1"/>
            </wp:cNvGraphicFramePr>
            <a:graphic>
              <a:graphicData uri="http://schemas.openxmlformats.org/drawingml/2006/picture">
                <pic:pic>
                  <pic:nvPicPr>
                    <pic:cNvPr id="0" name="prompt-composition.png"/>
                    <pic:cNvPicPr/>
                  </pic:nvPicPr>
                  <pic:blipFill>
                    <a:blip r:embed="rId9"/>
                    <a:stretch>
                      <a:fillRect/>
                    </a:stretch>
                  </pic:blipFill>
                  <pic:spPr>
                    <a:xfrm>
                      <a:off x="0" y="0"/>
                      <a:ext cx="5273675" cy="5913894"/>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 提示词组织与工具处理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主要工具覆盖研究资料检索、结构化金融查询、个股行情、基金披露持仓、问财语义查询、持仓体检和调仓入口。服务端检查工具参数后执行相应请求，将结果与来源信息返回对话流程。已绑定个人前提的对话在生成期间持续校验修订和指纹；资料变化时终止当前生成并提示重新确认。</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3.1.3 软件结构设计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前端由 </w:t>
      </w:r>
      <w:r>
        <w:rPr>
          <w:rFonts w:ascii="楷体" w:hAnsi="楷体" w:eastAsia="楷体"/>
          <w:b w:val="0"/>
          <w:color w:val="000000"/>
          <w:sz w:val="24"/>
        </w:rPr>
        <w:t>index.html</w:t>
      </w:r>
      <w:r>
        <w:rPr>
          <w:rFonts w:ascii="楷体" w:hAnsi="楷体" w:eastAsia="楷体"/>
          <w:b w:val="0"/>
          <w:color w:val="000000"/>
          <w:sz w:val="24"/>
        </w:rPr>
        <w:t xml:space="preserve"> 提供页面结构，</w:t>
      </w:r>
      <w:r>
        <w:rPr>
          <w:rFonts w:ascii="楷体" w:hAnsi="楷体" w:eastAsia="楷体"/>
          <w:b w:val="0"/>
          <w:color w:val="000000"/>
          <w:sz w:val="24"/>
        </w:rPr>
        <w:t>app.js</w:t>
      </w:r>
      <w:r>
        <w:rPr>
          <w:rFonts w:ascii="楷体" w:hAnsi="楷体" w:eastAsia="楷体"/>
          <w:b w:val="0"/>
          <w:color w:val="000000"/>
          <w:sz w:val="24"/>
        </w:rPr>
        <w:t xml:space="preserve"> 组织账户范围内的状态、事件和 Hash 路由，研究页面脚本管理资料查询、任务运行和算法输入。工作流画布基于 AntV X6，文本展示使用 marked 和 DOMPurify，行情图表使用 Lightweight Charts。</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692313"/>
            <wp:docPr id="3" name="Picture 3"/>
            <wp:cNvGraphicFramePr>
              <a:graphicFrameLocks noChangeAspect="1"/>
            </wp:cNvGraphicFramePr>
            <a:graphic>
              <a:graphicData uri="http://schemas.openxmlformats.org/drawingml/2006/picture">
                <pic:pic>
                  <pic:nvPicPr>
                    <pic:cNvPr id="0" name="frontend-framework.png"/>
                    <pic:cNvPicPr/>
                  </pic:nvPicPr>
                  <pic:blipFill>
                    <a:blip r:embed="rId16"/>
                    <a:srcRect t="2706"/>
                    <a:stretch>
                      <a:fillRect/>
                    </a:stretch>
                  </pic:blipFill>
                  <pic:spPr>
                    <a:xfrm>
                      <a:off x="0" y="0"/>
                      <a:ext cx="5273675" cy="669231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3-3 前端交互与状态框架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后端按 </w:t>
      </w:r>
      <w:r>
        <w:rPr>
          <w:rFonts w:ascii="楷体" w:hAnsi="楷体" w:eastAsia="楷体"/>
          <w:b w:val="0"/>
          <w:color w:val="000000"/>
          <w:sz w:val="24"/>
        </w:rPr>
        <w:t>app/api</w:t>
      </w:r>
      <w:r>
        <w:rPr>
          <w:rFonts w:ascii="楷体" w:hAnsi="楷体" w:eastAsia="楷体"/>
          <w:b w:val="0"/>
          <w:color w:val="000000"/>
          <w:sz w:val="24"/>
        </w:rPr>
        <w:t>、</w:t>
      </w:r>
      <w:r>
        <w:rPr>
          <w:rFonts w:ascii="楷体" w:hAnsi="楷体" w:eastAsia="楷体"/>
          <w:b w:val="0"/>
          <w:color w:val="000000"/>
          <w:sz w:val="24"/>
        </w:rPr>
        <w:t>app/service</w:t>
      </w:r>
      <w:r>
        <w:rPr>
          <w:rFonts w:ascii="楷体" w:hAnsi="楷体" w:eastAsia="楷体"/>
          <w:b w:val="0"/>
          <w:color w:val="000000"/>
          <w:sz w:val="24"/>
        </w:rPr>
        <w:t>、领域模块、</w:t>
      </w:r>
      <w:r>
        <w:rPr>
          <w:rFonts w:ascii="楷体" w:hAnsi="楷体" w:eastAsia="楷体"/>
          <w:b w:val="0"/>
          <w:color w:val="000000"/>
          <w:sz w:val="24"/>
        </w:rPr>
        <w:t>app/providers</w:t>
      </w:r>
      <w:r>
        <w:rPr>
          <w:rFonts w:ascii="楷体" w:hAnsi="楷体" w:eastAsia="楷体"/>
          <w:b w:val="0"/>
          <w:color w:val="000000"/>
          <w:sz w:val="24"/>
        </w:rPr>
        <w:t>、</w:t>
      </w:r>
      <w:r>
        <w:rPr>
          <w:rFonts w:ascii="楷体" w:hAnsi="楷体" w:eastAsia="楷体"/>
          <w:b w:val="0"/>
          <w:color w:val="000000"/>
          <w:sz w:val="24"/>
        </w:rPr>
        <w:t>app/llm</w:t>
      </w:r>
      <w:r>
        <w:rPr>
          <w:rFonts w:ascii="楷体" w:hAnsi="楷体" w:eastAsia="楷体"/>
          <w:b w:val="0"/>
          <w:color w:val="000000"/>
          <w:sz w:val="24"/>
        </w:rPr>
        <w:t xml:space="preserve"> 和 </w:t>
      </w:r>
      <w:r>
        <w:rPr>
          <w:rFonts w:ascii="楷体" w:hAnsi="楷体" w:eastAsia="楷体"/>
          <w:b w:val="0"/>
          <w:color w:val="000000"/>
          <w:sz w:val="24"/>
        </w:rPr>
        <w:t>app/store</w:t>
      </w:r>
      <w:r>
        <w:rPr>
          <w:rFonts w:ascii="楷体" w:hAnsi="楷体" w:eastAsia="楷体"/>
          <w:b w:val="0"/>
          <w:color w:val="000000"/>
          <w:sz w:val="24"/>
        </w:rPr>
        <w:t xml:space="preserve"> 组织。接口层完成参数与访问校验，应用服务协调资料与执行过程，领域模块返回结构化计算和审查结果，提供方模块封装外部请求，存储模块处理事务与版本。</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677752"/>
            <wp:docPr id="4" name="Picture 4"/>
            <wp:cNvGraphicFramePr>
              <a:graphicFrameLocks noChangeAspect="1"/>
            </wp:cNvGraphicFramePr>
            <a:graphic>
              <a:graphicData uri="http://schemas.openxmlformats.org/drawingml/2006/picture">
                <pic:pic>
                  <pic:nvPicPr>
                    <pic:cNvPr id="0" name="backend-framework.png"/>
                    <pic:cNvPicPr/>
                  </pic:nvPicPr>
                  <pic:blipFill>
                    <a:blip r:embed="rId18"/>
                    <a:srcRect t="3482"/>
                    <a:stretch>
                      <a:fillRect/>
                    </a:stretch>
                  </pic:blipFill>
                  <pic:spPr>
                    <a:xfrm>
                      <a:off x="0" y="0"/>
                      <a:ext cx="5273675" cy="467775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3-4 后端分层服务框架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研究工作台在此结构上接入知识资料、LIVE 研究任务与论文算法接口。知识资料服务管理文档、片段和引用；研究执行服务管理节点依赖、排队和时间预算；算法服务对用户提交的时间序列与财务数据进行独立计算。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3.2 界面设计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界面以用户任务、所需输入和分析结果为主要内容，使用原生 HTML、CSS 和 JavaScript 构建响应式工作台。顶部导航连接主要页面，历史对话和指数切换由对应侧栏承载；参数、来源、完整结果和低频操作通过折叠区域、菜单或对话框按需显示。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842905" cy="7560000"/>
            <wp:docPr id="5" name="Picture 5"/>
            <wp:cNvGraphicFramePr>
              <a:graphicFrameLocks noChangeAspect="1"/>
            </wp:cNvGraphicFramePr>
            <a:graphic>
              <a:graphicData uri="http://schemas.openxmlformats.org/drawingml/2006/picture">
                <pic:pic>
                  <pic:nvPicPr>
                    <pic:cNvPr id="0" name="workspace-navigation.png"/>
                    <pic:cNvPicPr/>
                  </pic:nvPicPr>
                  <pic:blipFill>
                    <a:blip r:embed="rId20"/>
                    <a:stretch>
                      <a:fillRect/>
                    </a:stretch>
                  </pic:blipFill>
                  <pic:spPr>
                    <a:xfrm>
                      <a:off x="0" y="0"/>
                      <a:ext cx="4842905"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3-5 工作台页面入口与反馈</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将主要金额和风险提示放入默认区域，详细持仓、风险参考和其他分析由用户展开。研究工作台分别提供“查询金融数据”“查找资料”“算法计算”，各入口说明用途、输入和结果；工具区域集中管理参数、资料和完整记录。移动端调整栏目宽度和排列方式，保留相同的业务操作。</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前端接收服务端已计算的金融指标，显示具体数值、规则和来源。画像、持仓或数据模式变化后，相关分析需要更新当前上下文；异步请求使用上下文修订检查，保证返回结果对应用户当前选择。</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3.3 数据库设计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系统默认使用 SQLite 保存应用记录，配置 PostgreSQL 时通过 psycopg 适配相同存储操作。数据结构由 SQL migrations 管理。高频查询字段、归属、版本和时间独立存储，完整业务对象使用 JSON 字段保存，并以内容摘要检查记录完整性。</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核心数据表结构</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98"/>
        <w:gridCol w:w="2069"/>
        <w:gridCol w:w="2069"/>
        <w:gridCol w:w="2069"/>
      </w:tblGrid>
      <w:tr>
        <w:trPr>
          <w:cantSplit/>
          <w:tblHeader/>
        </w:trPr>
        <w:tc>
          <w:tcPr>
            <w:tcW w:type="dxa" w:w="2098"/>
          </w:tcPr>
          <w:p>
            <w:pPr>
              <w:keepNext/>
              <w:widowControl/>
              <w:spacing w:before="60" w:after="60" w:line="264" w:lineRule="auto"/>
              <w:ind w:firstLine="0" w:left="0"/>
            </w:pPr>
            <w:r>
              <w:rPr>
                <w:rFonts w:ascii="楷体" w:hAnsi="楷体" w:eastAsia="楷体"/>
                <w:b/>
                <w:color w:val="000000"/>
                <w:sz w:val="19"/>
              </w:rPr>
              <w:t>数据表</w:t>
            </w:r>
          </w:p>
        </w:tc>
        <w:tc>
          <w:tcPr>
            <w:tcW w:type="dxa" w:w="2069"/>
          </w:tcPr>
          <w:p>
            <w:pPr>
              <w:keepNext/>
              <w:widowControl/>
              <w:spacing w:before="60" w:after="60" w:line="264" w:lineRule="auto"/>
              <w:ind w:firstLine="0" w:left="0"/>
            </w:pPr>
            <w:r>
              <w:rPr>
                <w:rFonts w:ascii="楷体" w:hAnsi="楷体" w:eastAsia="楷体"/>
                <w:b/>
                <w:color w:val="000000"/>
                <w:sz w:val="19"/>
              </w:rPr>
              <w:t>主要字段</w:t>
            </w:r>
          </w:p>
        </w:tc>
        <w:tc>
          <w:tcPr>
            <w:tcW w:type="dxa" w:w="2069"/>
          </w:tcPr>
          <w:p>
            <w:pPr>
              <w:keepNext/>
              <w:widowControl/>
              <w:spacing w:before="60" w:after="60" w:line="264" w:lineRule="auto"/>
              <w:ind w:firstLine="0" w:left="0"/>
            </w:pPr>
            <w:r>
              <w:rPr>
                <w:rFonts w:ascii="楷体" w:hAnsi="楷体" w:eastAsia="楷体"/>
                <w:b/>
                <w:color w:val="000000"/>
                <w:sz w:val="19"/>
              </w:rPr>
              <w:t>主键或约束</w:t>
            </w:r>
          </w:p>
        </w:tc>
        <w:tc>
          <w:tcPr>
            <w:tcW w:type="dxa" w:w="2069"/>
          </w:tcPr>
          <w:p>
            <w:pPr>
              <w:keepNext/>
              <w:widowControl/>
              <w:spacing w:before="60" w:after="60" w:line="264" w:lineRule="auto"/>
              <w:ind w:firstLine="0" w:left="0"/>
            </w:pPr>
            <w:r>
              <w:rPr>
                <w:rFonts w:ascii="楷体" w:hAnsi="楷体" w:eastAsia="楷体"/>
                <w:b/>
                <w:color w:val="000000"/>
                <w:sz w:val="19"/>
              </w:rPr>
              <w:t>保存内容</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questionnaire_snapshots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snapshot_version</w:t>
            </w:r>
            <w:r>
              <w:rPr>
                <w:rFonts w:ascii="楷体" w:hAnsi="楷体" w:eastAsia="楷体"/>
                <w:b w:val="0"/>
                <w:color w:val="000000"/>
                <w:sz w:val="19"/>
              </w:rPr>
              <w:t>、</w:t>
            </w:r>
            <w:r>
              <w:rPr>
                <w:rFonts w:ascii="楷体" w:hAnsi="楷体" w:eastAsia="楷体"/>
                <w:b w:val="0"/>
                <w:color w:val="000000"/>
                <w:sz w:val="19"/>
              </w:rPr>
              <w:t>ruleset_version</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 xml:space="preserve"> 主键；用户与版本唯一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已确认问卷与画像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current_portfolios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data_mode</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用户与数据模式联合主键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当前持仓对象</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portfolio_reports</w:t>
            </w:r>
          </w:p>
        </w:tc>
        <w:tc>
          <w:tcPr>
            <w:tcW w:type="dxa" w:w="2069"/>
          </w:tcPr>
          <w:p>
            <w:pPr>
              <w:keepNext w:val="0"/>
              <w:widowControl/>
              <w:spacing w:before="60" w:after="60" w:line="264" w:lineRule="auto"/>
              <w:ind w:firstLine="0" w:left="0"/>
            </w:pPr>
            <w:r>
              <w:rPr>
                <w:rFonts w:ascii="楷体" w:hAnsi="楷体" w:eastAsia="楷体"/>
                <w:b w:val="0"/>
                <w:color w:val="000000"/>
                <w:sz w:val="19"/>
              </w:rPr>
              <w:t>report_id</w:t>
            </w:r>
            <w:r>
              <w:rPr>
                <w:rFonts w:ascii="楷体" w:hAnsi="楷体" w:eastAsia="楷体"/>
                <w:b w:val="0"/>
                <w:color w:val="000000"/>
                <w:sz w:val="19"/>
              </w:rPr>
              <w:t>、</w:t>
            </w:r>
            <w:r>
              <w:rPr>
                <w:rFonts w:ascii="楷体" w:hAnsi="楷体" w:eastAsia="楷体"/>
                <w:b w:val="0"/>
                <w:color w:val="000000"/>
                <w:sz w:val="19"/>
              </w:rPr>
              <w:t>created_at</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用户、数据模式与报告联合主键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历史组合报告</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session_truth</w:t>
            </w:r>
          </w:p>
        </w:tc>
        <w:tc>
          <w:tcPr>
            <w:tcW w:type="dxa" w:w="2069"/>
          </w:tcPr>
          <w:p>
            <w:pPr>
              <w:keepNext w:val="0"/>
              <w:widowControl/>
              <w:spacing w:before="60" w:after="60" w:line="264" w:lineRule="auto"/>
              <w:ind w:firstLine="0" w:left="0"/>
            </w:pPr>
            <w:r>
              <w:rPr>
                <w:rFonts w:ascii="楷体" w:hAnsi="楷体" w:eastAsia="楷体"/>
                <w:b w:val="0"/>
                <w:color w:val="000000"/>
                <w:sz w:val="19"/>
              </w:rPr>
              <w:t>session_id</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observed_at</w:t>
            </w:r>
          </w:p>
        </w:tc>
        <w:tc>
          <w:tcPr>
            <w:tcW w:type="dxa" w:w="2069"/>
          </w:tcPr>
          <w:p>
            <w:pPr>
              <w:keepNext w:val="0"/>
              <w:widowControl/>
              <w:spacing w:before="60" w:after="60" w:line="264" w:lineRule="auto"/>
              <w:ind w:firstLine="0" w:left="0"/>
            </w:pPr>
            <w:r>
              <w:rPr>
                <w:rFonts w:ascii="楷体" w:hAnsi="楷体" w:eastAsia="楷体"/>
                <w:b w:val="0"/>
                <w:color w:val="000000"/>
                <w:sz w:val="19"/>
              </w:rPr>
              <w:t>用户、会话与修订联合主键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已确认分析前提</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context_memory</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source</w:t>
            </w:r>
            <w:r>
              <w:rPr>
                <w:rFonts w:ascii="楷体" w:hAnsi="楷体" w:eastAsia="楷体"/>
                <w:b w:val="0"/>
                <w:color w:val="000000"/>
                <w:sz w:val="19"/>
              </w:rPr>
              <w:t>、</w:t>
            </w:r>
            <w:r>
              <w:rPr>
                <w:rFonts w:ascii="楷体" w:hAnsi="楷体" w:eastAsia="楷体"/>
                <w:b w:val="0"/>
                <w:color w:val="000000"/>
                <w:sz w:val="19"/>
              </w:rPr>
              <w:t>saved_at</w:t>
            </w:r>
          </w:p>
        </w:tc>
        <w:tc>
          <w:tcPr>
            <w:tcW w:type="dxa" w:w="2069"/>
          </w:tcPr>
          <w:p>
            <w:pPr>
              <w:keepNext w:val="0"/>
              <w:widowControl/>
              <w:spacing w:before="60" w:after="60" w:line="264" w:lineRule="auto"/>
              <w:ind w:firstLine="0" w:left="0"/>
            </w:pPr>
            <w:r>
              <w:rPr>
                <w:rFonts w:ascii="楷体" w:hAnsi="楷体" w:eastAsia="楷体"/>
                <w:b w:val="0"/>
                <w:color w:val="000000"/>
                <w:sz w:val="19"/>
              </w:rPr>
              <w:t>memory_id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用户显式保存的历史上下文</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copilot_conversations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title</w:t>
            </w:r>
            <w:r>
              <w:rPr>
                <w:rFonts w:ascii="楷体" w:hAnsi="楷体" w:eastAsia="楷体"/>
                <w:b w:val="0"/>
                <w:color w:val="000000"/>
                <w:sz w:val="19"/>
              </w:rPr>
              <w:t>、</w:t>
            </w:r>
            <w:r>
              <w:rPr>
                <w:rFonts w:ascii="楷体" w:hAnsi="楷体" w:eastAsia="楷体"/>
                <w:b w:val="0"/>
                <w:color w:val="000000"/>
                <w:sz w:val="19"/>
              </w:rPr>
              <w:t>updated_at</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对话元数据</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copilot_messages</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w:t>
            </w:r>
            <w:r>
              <w:rPr>
                <w:rFonts w:ascii="楷体" w:hAnsi="楷体" w:eastAsia="楷体"/>
                <w:b w:val="0"/>
                <w:color w:val="000000"/>
                <w:sz w:val="19"/>
              </w:rPr>
              <w:t>ordinal</w:t>
            </w:r>
            <w:r>
              <w:rPr>
                <w:rFonts w:ascii="楷体" w:hAnsi="楷体" w:eastAsia="楷体"/>
                <w:b w:val="0"/>
                <w:color w:val="000000"/>
                <w:sz w:val="19"/>
              </w:rPr>
              <w:t>、</w:t>
            </w:r>
            <w:r>
              <w:rPr>
                <w:rFonts w:ascii="楷体" w:hAnsi="楷体" w:eastAsia="楷体"/>
                <w:b w:val="0"/>
                <w:color w:val="000000"/>
                <w:sz w:val="19"/>
              </w:rPr>
              <w:t>role</w:t>
            </w:r>
          </w:p>
        </w:tc>
        <w:tc>
          <w:tcPr>
            <w:tcW w:type="dxa" w:w="2069"/>
          </w:tcPr>
          <w:p>
            <w:pPr>
              <w:keepNext w:val="0"/>
              <w:widowControl/>
              <w:spacing w:before="60" w:after="60" w:line="264" w:lineRule="auto"/>
              <w:ind w:firstLine="0" w:left="0"/>
            </w:pPr>
            <w:r>
              <w:rPr>
                <w:rFonts w:ascii="楷体" w:hAnsi="楷体" w:eastAsia="楷体"/>
                <w:b w:val="0"/>
                <w:color w:val="000000"/>
                <w:sz w:val="19"/>
              </w:rPr>
              <w:t>message_id</w:t>
            </w:r>
            <w:r>
              <w:rPr>
                <w:rFonts w:ascii="楷体" w:hAnsi="楷体" w:eastAsia="楷体"/>
                <w:b w:val="0"/>
                <w:color w:val="000000"/>
                <w:sz w:val="19"/>
              </w:rPr>
              <w:t xml:space="preserve"> 主键；会话内序号唯一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已完成用户消息与助手消息</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knowledge_documents</w:t>
            </w:r>
          </w:p>
        </w:tc>
        <w:tc>
          <w:tcPr>
            <w:tcW w:type="dxa" w:w="2069"/>
          </w:tcPr>
          <w:p>
            <w:pPr>
              <w:keepNext w:val="0"/>
              <w:widowControl/>
              <w:spacing w:before="60" w:after="60" w:line="264" w:lineRule="auto"/>
              <w:ind w:firstLine="0" w:left="0"/>
            </w:pPr>
            <w:r>
              <w:rPr>
                <w:rFonts w:ascii="楷体" w:hAnsi="楷体" w:eastAsia="楷体"/>
                <w:b w:val="0"/>
                <w:color w:val="000000"/>
                <w:sz w:val="19"/>
              </w:rPr>
              <w:t>visibility</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published_at</w:t>
            </w:r>
          </w:p>
        </w:tc>
        <w:tc>
          <w:tcPr>
            <w:tcW w:type="dxa" w:w="2069"/>
          </w:tcPr>
          <w:p>
            <w:pPr>
              <w:keepNext w:val="0"/>
              <w:widowControl/>
              <w:spacing w:before="60" w:after="60" w:line="264" w:lineRule="auto"/>
              <w:ind w:firstLine="0" w:left="0"/>
            </w:pPr>
            <w:r>
              <w:rPr>
                <w:rFonts w:ascii="楷体" w:hAnsi="楷体" w:eastAsia="楷体"/>
                <w:b w:val="0"/>
                <w:color w:val="000000"/>
                <w:sz w:val="19"/>
              </w:rPr>
              <w:t>document_id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资料元数据与当前版本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knowledge_document_versions</w:t>
            </w:r>
          </w:p>
        </w:tc>
        <w:tc>
          <w:tcPr>
            <w:tcW w:type="dxa" w:w="2069"/>
          </w:tcPr>
          <w:p>
            <w:pPr>
              <w:keepNext w:val="0"/>
              <w:widowControl/>
              <w:spacing w:before="60" w:after="60" w:line="264" w:lineRule="auto"/>
              <w:ind w:firstLine="0" w:left="0"/>
            </w:pP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payload_json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文档与版本联合主键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文档历史版本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knowledge_chunks</w:t>
            </w:r>
          </w:p>
        </w:tc>
        <w:tc>
          <w:tcPr>
            <w:tcW w:type="dxa" w:w="2069"/>
          </w:tcPr>
          <w:p>
            <w:pPr>
              <w:keepNext w:val="0"/>
              <w:widowControl/>
              <w:spacing w:before="60" w:after="60" w:line="264" w:lineRule="auto"/>
              <w:ind w:firstLine="0" w:left="0"/>
            </w:pPr>
            <w:r>
              <w:rPr>
                <w:rFonts w:ascii="楷体" w:hAnsi="楷体" w:eastAsia="楷体"/>
                <w:b w:val="0"/>
                <w:color w:val="000000"/>
                <w:sz w:val="19"/>
              </w:rPr>
              <w:t>page</w:t>
            </w:r>
            <w:r>
              <w:rPr>
                <w:rFonts w:ascii="楷体" w:hAnsi="楷体" w:eastAsia="楷体"/>
                <w:b w:val="0"/>
                <w:color w:val="000000"/>
                <w:sz w:val="19"/>
              </w:rPr>
              <w:t>、</w:t>
            </w:r>
            <w:r>
              <w:rPr>
                <w:rFonts w:ascii="楷体" w:hAnsi="楷体" w:eastAsia="楷体"/>
                <w:b w:val="0"/>
                <w:color w:val="000000"/>
                <w:sz w:val="19"/>
              </w:rPr>
              <w:t>paragraph</w:t>
            </w:r>
            <w:r>
              <w:rPr>
                <w:rFonts w:ascii="楷体" w:hAnsi="楷体" w:eastAsia="楷体"/>
                <w:b w:val="0"/>
                <w:color w:val="000000"/>
                <w:sz w:val="19"/>
              </w:rPr>
              <w:t>、</w:t>
            </w:r>
            <w:r>
              <w:rPr>
                <w:rFonts w:ascii="楷体" w:hAnsi="楷体" w:eastAsia="楷体"/>
                <w:b w:val="0"/>
                <w:color w:val="000000"/>
                <w:sz w:val="19"/>
              </w:rPr>
              <w:t>text</w:t>
            </w:r>
            <w:r>
              <w:rPr>
                <w:rFonts w:ascii="楷体" w:hAnsi="楷体" w:eastAsia="楷体"/>
                <w:b w:val="0"/>
                <w:color w:val="000000"/>
                <w:sz w:val="19"/>
              </w:rPr>
              <w:t>、</w:t>
            </w:r>
            <w:r>
              <w:rPr>
                <w:rFonts w:ascii="楷体" w:hAnsi="楷体" w:eastAsia="楷体"/>
                <w:b w:val="0"/>
                <w:color w:val="000000"/>
                <w:sz w:val="19"/>
              </w:rPr>
              <w:t>embedding_json</w:t>
            </w:r>
          </w:p>
        </w:tc>
        <w:tc>
          <w:tcPr>
            <w:tcW w:type="dxa" w:w="2069"/>
          </w:tcPr>
          <w:p>
            <w:pPr>
              <w:keepNext w:val="0"/>
              <w:widowControl/>
              <w:spacing w:before="60" w:after="60" w:line="264" w:lineRule="auto"/>
              <w:ind w:firstLine="0" w:left="0"/>
            </w:pPr>
            <w:r>
              <w:rPr>
                <w:rFonts w:ascii="楷体" w:hAnsi="楷体" w:eastAsia="楷体"/>
                <w:b w:val="0"/>
                <w:color w:val="000000"/>
                <w:sz w:val="19"/>
              </w:rPr>
              <w:t>chunk_id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可检索原文片段与向量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run_id</w:t>
            </w:r>
            <w:r>
              <w:rPr>
                <w:rFonts w:ascii="楷体" w:hAnsi="楷体" w:eastAsia="楷体"/>
                <w:b w:val="0"/>
                <w:color w:val="000000"/>
                <w:sz w:val="19"/>
              </w:rPr>
              <w:t>、</w:t>
            </w:r>
            <w:r>
              <w:rPr>
                <w:rFonts w:ascii="楷体" w:hAnsi="楷体" w:eastAsia="楷体"/>
                <w:b w:val="0"/>
                <w:color w:val="000000"/>
                <w:sz w:val="19"/>
              </w:rPr>
              <w:t>node_id</w:t>
            </w:r>
            <w:r>
              <w:rPr>
                <w:rFonts w:ascii="楷体" w:hAnsi="楷体" w:eastAsia="楷体"/>
                <w:b w:val="0"/>
                <w:color w:val="000000"/>
                <w:sz w:val="19"/>
              </w:rPr>
              <w:t>、</w:t>
            </w:r>
            <w:r>
              <w:rPr>
                <w:rFonts w:ascii="楷体" w:hAnsi="楷体" w:eastAsia="楷体"/>
                <w:b w:val="0"/>
                <w:color w:val="000000"/>
                <w:sz w:val="19"/>
              </w:rPr>
              <w:t>input_versions_json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请求、响应及输入版本摘要</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research_facts</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w:t>
            </w:r>
            <w:r>
              <w:rPr>
                <w:rFonts w:ascii="楷体" w:hAnsi="楷体" w:eastAsia="楷体"/>
                <w:b w:val="0"/>
                <w:color w:val="000000"/>
                <w:sz w:val="19"/>
              </w:rPr>
              <w:t>fact_json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用户与事实联合主键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结构化金融观测</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research_fact_payloads</w:t>
            </w:r>
          </w:p>
        </w:tc>
        <w:tc>
          <w:tcPr>
            <w:tcW w:type="dxa" w:w="2069"/>
          </w:tcPr>
          <w:p>
            <w:pPr>
              <w:keepNext w:val="0"/>
              <w:widowControl/>
              <w:spacing w:before="60" w:after="60" w:line="264" w:lineRule="auto"/>
              <w:ind w:firstLine="0" w:left="0"/>
            </w:pPr>
            <w:r>
              <w:rPr>
                <w:rFonts w:ascii="楷体" w:hAnsi="楷体" w:eastAsia="楷体"/>
                <w:b w:val="0"/>
                <w:color w:val="000000"/>
                <w:sz w:val="19"/>
              </w:rPr>
              <w:t>request_json</w:t>
            </w:r>
            <w:r>
              <w:rPr>
                <w:rFonts w:ascii="楷体" w:hAnsi="楷体" w:eastAsia="楷体"/>
                <w:b w:val="0"/>
                <w:color w:val="000000"/>
                <w:sz w:val="19"/>
              </w:rPr>
              <w:t>、</w:t>
            </w:r>
            <w:r>
              <w:rPr>
                <w:rFonts w:ascii="楷体" w:hAnsi="楷体" w:eastAsia="楷体"/>
                <w:b w:val="0"/>
                <w:color w:val="000000"/>
                <w:sz w:val="19"/>
              </w:rPr>
              <w:t>response_json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研究原始请求与响应</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decision_events</w:t>
            </w:r>
          </w:p>
        </w:tc>
        <w:tc>
          <w:tcPr>
            <w:tcW w:type="dxa" w:w="2069"/>
          </w:tcPr>
          <w:p>
            <w:pPr>
              <w:keepNext w:val="0"/>
              <w:widowControl/>
              <w:spacing w:before="60" w:after="60" w:line="264" w:lineRule="auto"/>
              <w:ind w:firstLine="0" w:left="0"/>
            </w:pPr>
            <w:r>
              <w:rPr>
                <w:rFonts w:ascii="楷体" w:hAnsi="楷体" w:eastAsia="楷体"/>
                <w:b w:val="0"/>
                <w:color w:val="000000"/>
                <w:sz w:val="19"/>
              </w:rPr>
              <w:t>composition_id</w:t>
            </w:r>
            <w:r>
              <w:rPr>
                <w:rFonts w:ascii="楷体" w:hAnsi="楷体" w:eastAsia="楷体"/>
                <w:b w:val="0"/>
                <w:color w:val="000000"/>
                <w:sz w:val="19"/>
              </w:rPr>
              <w:t>、</w:t>
            </w:r>
            <w:r>
              <w:rPr>
                <w:rFonts w:ascii="楷体" w:hAnsi="楷体" w:eastAsia="楷体"/>
                <w:b w:val="0"/>
                <w:color w:val="000000"/>
                <w:sz w:val="19"/>
              </w:rPr>
              <w:t>status</w:t>
            </w:r>
            <w:r>
              <w:rPr>
                <w:rFonts w:ascii="楷体" w:hAnsi="楷体" w:eastAsia="楷体"/>
                <w:b w:val="0"/>
                <w:color w:val="000000"/>
                <w:sz w:val="19"/>
              </w:rPr>
              <w:t>、</w:t>
            </w:r>
            <w:r>
              <w:rPr>
                <w:rFonts w:ascii="楷体" w:hAnsi="楷体" w:eastAsia="楷体"/>
                <w:b w:val="0"/>
                <w:color w:val="000000"/>
                <w:sz w:val="19"/>
              </w:rPr>
              <w:t>receipt_id</w:t>
            </w:r>
          </w:p>
        </w:tc>
        <w:tc>
          <w:tcPr>
            <w:tcW w:type="dxa" w:w="2069"/>
          </w:tcPr>
          <w:p>
            <w:pPr>
              <w:keepNext w:val="0"/>
              <w:widowControl/>
              <w:spacing w:before="60" w:after="60" w:line="264" w:lineRule="auto"/>
              <w:ind w:firstLine="0" w:left="0"/>
            </w:pPr>
            <w:r>
              <w:rPr>
                <w:rFonts w:ascii="楷体" w:hAnsi="楷体" w:eastAsia="楷体"/>
                <w:b w:val="0"/>
                <w:color w:val="000000"/>
                <w:sz w:val="19"/>
              </w:rPr>
              <w:t>event_id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建议审查与决策回执记录</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3-2 核心业务数据表</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账户和会话认证由 </w:t>
      </w:r>
      <w:r>
        <w:rPr>
          <w:rFonts w:ascii="楷体" w:hAnsi="楷体" w:eastAsia="楷体"/>
          <w:b w:val="0"/>
          <w:color w:val="000000"/>
          <w:sz w:val="24"/>
        </w:rPr>
        <w:t>local_accounts</w:t>
      </w:r>
      <w:r>
        <w:rPr>
          <w:rFonts w:ascii="楷体" w:hAnsi="楷体" w:eastAsia="楷体"/>
          <w:b w:val="0"/>
          <w:color w:val="000000"/>
          <w:sz w:val="24"/>
        </w:rPr>
        <w:t>、</w:t>
      </w:r>
      <w:r>
        <w:rPr>
          <w:rFonts w:ascii="楷体" w:hAnsi="楷体" w:eastAsia="楷体"/>
          <w:b w:val="0"/>
          <w:color w:val="000000"/>
          <w:sz w:val="24"/>
        </w:rPr>
        <w:t>auth_sessions</w:t>
      </w:r>
      <w:r>
        <w:rPr>
          <w:rFonts w:ascii="楷体" w:hAnsi="楷体" w:eastAsia="楷体"/>
          <w:b w:val="0"/>
          <w:color w:val="000000"/>
          <w:sz w:val="24"/>
        </w:rPr>
        <w:t xml:space="preserve"> 保存；交易导入、成交修订及交易风格由 </w:t>
      </w:r>
      <w:r>
        <w:rPr>
          <w:rFonts w:ascii="楷体" w:hAnsi="楷体" w:eastAsia="楷体"/>
          <w:b w:val="0"/>
          <w:color w:val="000000"/>
          <w:sz w:val="24"/>
        </w:rPr>
        <w:t>trade_import_batches</w:t>
      </w:r>
      <w:r>
        <w:rPr>
          <w:rFonts w:ascii="楷体" w:hAnsi="楷体" w:eastAsia="楷体"/>
          <w:b w:val="0"/>
          <w:color w:val="000000"/>
          <w:sz w:val="24"/>
        </w:rPr>
        <w:t>、</w:t>
      </w:r>
      <w:r>
        <w:rPr>
          <w:rFonts w:ascii="楷体" w:hAnsi="楷体" w:eastAsia="楷体"/>
          <w:b w:val="0"/>
          <w:color w:val="000000"/>
          <w:sz w:val="24"/>
        </w:rPr>
        <w:t>trade_record_revisions</w:t>
      </w:r>
      <w:r>
        <w:rPr>
          <w:rFonts w:ascii="楷体" w:hAnsi="楷体" w:eastAsia="楷体"/>
          <w:b w:val="0"/>
          <w:color w:val="000000"/>
          <w:sz w:val="24"/>
        </w:rPr>
        <w:t>、</w:t>
      </w:r>
      <w:r>
        <w:rPr>
          <w:rFonts w:ascii="楷体" w:hAnsi="楷体" w:eastAsia="楷体"/>
          <w:b w:val="0"/>
          <w:color w:val="000000"/>
          <w:sz w:val="24"/>
        </w:rPr>
        <w:t>trading_style_profiles</w:t>
      </w:r>
      <w:r>
        <w:rPr>
          <w:rFonts w:ascii="楷体" w:hAnsi="楷体" w:eastAsia="楷体"/>
          <w:b w:val="0"/>
          <w:color w:val="000000"/>
          <w:sz w:val="24"/>
        </w:rPr>
        <w:t xml:space="preserve"> 保存；能力版本与用户选择由 </w:t>
      </w:r>
      <w:r>
        <w:rPr>
          <w:rFonts w:ascii="楷体" w:hAnsi="楷体" w:eastAsia="楷体"/>
          <w:b w:val="0"/>
          <w:color w:val="000000"/>
          <w:sz w:val="24"/>
        </w:rPr>
        <w:t>skill_versions</w:t>
      </w:r>
      <w:r>
        <w:rPr>
          <w:rFonts w:ascii="楷体" w:hAnsi="楷体" w:eastAsia="楷体"/>
          <w:b w:val="0"/>
          <w:color w:val="000000"/>
          <w:sz w:val="24"/>
        </w:rPr>
        <w:t>、</w:t>
      </w:r>
      <w:r>
        <w:rPr>
          <w:rFonts w:ascii="楷体" w:hAnsi="楷体" w:eastAsia="楷体"/>
          <w:b w:val="0"/>
          <w:color w:val="000000"/>
          <w:sz w:val="24"/>
        </w:rPr>
        <w:t>skill_selections</w:t>
      </w:r>
      <w:r>
        <w:rPr>
          <w:rFonts w:ascii="楷体" w:hAnsi="楷体" w:eastAsia="楷体"/>
          <w:b w:val="0"/>
          <w:color w:val="000000"/>
          <w:sz w:val="24"/>
        </w:rPr>
        <w:t xml:space="preserve"> 保存。上述记录分别使用归属、版本和时间字段支持访问检查与历史查询。</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数据库关系设计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571162" cy="7560000"/>
            <wp:docPr id="6" name="Picture 6"/>
            <wp:cNvGraphicFramePr>
              <a:graphicFrameLocks noChangeAspect="1"/>
            </wp:cNvGraphicFramePr>
            <a:graphic>
              <a:graphicData uri="http://schemas.openxmlformats.org/drawingml/2006/picture">
                <pic:pic>
                  <pic:nvPicPr>
                    <pic:cNvPr id="0" name="database-relations.png"/>
                    <pic:cNvPicPr/>
                  </pic:nvPicPr>
                  <pic:blipFill>
                    <a:blip r:embed="rId21"/>
                    <a:stretch>
                      <a:fillRect/>
                    </a:stretch>
                  </pic:blipFill>
                  <pic:spPr>
                    <a:xfrm>
                      <a:off x="0" y="0"/>
                      <a:ext cx="4571162"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3-6 账户、对话和研究数据的数据库外键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对话与消息通过 </w:t>
      </w:r>
      <w:r>
        <w:rPr>
          <w:rFonts w:ascii="楷体" w:hAnsi="楷体" w:eastAsia="楷体"/>
          <w:b w:val="0"/>
          <w:color w:val="000000"/>
          <w:sz w:val="24"/>
        </w:rPr>
        <w:t>conversation_id</w:t>
      </w:r>
      <w:r>
        <w:rPr>
          <w:rFonts w:ascii="楷体" w:hAnsi="楷体" w:eastAsia="楷体"/>
          <w:b w:val="0"/>
          <w:color w:val="000000"/>
          <w:sz w:val="24"/>
        </w:rPr>
        <w:t xml:space="preserve"> 关联，账户与认证会话通过 </w:t>
      </w:r>
      <w:r>
        <w:rPr>
          <w:rFonts w:ascii="楷体" w:hAnsi="楷体" w:eastAsia="楷体"/>
          <w:b w:val="0"/>
          <w:color w:val="000000"/>
          <w:sz w:val="24"/>
        </w:rPr>
        <w:t>username</w:t>
      </w:r>
      <w:r>
        <w:rPr>
          <w:rFonts w:ascii="楷体" w:hAnsi="楷体" w:eastAsia="楷体"/>
          <w:b w:val="0"/>
          <w:color w:val="000000"/>
          <w:sz w:val="24"/>
        </w:rPr>
        <w:t xml:space="preserve"> 关联，删除父记录时级联删除对应记录。研究事实及原始请求、响应通过 </w:t>
      </w:r>
      <w:r>
        <w:rPr>
          <w:rFonts w:ascii="楷体" w:hAnsi="楷体" w:eastAsia="楷体"/>
          <w:b w:val="0"/>
          <w:color w:val="000000"/>
          <w:sz w:val="24"/>
        </w:rPr>
        <w:t>owner_id</w:t>
      </w:r>
      <w:r>
        <w:rPr>
          <w:rFonts w:ascii="楷体" w:hAnsi="楷体" w:eastAsia="楷体"/>
          <w:b w:val="0"/>
          <w:color w:val="000000"/>
          <w:sz w:val="24"/>
        </w:rPr>
        <w:t xml:space="preserve"> 与 </w:t>
      </w:r>
      <w:r>
        <w:rPr>
          <w:rFonts w:ascii="楷体" w:hAnsi="楷体" w:eastAsia="楷体"/>
          <w:b w:val="0"/>
          <w:color w:val="000000"/>
          <w:sz w:val="24"/>
        </w:rPr>
        <w:t>snapshot_id</w:t>
      </w:r>
      <w:r>
        <w:rPr>
          <w:rFonts w:ascii="楷体" w:hAnsi="楷体" w:eastAsia="楷体"/>
          <w:b w:val="0"/>
          <w:color w:val="000000"/>
          <w:sz w:val="24"/>
        </w:rPr>
        <w:t xml:space="preserve"> 联合外键关联研究快照，保证用户与快照共同限定资料归属。</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7019831"/>
            <wp:docPr id="7" name="Picture 7"/>
            <wp:cNvGraphicFramePr>
              <a:graphicFrameLocks noChangeAspect="1"/>
            </wp:cNvGraphicFramePr>
            <a:graphic>
              <a:graphicData uri="http://schemas.openxmlformats.org/drawingml/2006/picture">
                <pic:pic>
                  <pic:nvPicPr>
                    <pic:cNvPr id="0" name="database-version-relations.png"/>
                    <pic:cNvPicPr/>
                  </pic:nvPicPr>
                  <pic:blipFill>
                    <a:blip r:embed="rId23"/>
                    <a:stretch>
                      <a:fillRect/>
                    </a:stretch>
                  </pic:blipFill>
                  <pic:spPr>
                    <a:xfrm>
                      <a:off x="0" y="0"/>
                      <a:ext cx="5273675" cy="701983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3-7 资料版本与会话前提的应用层关联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知识资料通过 </w:t>
      </w:r>
      <w:r>
        <w:rPr>
          <w:rFonts w:ascii="楷体" w:hAnsi="楷体" w:eastAsia="楷体"/>
          <w:b w:val="0"/>
          <w:color w:val="000000"/>
          <w:sz w:val="24"/>
        </w:rPr>
        <w:t>document_id</w:t>
      </w:r>
      <w:r>
        <w:rPr>
          <w:rFonts w:ascii="楷体" w:hAnsi="楷体" w:eastAsia="楷体"/>
          <w:b w:val="0"/>
          <w:color w:val="000000"/>
          <w:sz w:val="24"/>
        </w:rPr>
        <w:t xml:space="preserve"> 与 </w:t>
      </w:r>
      <w:r>
        <w:rPr>
          <w:rFonts w:ascii="楷体" w:hAnsi="楷体" w:eastAsia="楷体"/>
          <w:b w:val="0"/>
          <w:color w:val="000000"/>
          <w:sz w:val="24"/>
        </w:rPr>
        <w:t>revision</w:t>
      </w:r>
      <w:r>
        <w:rPr>
          <w:rFonts w:ascii="楷体" w:hAnsi="楷体" w:eastAsia="楷体"/>
          <w:b w:val="0"/>
          <w:color w:val="000000"/>
          <w:sz w:val="24"/>
        </w:rPr>
        <w:t xml:space="preserve"> 关联版本和片段，检索核对当前版本及内容完整性。问卷、持仓、会话前提与回执使用用户归属、业务标识、版本和 JSON 对象引用，由服务层检查指纹及引用关系。图 3-6 的连续箭头表示数据库外键，图 3-7 的间隔箭头表示应用层关联。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系统为用户历史记录建立归属与时间索引，为消息建立会话序号索引，为研究事实建立用户、运行与节点索引，为资料片段建立文档与版本索引。SQLite 资料全文检索使用 FTS5；PostgreSQL 路径使用全文检索索引。每次检索同时检查用户可见范围、资料发布时间及当前 revision。</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数据库写入采用事务和预期版本检查，内容摘要用于读取完整性校验。PostgreSQL 适配器通过事务级 advisory lock 协调写入。资料、持仓和会话前提保留各自的版本与时间，历史恢复由用户显式选择，恢复后重新执行派生计算。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3.4 系统关键技术实现</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3.4.1 金融数据接入与质量状态管理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金融查询通过 Provider 接口统一输入和输出。</w:t>
      </w:r>
      <w:r>
        <w:rPr>
          <w:rFonts w:ascii="楷体" w:hAnsi="楷体" w:eastAsia="楷体"/>
          <w:b w:val="0"/>
          <w:color w:val="000000"/>
          <w:sz w:val="24"/>
        </w:rPr>
        <w:t>ProviderRequest</w:t>
      </w:r>
      <w:r>
        <w:rPr>
          <w:rFonts w:ascii="楷体" w:hAnsi="楷体" w:eastAsia="楷体"/>
          <w:b w:val="0"/>
          <w:color w:val="000000"/>
          <w:sz w:val="24"/>
        </w:rPr>
        <w:t xml:space="preserve"> 描述请求标识、操作、查询主体和必需字段；</w:t>
      </w:r>
      <w:r>
        <w:rPr>
          <w:rFonts w:ascii="楷体" w:hAnsi="楷体" w:eastAsia="楷体"/>
          <w:b w:val="0"/>
          <w:color w:val="000000"/>
          <w:sz w:val="24"/>
        </w:rPr>
        <w:t>ProviderResult</w:t>
      </w:r>
      <w:r>
        <w:rPr>
          <w:rFonts w:ascii="楷体" w:hAnsi="楷体" w:eastAsia="楷体"/>
          <w:b w:val="0"/>
          <w:color w:val="000000"/>
          <w:sz w:val="24"/>
        </w:rPr>
        <w:t xml:space="preserve"> 保留记录、缺项、错误、来源和数据质量。问财 SkillHub 适配器按能力清单调用行情、公司财务、行业、宏观、基金及可转债查询，其他提供方依照配置和授权参与相应业务。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237774"/>
            <wp:docPr id="8" name="Picture 8"/>
            <wp:cNvGraphicFramePr>
              <a:graphicFrameLocks noChangeAspect="1"/>
            </wp:cNvGraphicFramePr>
            <a:graphic>
              <a:graphicData uri="http://schemas.openxmlformats.org/drawingml/2006/picture">
                <pic:pic>
                  <pic:nvPicPr>
                    <pic:cNvPr id="0" name="provider-states.png"/>
                    <pic:cNvPicPr/>
                  </pic:nvPicPr>
                  <pic:blipFill>
                    <a:blip r:embed="rId25"/>
                    <a:stretch>
                      <a:fillRect/>
                    </a:stretch>
                  </pic:blipFill>
                  <pic:spPr>
                    <a:xfrm>
                      <a:off x="0" y="0"/>
                      <a:ext cx="5273675" cy="4237774"/>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3-8 金融提供方结果状态与后续处理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数据整理保留 </w:t>
      </w:r>
      <w:r>
        <w:rPr>
          <w:rFonts w:ascii="楷体" w:hAnsi="楷体" w:eastAsia="楷体"/>
          <w:b w:val="0"/>
          <w:color w:val="000000"/>
          <w:sz w:val="24"/>
        </w:rPr>
        <w:t>observed_at</w:t>
      </w:r>
      <w:r>
        <w:rPr>
          <w:rFonts w:ascii="楷体" w:hAnsi="楷体" w:eastAsia="楷体"/>
          <w:b w:val="0"/>
          <w:color w:val="000000"/>
          <w:sz w:val="24"/>
        </w:rPr>
        <w:t>、</w:t>
      </w:r>
      <w:r>
        <w:rPr>
          <w:rFonts w:ascii="楷体" w:hAnsi="楷体" w:eastAsia="楷体"/>
          <w:b w:val="0"/>
          <w:color w:val="000000"/>
          <w:sz w:val="24"/>
        </w:rPr>
        <w:t>retrieved_at</w:t>
      </w:r>
      <w:r>
        <w:rPr>
          <w:rFonts w:ascii="楷体" w:hAnsi="楷体" w:eastAsia="楷体"/>
          <w:b w:val="0"/>
          <w:color w:val="000000"/>
          <w:sz w:val="24"/>
        </w:rPr>
        <w:t>、</w:t>
      </w:r>
      <w:r>
        <w:rPr>
          <w:rFonts w:ascii="楷体" w:hAnsi="楷体" w:eastAsia="楷体"/>
          <w:b w:val="0"/>
          <w:color w:val="000000"/>
          <w:sz w:val="24"/>
        </w:rPr>
        <w:t>unit</w:t>
      </w:r>
      <w:r>
        <w:rPr>
          <w:rFonts w:ascii="楷体" w:hAnsi="楷体" w:eastAsia="楷体"/>
          <w:b w:val="0"/>
          <w:color w:val="000000"/>
          <w:sz w:val="24"/>
        </w:rPr>
        <w:t>、</w:t>
      </w:r>
      <w:r>
        <w:rPr>
          <w:rFonts w:ascii="楷体" w:hAnsi="楷体" w:eastAsia="楷体"/>
          <w:b w:val="0"/>
          <w:color w:val="000000"/>
          <w:sz w:val="24"/>
        </w:rPr>
        <w:t>period</w:t>
      </w:r>
      <w:r>
        <w:rPr>
          <w:rFonts w:ascii="楷体" w:hAnsi="楷体" w:eastAsia="楷体"/>
          <w:b w:val="0"/>
          <w:color w:val="000000"/>
          <w:sz w:val="24"/>
        </w:rPr>
        <w:t>、</w:t>
      </w:r>
      <w:r>
        <w:rPr>
          <w:rFonts w:ascii="楷体" w:hAnsi="楷体" w:eastAsia="楷体"/>
          <w:b w:val="0"/>
          <w:color w:val="000000"/>
          <w:sz w:val="24"/>
        </w:rPr>
        <w:t>lineage_id</w:t>
      </w:r>
      <w:r>
        <w:rPr>
          <w:rFonts w:ascii="楷体" w:hAnsi="楷体" w:eastAsia="楷体"/>
          <w:b w:val="0"/>
          <w:color w:val="000000"/>
          <w:sz w:val="24"/>
        </w:rPr>
        <w:t xml:space="preserve"> 等信息。历史问题使用明确的截止时点，资料发布时间、指标期间和数据取得时间各自记录。LIVE 研究服务只从返回的结构化记录中提取所需数值，缺少单位、主体或时间依据时保留相应状态。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3.4.2 投资者画像与风险预算映射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正式测评包含 19 个问题，覆盖 </w:t>
      </w:r>
      <w:r>
        <w:rPr>
          <w:rFonts w:ascii="楷体" w:hAnsi="楷体" w:eastAsia="楷体"/>
          <w:b w:val="0"/>
          <w:color w:val="000000"/>
          <w:sz w:val="24"/>
        </w:rPr>
        <w:t>risk</w:t>
      </w:r>
      <w:r>
        <w:rPr>
          <w:rFonts w:ascii="楷体" w:hAnsi="楷体" w:eastAsia="楷体"/>
          <w:b w:val="0"/>
          <w:color w:val="000000"/>
          <w:sz w:val="24"/>
        </w:rPr>
        <w:t>、</w:t>
      </w:r>
      <w:r>
        <w:rPr>
          <w:rFonts w:ascii="楷体" w:hAnsi="楷体" w:eastAsia="楷体"/>
          <w:b w:val="0"/>
          <w:color w:val="000000"/>
          <w:sz w:val="24"/>
        </w:rPr>
        <w:t>exp</w:t>
      </w:r>
      <w:r>
        <w:rPr>
          <w:rFonts w:ascii="楷体" w:hAnsi="楷体" w:eastAsia="楷体"/>
          <w:b w:val="0"/>
          <w:color w:val="000000"/>
          <w:sz w:val="24"/>
        </w:rPr>
        <w:t>、</w:t>
      </w:r>
      <w:r>
        <w:rPr>
          <w:rFonts w:ascii="楷体" w:hAnsi="楷体" w:eastAsia="楷体"/>
          <w:b w:val="0"/>
          <w:color w:val="000000"/>
          <w:sz w:val="24"/>
        </w:rPr>
        <w:t>act</w:t>
      </w:r>
      <w:r>
        <w:rPr>
          <w:rFonts w:ascii="楷体" w:hAnsi="楷体" w:eastAsia="楷体"/>
          <w:b w:val="0"/>
          <w:color w:val="000000"/>
          <w:sz w:val="24"/>
        </w:rPr>
        <w:t>、</w:t>
      </w:r>
      <w:r>
        <w:rPr>
          <w:rFonts w:ascii="楷体" w:hAnsi="楷体" w:eastAsia="楷体"/>
          <w:b w:val="0"/>
          <w:color w:val="000000"/>
          <w:sz w:val="24"/>
        </w:rPr>
        <w:t>res</w:t>
      </w:r>
      <w:r>
        <w:rPr>
          <w:rFonts w:ascii="楷体" w:hAnsi="楷体" w:eastAsia="楷体"/>
          <w:b w:val="0"/>
          <w:color w:val="000000"/>
          <w:sz w:val="24"/>
        </w:rPr>
        <w:t>、</w:t>
      </w:r>
      <w:r>
        <w:rPr>
          <w:rFonts w:ascii="楷体" w:hAnsi="楷体" w:eastAsia="楷体"/>
          <w:b w:val="0"/>
          <w:color w:val="000000"/>
          <w:sz w:val="24"/>
        </w:rPr>
        <w:t>inf</w:t>
      </w:r>
      <w:r>
        <w:rPr>
          <w:rFonts w:ascii="楷体" w:hAnsi="楷体" w:eastAsia="楷体"/>
          <w:b w:val="0"/>
          <w:color w:val="000000"/>
          <w:sz w:val="24"/>
        </w:rPr>
        <w:t>、</w:t>
      </w:r>
      <w:r>
        <w:rPr>
          <w:rFonts w:ascii="楷体" w:hAnsi="楷体" w:eastAsia="楷体"/>
          <w:b w:val="0"/>
          <w:color w:val="000000"/>
          <w:sz w:val="24"/>
        </w:rPr>
        <w:t>ai</w:t>
      </w:r>
      <w:r>
        <w:rPr>
          <w:rFonts w:ascii="楷体" w:hAnsi="楷体" w:eastAsia="楷体"/>
          <w:b w:val="0"/>
          <w:color w:val="000000"/>
          <w:sz w:val="24"/>
        </w:rPr>
        <w:t>、</w:t>
      </w:r>
      <w:r>
        <w:rPr>
          <w:rFonts w:ascii="楷体" w:hAnsi="楷体" w:eastAsia="楷体"/>
          <w:b w:val="0"/>
          <w:color w:val="000000"/>
          <w:sz w:val="24"/>
        </w:rPr>
        <w:t>per</w:t>
      </w:r>
      <w:r>
        <w:rPr>
          <w:rFonts w:ascii="楷体" w:hAnsi="楷体" w:eastAsia="楷体"/>
          <w:b w:val="0"/>
          <w:color w:val="000000"/>
          <w:sz w:val="24"/>
        </w:rPr>
        <w:t>、</w:t>
      </w:r>
      <w:r>
        <w:rPr>
          <w:rFonts w:ascii="楷体" w:hAnsi="楷体" w:eastAsia="楷体"/>
          <w:b w:val="0"/>
          <w:color w:val="000000"/>
          <w:sz w:val="24"/>
        </w:rPr>
        <w:t>aid</w:t>
      </w:r>
      <w:r>
        <w:rPr>
          <w:rFonts w:ascii="楷体" w:hAnsi="楷体" w:eastAsia="楷体"/>
          <w:b w:val="0"/>
          <w:color w:val="000000"/>
          <w:sz w:val="24"/>
        </w:rPr>
        <w:t xml:space="preserve"> 八个维度。服务端校验答案是否完整、选项是否合法以及互斥选项是否同时出现。评分题将 1—5 的回答归一化，选择题按模板权重累计贡献，随后按各维度参与题目数量归一化至 0—100 分，并保留两位小数。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risk</w:t>
      </w:r>
      <w:r>
        <w:rPr>
          <w:rFonts w:ascii="楷体" w:hAnsi="楷体" w:eastAsia="楷体"/>
          <w:b w:val="0"/>
          <w:color w:val="000000"/>
          <w:sz w:val="24"/>
        </w:rPr>
        <w:t xml:space="preserve"> 维度形成画像风险分数；分数不超过 33 时采用保守型预算，大于 33 且不超过 66 时采用均衡型预算，大于 66 时采用成长型预算。适当性等级 C1—C5 由独立映射生成。自然语言提案和交易行为结果保留其来源，经对应确认与转换程序进入有效画像。</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1679"/>
        <w:gridCol w:w="1679"/>
        <w:gridCol w:w="1679"/>
        <w:gridCol w:w="167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风险等级</w:t>
            </w:r>
          </w:p>
        </w:tc>
        <w:tc>
          <w:tcPr>
            <w:tcW w:type="dxa" w:w="1679"/>
          </w:tcPr>
          <w:p>
            <w:pPr>
              <w:keepNext/>
              <w:widowControl/>
              <w:spacing w:before="60" w:after="60" w:line="264" w:lineRule="auto"/>
              <w:ind w:firstLine="0" w:left="0"/>
            </w:pPr>
            <w:r>
              <w:rPr>
                <w:rFonts w:ascii="楷体" w:hAnsi="楷体" w:eastAsia="楷体"/>
                <w:b/>
                <w:color w:val="000000"/>
                <w:sz w:val="19"/>
              </w:rPr>
              <w:t>单一资产上限</w:t>
            </w:r>
          </w:p>
        </w:tc>
        <w:tc>
          <w:tcPr>
            <w:tcW w:type="dxa" w:w="1679"/>
          </w:tcPr>
          <w:p>
            <w:pPr>
              <w:keepNext/>
              <w:widowControl/>
              <w:spacing w:before="60" w:after="60" w:line="264" w:lineRule="auto"/>
              <w:ind w:firstLine="0" w:left="0"/>
            </w:pPr>
            <w:r>
              <w:rPr>
                <w:rFonts w:ascii="楷体" w:hAnsi="楷体" w:eastAsia="楷体"/>
                <w:b/>
                <w:color w:val="000000"/>
                <w:sz w:val="19"/>
              </w:rPr>
              <w:t>已识别行业上限</w:t>
            </w:r>
          </w:p>
        </w:tc>
        <w:tc>
          <w:tcPr>
            <w:tcW w:type="dxa" w:w="1679"/>
          </w:tcPr>
          <w:p>
            <w:pPr>
              <w:keepNext/>
              <w:widowControl/>
              <w:spacing w:before="60" w:after="60" w:line="264" w:lineRule="auto"/>
              <w:ind w:firstLine="0" w:left="0"/>
            </w:pPr>
            <w:r>
              <w:rPr>
                <w:rFonts w:ascii="楷体" w:hAnsi="楷体" w:eastAsia="楷体"/>
                <w:b/>
                <w:color w:val="000000"/>
                <w:sz w:val="19"/>
              </w:rPr>
              <w:t>科技行业合计上限</w:t>
            </w:r>
          </w:p>
        </w:tc>
        <w:tc>
          <w:tcPr>
            <w:tcW w:type="dxa" w:w="1679"/>
          </w:tcPr>
          <w:p>
            <w:pPr>
              <w:keepNext/>
              <w:widowControl/>
              <w:spacing w:before="60" w:after="60" w:line="264" w:lineRule="auto"/>
              <w:ind w:firstLine="0" w:left="0"/>
            </w:pPr>
            <w:r>
              <w:rPr>
                <w:rFonts w:ascii="楷体" w:hAnsi="楷体" w:eastAsia="楷体"/>
                <w:b/>
                <w:color w:val="000000"/>
                <w:sz w:val="19"/>
              </w:rPr>
              <w:t>未分类合计上限</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保守型</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c>
          <w:tcPr>
            <w:tcW w:type="dxa" w:w="1679"/>
          </w:tcPr>
          <w:p>
            <w:pPr>
              <w:keepNext w:val="0"/>
              <w:widowControl/>
              <w:spacing w:before="60" w:after="60" w:line="264" w:lineRule="auto"/>
              <w:ind w:firstLine="0" w:left="0"/>
            </w:pPr>
            <w:r>
              <w:rPr>
                <w:rFonts w:ascii="楷体" w:hAnsi="楷体" w:eastAsia="楷体"/>
                <w:b w:val="0"/>
                <w:color w:val="000000"/>
                <w:sz w:val="19"/>
              </w:rPr>
              <w:t>30%</w:t>
            </w:r>
          </w:p>
        </w:tc>
        <w:tc>
          <w:tcPr>
            <w:tcW w:type="dxa" w:w="1679"/>
          </w:tcPr>
          <w:p>
            <w:pPr>
              <w:keepNext w:val="0"/>
              <w:widowControl/>
              <w:spacing w:before="60" w:after="60" w:line="264" w:lineRule="auto"/>
              <w:ind w:firstLine="0" w:left="0"/>
            </w:pPr>
            <w:r>
              <w:rPr>
                <w:rFonts w:ascii="楷体" w:hAnsi="楷体" w:eastAsia="楷体"/>
                <w:b w:val="0"/>
                <w:color w:val="000000"/>
                <w:sz w:val="19"/>
              </w:rPr>
              <w:t>25%</w:t>
            </w:r>
          </w:p>
        </w:tc>
        <w:tc>
          <w:tcPr>
            <w:tcW w:type="dxa" w:w="1679"/>
          </w:tcPr>
          <w:p>
            <w:pPr>
              <w:keepNext w:val="0"/>
              <w:widowControl/>
              <w:spacing w:before="60" w:after="60" w:line="264" w:lineRule="auto"/>
              <w:ind w:firstLine="0" w:left="0"/>
            </w:pPr>
            <w:r>
              <w:rPr>
                <w:rFonts w:ascii="楷体" w:hAnsi="楷体" w:eastAsia="楷体"/>
                <w:b w:val="0"/>
                <w:color w:val="000000"/>
                <w:sz w:val="19"/>
              </w:rPr>
              <w:t>10%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均衡型</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c>
          <w:tcPr>
            <w:tcW w:type="dxa" w:w="1679"/>
          </w:tcPr>
          <w:p>
            <w:pPr>
              <w:keepNext w:val="0"/>
              <w:widowControl/>
              <w:spacing w:before="60" w:after="60" w:line="264" w:lineRule="auto"/>
              <w:ind w:firstLine="0" w:left="0"/>
            </w:pPr>
            <w:r>
              <w:rPr>
                <w:rFonts w:ascii="楷体" w:hAnsi="楷体" w:eastAsia="楷体"/>
                <w:b w:val="0"/>
                <w:color w:val="000000"/>
                <w:sz w:val="19"/>
              </w:rPr>
              <w:t>45%</w:t>
            </w:r>
          </w:p>
        </w:tc>
        <w:tc>
          <w:tcPr>
            <w:tcW w:type="dxa" w:w="1679"/>
          </w:tcPr>
          <w:p>
            <w:pPr>
              <w:keepNext w:val="0"/>
              <w:widowControl/>
              <w:spacing w:before="60" w:after="60" w:line="264" w:lineRule="auto"/>
              <w:ind w:firstLine="0" w:left="0"/>
            </w:pPr>
            <w:r>
              <w:rPr>
                <w:rFonts w:ascii="楷体" w:hAnsi="楷体" w:eastAsia="楷体"/>
                <w:b w:val="0"/>
                <w:color w:val="000000"/>
                <w:sz w:val="19"/>
              </w:rPr>
              <w:t>40%</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成长型</w:t>
            </w:r>
          </w:p>
        </w:tc>
        <w:tc>
          <w:tcPr>
            <w:tcW w:type="dxa" w:w="1679"/>
          </w:tcPr>
          <w:p>
            <w:pPr>
              <w:keepNext w:val="0"/>
              <w:widowControl/>
              <w:spacing w:before="60" w:after="60" w:line="264" w:lineRule="auto"/>
              <w:ind w:firstLine="0" w:left="0"/>
            </w:pPr>
            <w:r>
              <w:rPr>
                <w:rFonts w:ascii="楷体" w:hAnsi="楷体" w:eastAsia="楷体"/>
                <w:b w:val="0"/>
                <w:color w:val="000000"/>
                <w:sz w:val="19"/>
              </w:rPr>
              <w:t>50%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3-3 画像对应的现有风险预算规则</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预算绑定 </w:t>
      </w:r>
      <w:r>
        <w:rPr>
          <w:rFonts w:ascii="楷体" w:hAnsi="楷体" w:eastAsia="楷体"/>
          <w:b w:val="0"/>
          <w:color w:val="000000"/>
          <w:sz w:val="24"/>
        </w:rPr>
        <w:t>owner_id</w:t>
      </w:r>
      <w:r>
        <w:rPr>
          <w:rFonts w:ascii="楷体" w:hAnsi="楷体" w:eastAsia="楷体"/>
          <w:b w:val="0"/>
          <w:color w:val="000000"/>
          <w:sz w:val="24"/>
        </w:rPr>
        <w:t>、</w:t>
      </w:r>
      <w:r>
        <w:rPr>
          <w:rFonts w:ascii="楷体" w:hAnsi="楷体" w:eastAsia="楷体"/>
          <w:b w:val="0"/>
          <w:color w:val="000000"/>
          <w:sz w:val="24"/>
        </w:rPr>
        <w:t>profile_id</w:t>
      </w:r>
      <w:r>
        <w:rPr>
          <w:rFonts w:ascii="楷体" w:hAnsi="楷体" w:eastAsia="楷体"/>
          <w:b w:val="0"/>
          <w:color w:val="000000"/>
          <w:sz w:val="24"/>
        </w:rPr>
        <w:t xml:space="preserve"> 和 </w:t>
      </w:r>
      <w:r>
        <w:rPr>
          <w:rFonts w:ascii="楷体" w:hAnsi="楷体" w:eastAsia="楷体"/>
          <w:b w:val="0"/>
          <w:color w:val="000000"/>
          <w:sz w:val="24"/>
        </w:rPr>
        <w:t>profile_version</w:t>
      </w:r>
      <w:r>
        <w:rPr>
          <w:rFonts w:ascii="楷体" w:hAnsi="楷体" w:eastAsia="楷体"/>
          <w:b w:val="0"/>
          <w:color w:val="000000"/>
          <w:sz w:val="24"/>
        </w:rPr>
        <w:t xml:space="preserve">。评估将观察比例与所属预算比较，按 </w:t>
      </w:r>
      <w:r>
        <w:rPr>
          <w:rFonts w:ascii="楷体" w:hAnsi="楷体" w:eastAsia="楷体"/>
          <w:b w:val="0"/>
          <w:color w:val="000000"/>
          <w:sz w:val="24"/>
        </w:rPr>
        <w:t>max(0, observed − limit)</w:t>
      </w:r>
      <w:r>
        <w:rPr>
          <w:rFonts w:ascii="楷体" w:hAnsi="楷体" w:eastAsia="楷体"/>
          <w:b w:val="0"/>
          <w:color w:val="000000"/>
          <w:sz w:val="24"/>
        </w:rPr>
        <w:t xml:space="preserve"> 生成超限幅度，单位为百分点。数据不完整或存在超限项时，评估结果进入 REVIEW_REQUIRED，并保留具体对象、观察值和预算值。</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1233147"/>
            <wp:docPr id="9" name="Picture 9"/>
            <wp:cNvGraphicFramePr>
              <a:graphicFrameLocks noChangeAspect="1"/>
            </wp:cNvGraphicFramePr>
            <a:graphic>
              <a:graphicData uri="http://schemas.openxmlformats.org/drawingml/2006/picture">
                <pic:pic>
                  <pic:nvPicPr>
                    <pic:cNvPr id="0" name="profile-rules.png"/>
                    <pic:cNvPicPr/>
                  </pic:nvPicPr>
                  <pic:blipFill>
                    <a:blip r:embed="rId26"/>
                    <a:stretch>
                      <a:fillRect/>
                    </a:stretch>
                  </pic:blipFill>
                  <pic:spPr>
                    <a:xfrm>
                      <a:off x="0" y="0"/>
                      <a:ext cx="5273675" cy="123314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3-9 画像与预算参与组合计算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3.4.3 持仓穿透与集中度计算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组合计算使用 Decimal 管理金额和比例。直接持仓按证券归属计入资产及行业；基金和 ETF 按已披露成分比例形成穿透贡献，同时保留原始持仓、基金快照和成分记录引用。未覆盖的基金成分形成独立的未穿透金额，以保持金额守恒。</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基本市值按 </w:t>
      </w:r>
      <w:r>
        <w:rPr>
          <w:rFonts w:ascii="楷体" w:hAnsi="楷体" w:eastAsia="楷体"/>
          <w:b w:val="0"/>
          <w:color w:val="000000"/>
          <w:sz w:val="24"/>
        </w:rPr>
        <w:t>quantity × price</w:t>
      </w:r>
      <w:r>
        <w:rPr>
          <w:rFonts w:ascii="楷体" w:hAnsi="楷体" w:eastAsia="楷体"/>
          <w:b w:val="0"/>
          <w:color w:val="000000"/>
          <w:sz w:val="24"/>
        </w:rPr>
        <w:t xml:space="preserve"> 计算；组合权重按 </w:t>
      </w:r>
      <w:r>
        <w:rPr>
          <w:rFonts w:ascii="楷体" w:hAnsi="楷体" w:eastAsia="楷体"/>
          <w:b w:val="0"/>
          <w:color w:val="000000"/>
          <w:sz w:val="24"/>
        </w:rPr>
        <w:t>market_value ÷ total_market_value × 100</w:t>
      </w:r>
      <w:r>
        <w:rPr>
          <w:rFonts w:ascii="楷体" w:hAnsi="楷体" w:eastAsia="楷体"/>
          <w:b w:val="0"/>
          <w:color w:val="000000"/>
          <w:sz w:val="24"/>
        </w:rPr>
        <w:t xml:space="preserve"> 计算。基金某项成分的穿透金额由基金持仓市值与该成分比例相乘取得。所有贡献金额的合计需要与原组合金额一致，Pydantic 模型核对贡献、分类合计及引用关系。</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集中度先按资产或行业聚合金额，再使用 </w:t>
      </w:r>
      <w:r>
        <w:rPr>
          <w:rFonts w:ascii="楷体" w:hAnsi="楷体" w:eastAsia="楷体"/>
          <w:b w:val="0"/>
          <w:color w:val="000000"/>
          <w:sz w:val="24"/>
        </w:rPr>
        <w:t>HHI = 10000 × Σ(value_i ÷ total_value)²</w:t>
      </w:r>
      <w:r>
        <w:rPr>
          <w:rFonts w:ascii="楷体" w:hAnsi="楷体" w:eastAsia="楷体"/>
          <w:b w:val="0"/>
          <w:color w:val="000000"/>
          <w:sz w:val="24"/>
        </w:rPr>
        <w:t xml:space="preserve"> 计算。HHI 和展示比例按 ROUND_HALF_UP 保留两位小数。报告分别说明证券持仓与含现金总资产的分母，风险检查读取其规定口径下的观察值和上限。</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566857" cy="7560000"/>
            <wp:docPr id="10" name="Picture 10"/>
            <wp:cNvGraphicFramePr>
              <a:graphicFrameLocks noChangeAspect="1"/>
            </wp:cNvGraphicFramePr>
            <a:graphic>
              <a:graphicData uri="http://schemas.openxmlformats.org/drawingml/2006/picture">
                <pic:pic>
                  <pic:nvPicPr>
                    <pic:cNvPr id="0" name="exposure-calculation.png"/>
                    <pic:cNvPicPr/>
                  </pic:nvPicPr>
                  <pic:blipFill>
                    <a:blip r:embed="rId27"/>
                    <a:stretch>
                      <a:fillRect/>
                    </a:stretch>
                  </pic:blipFill>
                  <pic:spPr>
                    <a:xfrm>
                      <a:off x="0" y="0"/>
                      <a:ext cx="4566857"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3-10 持仓穿透、金额守恒与集中度计算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3.4.4 交易约束下的再平衡测算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再平衡服务接收当前持仓、目标权重、报价和用户约束，将目标金额与当前金额的差额转换为买卖数量。开启交易单位约束时，股票及 ETF 按 100 股或份处理；卖出数量受当前持仓限制，买入数量受可用现金、最低现金比例和交易费用共同约束。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卖出操作更新现金并扣除费用。买入操作通过二分查找确定包含费用后仍可负担的最大交易单位数量，再更新持仓与现金。执行步骤按卖出与买入顺序组织，结果保留数量、金额、佣金、税费及现金变化。目标尚未满足时，输出具体未满足条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1" name="Picture 11"/>
            <wp:cNvGraphicFramePr>
              <a:graphicFrameLocks noChangeAspect="1"/>
            </wp:cNvGraphicFramePr>
            <a:graphic>
              <a:graphicData uri="http://schemas.openxmlformats.org/drawingml/2006/picture">
                <pic:pic>
                  <pic:nvPicPr>
                    <pic:cNvPr id="0" name="judge-05-rebalancing.png"/>
                    <pic:cNvPicPr/>
                  </pic:nvPicPr>
                  <pic:blipFill>
                    <a:blip r:embed="rId28"/>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3-11 再平衡数量与现金计算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测算完成后，服务使用交易后的数量、金额和现金重新构建组合，计算实际换手率、暴露及风险预算。结果同时呈现目标结构和实际可执行数量对应的结构。报价、规则、画像或持仓版本改变后，相关测算需要重新执行。测算结果供用户审阅，系统保留 ADVISORY_ONLY 使用范围。</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3.4.5 专业研究依赖执行与时间预算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研究计划以 DAG 表达节点及前置关系。提交时校验节点标识唯一性、未知依赖、自依赖和有向环；前置条件满足后启动相应节点，独立节点可以并行执行。专业研究模块覆盖宏观、行业、个股、基金、可转债和组合任务，具体运行路径由提交计划与已配置能力决定。</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LIVE 研究提供 A 股基础研究模板，包含行情和财务查询节点；用户也可以提交经校验的节点集合。</w:t>
      </w:r>
      <w:r>
        <w:rPr>
          <w:rFonts w:ascii="楷体" w:hAnsi="楷体" w:eastAsia="楷体"/>
          <w:b w:val="0"/>
          <w:color w:val="000000"/>
          <w:sz w:val="24"/>
        </w:rPr>
        <w:t>ResearchRuntime</w:t>
      </w:r>
      <w:r>
        <w:rPr>
          <w:rFonts w:ascii="楷体" w:hAnsi="楷体" w:eastAsia="楷体"/>
          <w:b w:val="0"/>
          <w:color w:val="000000"/>
          <w:sz w:val="24"/>
        </w:rPr>
        <w:t xml:space="preserve"> 在单进程内按用户组组织排队，使用独立 semaphore 管理 Provider 和模型调用名额，记录等待、执行、部分完成、失败、取消和超时等状态。节点依赖未完成时，下游节点保留取消及原因。</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507678"/>
            <wp:docPr id="12" name="Picture 12"/>
            <wp:cNvGraphicFramePr>
              <a:graphicFrameLocks noChangeAspect="1"/>
            </wp:cNvGraphicFramePr>
            <a:graphic>
              <a:graphicData uri="http://schemas.openxmlformats.org/drawingml/2006/picture">
                <pic:pic>
                  <pic:nvPicPr>
                    <pic:cNvPr id="0" name="research-runtime.png"/>
                    <pic:cNvPicPr/>
                  </pic:nvPicPr>
                  <pic:blipFill>
                    <a:blip r:embed="rId29"/>
                    <a:stretch>
                      <a:fillRect/>
                    </a:stretch>
                  </pic:blipFill>
                  <pic:spPr>
                    <a:xfrm>
                      <a:off x="0" y="0"/>
                      <a:ext cx="5273675" cy="650767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3-12 研究依赖执行、排队容量与时间预算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上述数值表示程序限制，外部服务授权、额度及实际响应能力另行检查。LIVE 任务结果关联输入版本、请求与响应摘要、节点状态和结构化观测，单一来源资料继续保留 SINGLE_SOURCE_UNVERIFIED。</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3.4.6 来源验证与风险合规审查</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研究资料通过 Evidence、Fact、Finding 和 Recommendation 对象表达来源、可验证事实、研究发现及建议关系。交叉验证首先检查主体、指标、单位、期间和数据质量，随后按 </w:t>
      </w:r>
      <w:r>
        <w:rPr>
          <w:rFonts w:ascii="楷体" w:hAnsi="楷体" w:eastAsia="楷体"/>
          <w:b w:val="0"/>
          <w:color w:val="000000"/>
          <w:sz w:val="24"/>
        </w:rPr>
        <w:t>lineage_id</w:t>
      </w:r>
      <w:r>
        <w:rPr>
          <w:rFonts w:ascii="楷体" w:hAnsi="楷体" w:eastAsia="楷体"/>
          <w:b w:val="0"/>
          <w:color w:val="000000"/>
          <w:sz w:val="24"/>
        </w:rPr>
        <w:t xml:space="preserve"> 分组。同组重复记录计作一个来源，组内数值冲突进入复核。</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标量声明采用 Decimal 相等检查。至少两个有效独立来源支持且不存在反对或不明确输入时，状态为 SUPPORTED；独立来源形成明确反对时进入 CONTRADICTED；口径、来源或数值存在未解决问题时保留 UNRESOLVED；有效独立依据不足时保留 INSUFFICIENT。状态和引用继续传递至研究结果。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3" name="Picture 13"/>
            <wp:cNvGraphicFramePr>
              <a:graphicFrameLocks noChangeAspect="1"/>
            </wp:cNvGraphicFramePr>
            <a:graphic>
              <a:graphicData uri="http://schemas.openxmlformats.org/drawingml/2006/picture">
                <pic:pic>
                  <pic:nvPicPr>
                    <pic:cNvPr id="0" name="judge-04-evidence-validation.png"/>
                    <pic:cNvPicPr/>
                  </pic:nvPicPr>
                  <pic:blipFill>
                    <a:blip r:embed="rId30"/>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3-13 来源分组与证据验证</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结构化建议分别接受风险和合规审查。风险审查检查画像、组合、预算及证据条件；合规审查检查事实引用、风险揭示和禁止表述。整体状态按 BLOCKED、REVIEW_REQUIRED、PASS 的优先顺序聚合，双方 PASS 才具备建议资格。建议组合器再次检查输入版本及引用，生成 Recommendation 和 DecisionReceipt。</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4" name="Picture 14"/>
            <wp:cNvGraphicFramePr>
              <a:graphicFrameLocks noChangeAspect="1"/>
            </wp:cNvGraphicFramePr>
            <a:graphic>
              <a:graphicData uri="http://schemas.openxmlformats.org/drawingml/2006/picture">
                <pic:pic>
                  <pic:nvPicPr>
                    <pic:cNvPr id="0" name="judge-06-decision-gates.png"/>
                    <pic:cNvPicPr/>
                  </pic:nvPicPr>
                  <pic:blipFill>
                    <a:blip r:embed="rId31"/>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3-14 风险与合规审查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3.4.7 PDF 内容提取与研究资料检索</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资料服务支持 UTF-8 的 TXT、Markdown 和可提取文本的 PDF 上传，文件大小上限为 8 MiB。PDF 路径使用 pypdf 读取页面文本，保留页码并与文档标题、来源、发布时间、主体和期间共同存储。加密 PDF、超过 1000 页的 PDF 和无法提取文本的文件返回相应错误；扫描 PDF 需要预先完成 OCR。</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文本按自然段和长度组织为检索片段，单个长自然段以最多 1200 个字符形成片段。SQLite 路径使用中文相邻字符索引与 FTS5/BM25；可用向量满足模型和 revision 条件、且混合检索已启用时，使用 cosine 排序，再按 </w:t>
      </w:r>
      <w:r>
        <w:rPr>
          <w:rFonts w:ascii="楷体" w:hAnsi="楷体" w:eastAsia="楷体"/>
          <w:b w:val="0"/>
          <w:color w:val="000000"/>
          <w:sz w:val="24"/>
        </w:rPr>
        <w:t>Σ 1/(60 + rank)</w:t>
      </w:r>
      <w:r>
        <w:rPr>
          <w:rFonts w:ascii="楷体" w:hAnsi="楷体" w:eastAsia="楷体"/>
          <w:b w:val="0"/>
          <w:color w:val="000000"/>
          <w:sz w:val="24"/>
        </w:rPr>
        <w:t xml:space="preserve"> 的 RRF 规则融合关键词与向量结果。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3594658" cy="7560000"/>
            <wp:docPr id="15" name="Picture 15"/>
            <wp:cNvGraphicFramePr>
              <a:graphicFrameLocks noChangeAspect="1"/>
            </wp:cNvGraphicFramePr>
            <a:graphic>
              <a:graphicData uri="http://schemas.openxmlformats.org/drawingml/2006/picture">
                <pic:pic>
                  <pic:nvPicPr>
                    <pic:cNvPr id="0" name="knowledge-retrieval.png"/>
                    <pic:cNvPicPr/>
                  </pic:nvPicPr>
                  <pic:blipFill>
                    <a:blip r:embed="rId32"/>
                    <a:stretch>
                      <a:fillRect/>
                    </a:stretch>
                  </pic:blipFill>
                  <pic:spPr>
                    <a:xfrm>
                      <a:off x="0" y="0"/>
                      <a:ext cx="3594658"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3-15 研究资料提取、候选范围检查与引用返回</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混合检索默认关闭。检索相关性与精确引文匹配分别保留其结果，金融声明继续接受结构化来源验证。资料更新后，旧版本引用返回版本变化状态；候选集合受限制时，响应保留候选截断与质量状态。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3.4.8 会话前提与历史记录管理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会话前提由服务端读取已确认问卷、有效画像、当前持仓和数据模式，按规范化 JSON 生成 SHA-256 指纹。确认请求使用预期 revision，保存后形成 LOCKED 状态。后续请求核对用户归属、revision 和当前事实指纹，变化时返回 DRIFT_DETECTED，提示用户重新确认。</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384186"/>
            <wp:docPr id="16" name="Picture 16"/>
            <wp:cNvGraphicFramePr>
              <a:graphicFrameLocks noChangeAspect="1"/>
            </wp:cNvGraphicFramePr>
            <a:graphic>
              <a:graphicData uri="http://schemas.openxmlformats.org/drawingml/2006/picture">
                <pic:pic>
                  <pic:nvPicPr>
                    <pic:cNvPr id="0" name="context-dataflow.png"/>
                    <pic:cNvPicPr/>
                  </pic:nvPicPr>
                  <pic:blipFill>
                    <a:blip r:embed="rId33"/>
                    <a:srcRect t="2560"/>
                    <a:stretch>
                      <a:fillRect/>
                    </a:stretch>
                  </pic:blipFill>
                  <pic:spPr>
                    <a:xfrm>
                      <a:off x="0" y="0"/>
                      <a:ext cx="5273675" cy="5384186"/>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3-16 会话上下文与工具处理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会话历史与当前金融事实分别管理。历史消息支持理解问题；</w:t>
      </w:r>
      <w:r>
        <w:rPr>
          <w:rFonts w:ascii="楷体" w:hAnsi="楷体" w:eastAsia="楷体"/>
          <w:b w:val="0"/>
          <w:color w:val="000000"/>
          <w:sz w:val="24"/>
        </w:rPr>
        <w:t>context_memory</w:t>
      </w:r>
      <w:r>
        <w:rPr>
          <w:rFonts w:ascii="楷体" w:hAnsi="楷体" w:eastAsia="楷体"/>
          <w:b w:val="0"/>
          <w:color w:val="000000"/>
          <w:sz w:val="24"/>
        </w:rPr>
        <w:t xml:space="preserve"> 保存用户显式选择的资料，按归属检索并显式恢复。恢复后的资料经过确认进入当前上下文，组合结果重新计算。对话消息仅在生成完成且无流式错误时保存为已完成助手消息。</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406769"/>
            <wp:docPr id="17" name="Picture 17"/>
            <wp:cNvGraphicFramePr>
              <a:graphicFrameLocks noChangeAspect="1"/>
            </wp:cNvGraphicFramePr>
            <a:graphic>
              <a:graphicData uri="http://schemas.openxmlformats.org/drawingml/2006/picture">
                <pic:pic>
                  <pic:nvPicPr>
                    <pic:cNvPr id="0" name="session-premises.png"/>
                    <pic:cNvPicPr/>
                  </pic:nvPicPr>
                  <pic:blipFill>
                    <a:blip r:embed="rId34"/>
                    <a:stretch>
                      <a:fillRect/>
                    </a:stretch>
                  </pic:blipFill>
                  <pic:spPr>
                    <a:xfrm>
                      <a:off x="0" y="0"/>
                      <a:ext cx="5273675" cy="4406769"/>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3-17 会话前提确认、持续检查与资料变化处理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3.4.9 确定性研究算法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研究工作台提供独立的算法计算接口，由用户提交历史收益、财务数据、来源及截止时点。Pydantic 校验数据类型、样本数量、时间顺序和有限数值，NumPy 执行数值运算。接口将计算任务交由工作线程执行，并通过容量限制控制活动任务。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176376"/>
            <wp:docPr id="18" name="Picture 18"/>
            <wp:cNvGraphicFramePr>
              <a:graphicFrameLocks noChangeAspect="1"/>
            </wp:cNvGraphicFramePr>
            <a:graphic>
              <a:graphicData uri="http://schemas.openxmlformats.org/drawingml/2006/picture">
                <pic:pic>
                  <pic:nvPicPr>
                    <pic:cNvPr id="0" name="research-algorithms.png"/>
                    <pic:cNvPicPr/>
                  </pic:nvPicPr>
                  <pic:blipFill>
                    <a:blip r:embed="rId35"/>
                    <a:stretch>
                      <a:fillRect/>
                    </a:stretch>
                  </pic:blipFill>
                  <pic:spPr>
                    <a:xfrm>
                      <a:off x="0" y="0"/>
                      <a:ext cx="5273675" cy="6176376"/>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3-18 确定性研究算法的输入、计算与结果条件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算法结果关联 </w:t>
      </w:r>
      <w:r>
        <w:rPr>
          <w:rFonts w:ascii="楷体" w:hAnsi="楷体" w:eastAsia="楷体"/>
          <w:b w:val="0"/>
          <w:color w:val="000000"/>
          <w:sz w:val="24"/>
        </w:rPr>
        <w:t>method_version</w:t>
      </w:r>
      <w:r>
        <w:rPr>
          <w:rFonts w:ascii="楷体" w:hAnsi="楷体" w:eastAsia="楷体"/>
          <w:b w:val="0"/>
          <w:color w:val="000000"/>
          <w:sz w:val="24"/>
        </w:rPr>
        <w:t>、</w:t>
      </w:r>
      <w:r>
        <w:rPr>
          <w:rFonts w:ascii="楷体" w:hAnsi="楷体" w:eastAsia="楷体"/>
          <w:b w:val="0"/>
          <w:color w:val="000000"/>
          <w:sz w:val="24"/>
        </w:rPr>
        <w:t>source</w:t>
      </w:r>
      <w:r>
        <w:rPr>
          <w:rFonts w:ascii="楷体" w:hAnsi="楷体" w:eastAsia="楷体"/>
          <w:b w:val="0"/>
          <w:color w:val="000000"/>
          <w:sz w:val="24"/>
        </w:rPr>
        <w:t>、</w:t>
      </w:r>
      <w:r>
        <w:rPr>
          <w:rFonts w:ascii="楷体" w:hAnsi="楷体" w:eastAsia="楷体"/>
          <w:b w:val="0"/>
          <w:color w:val="000000"/>
          <w:sz w:val="24"/>
        </w:rPr>
        <w:t>as_of</w:t>
      </w:r>
      <w:r>
        <w:rPr>
          <w:rFonts w:ascii="楷体" w:hAnsi="楷体" w:eastAsia="楷体"/>
          <w:b w:val="0"/>
          <w:color w:val="000000"/>
          <w:sz w:val="24"/>
        </w:rPr>
        <w:t xml:space="preserve"> 和 </w:t>
      </w:r>
      <w:r>
        <w:rPr>
          <w:rFonts w:ascii="楷体" w:hAnsi="楷体" w:eastAsia="楷体"/>
          <w:b w:val="0"/>
          <w:color w:val="000000"/>
          <w:sz w:val="24"/>
        </w:rPr>
        <w:t>input_snapshot_id</w:t>
      </w:r>
      <w:r>
        <w:rPr>
          <w:rFonts w:ascii="楷体" w:hAnsi="楷体" w:eastAsia="楷体"/>
          <w:b w:val="0"/>
          <w:color w:val="000000"/>
          <w:sz w:val="24"/>
        </w:rPr>
        <w:t>。输入不足、依赖缺少或模型未收敛时返回 UNAVAILABLE 及原因；满足条件时返回 CALCULATED。HMM 和因子构造采用现有 A 股适配规则，结果作为研究指标使用。假设情景测算使用明确的场景参数，保留基准与场景差异及假设性质。</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3.5 系统主要界面</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3.5.1 对话工作台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对话工作台提供问题输入、研究能力选择、持仓图片上传和历史对话。SSE 事件驱动执行进度与回答展示，用户可以查看工具处理结果并继续追问。个人组合分析使用已确认的画像与持仓前提，一般概念解释使用相应的通用问答路径。</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19" name="Picture 19"/>
            <wp:cNvGraphicFramePr>
              <a:graphicFrameLocks noChangeAspect="1"/>
            </wp:cNvGraphicFramePr>
            <a:graphic>
              <a:graphicData uri="http://schemas.openxmlformats.org/drawingml/2006/picture">
                <pic:pic>
                  <pic:nvPicPr>
                    <pic:cNvPr id="0" name="copilot-20261005.png"/>
                    <pic:cNvPicPr/>
                  </pic:nvPicPr>
                  <pic:blipFill>
                    <a:blip r:embed="rId36"/>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3-19 对话工作台界面（2026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3.5.2 持仓分析与交易风格</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0" name="Picture 20"/>
            <wp:cNvGraphicFramePr>
              <a:graphicFrameLocks noChangeAspect="1"/>
            </wp:cNvGraphicFramePr>
            <a:graphic>
              <a:graphicData uri="http://schemas.openxmlformats.org/drawingml/2006/picture">
                <pic:pic>
                  <pic:nvPicPr>
                    <pic:cNvPr id="0" name="portfolio-20261005.png"/>
                    <pic:cNvPicPr/>
                  </pic:nvPicPr>
                  <pic:blipFill>
                    <a:blip r:embed="rId37"/>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3-20 持仓分析界面（2026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3.5.3 个人中心</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个人中心组织风险测评、评分解释和展示设置。正式问卷包含 19 个问题，确认后保存问卷版本、规则版本和画像。页面提供再次测评、分析资料查看和展示设置，画像结果与组合风险预算关联。</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1" name="Picture 21"/>
            <wp:cNvGraphicFramePr>
              <a:graphicFrameLocks noChangeAspect="1"/>
            </wp:cNvGraphicFramePr>
            <a:graphic>
              <a:graphicData uri="http://schemas.openxmlformats.org/drawingml/2006/picture">
                <pic:pic>
                  <pic:nvPicPr>
                    <pic:cNvPr id="0" name="profile-20261005.png"/>
                    <pic:cNvPicPr/>
                  </pic:nvPicPr>
                  <pic:blipFill>
                    <a:blip r:embed="rId38"/>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3-21 个人中心界面（2026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3.5.4 市场观察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市场观察页面提供市场和指数切换、行情图表、技术指标与相关说明。页面按所选周期请求服务端数据，展示返回的数据时间和可用状态。指数切换侧栏与行情主区域配合，支持继续进入相应市场研究。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2" name="Picture 22"/>
            <wp:cNvGraphicFramePr>
              <a:graphicFrameLocks noChangeAspect="1"/>
            </wp:cNvGraphicFramePr>
            <a:graphic>
              <a:graphicData uri="http://schemas.openxmlformats.org/drawingml/2006/picture">
                <pic:pic>
                  <pic:nvPicPr>
                    <pic:cNvPr id="0" name="market-20261005.png"/>
                    <pic:cNvPicPr/>
                  </pic:nvPicPr>
                  <pic:blipFill>
                    <a:blip r:embed="rId39"/>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3-22 市场观察界面（2026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3.5.5 研究工作台与技能商店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研究工作台将金融数据查询、资料检索和算法计算放入同一入口。金融查询支持基础模板和自定义节点，资料查询返回原文、来源及引用位置，算法计算支持填写或导入 JSON 输入。参数、资料管理、任务读取、运行信息和完整结果由工具区域按需显示。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3" name="Picture 23"/>
            <wp:cNvGraphicFramePr>
              <a:graphicFrameLocks noChangeAspect="1"/>
            </wp:cNvGraphicFramePr>
            <a:graphic>
              <a:graphicData uri="http://schemas.openxmlformats.org/drawingml/2006/picture">
                <pic:pic>
                  <pic:nvPicPr>
                    <pic:cNvPr id="0" name="research-workbench-20261005.png"/>
                    <pic:cNvPicPr/>
                  </pic:nvPicPr>
                  <pic:blipFill>
                    <a:blip r:embed="rId40"/>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3-23 研究工作台界面（2026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技能商店展示能力用途、版本、启用状态和运行条件。管理员管理能力元数据及验证，用户选择账户范围内启用的能力；调用前检查当前版本和可用条件，研究与对话继续使用受控 Provider 适配器执行请求。</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4" name="Picture 24"/>
            <wp:cNvGraphicFramePr>
              <a:graphicFrameLocks noChangeAspect="1"/>
            </wp:cNvGraphicFramePr>
            <a:graphic>
              <a:graphicData uri="http://schemas.openxmlformats.org/drawingml/2006/picture">
                <pic:pic>
                  <pic:nvPicPr>
                    <pic:cNvPr id="0" name="skill-store-20261005.png"/>
                    <pic:cNvPicPr/>
                  </pic:nvPicPr>
                  <pic:blipFill>
                    <a:blip r:embed="rId41"/>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3-24 技能商店界面（2026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本节截图于 2026 年 10 月 5 日从当前项目服务采集，服务使用现有数据库的独立副本，读取已确认的问卷、持仓和相关记录。截图中的资料时间以页面显示为准；页面结构、操作与接口响应对应采集时的运行状态。</w:t>
      </w:r>
    </w:p>
    <w:sectPr w:rsidR="00840CCB" w:rsidRPr="00057A2F" w:rsidSect="00A07363">
      <w:footerReference w:type="default" r:id="rId59"/>
      <w:pgSz w:w="11905" w:h="16840"/>
      <w:pgMar w:top="1440" w:right="1800" w:bottom="1440" w:left="1800" w:header="72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CE70" w14:textId="77777777" w:rsidR="00683BAA" w:rsidRDefault="00683BAA">
      <w:pPr>
        <w:spacing w:after="0" w:line="240" w:lineRule="auto"/>
        <w:rPr>
          <w:rFonts w:hint="eastAsia"/>
        </w:rPr>
      </w:pPr>
      <w:r>
        <w:separator/>
      </w:r>
    </w:p>
  </w:endnote>
  <w:endnote w:type="continuationSeparator" w:id="0">
    <w:p w14:paraId="59C56889" w14:textId="77777777" w:rsidR="00683BAA" w:rsidRDefault="00683B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Noto Serif SC Black">
    <w:panose1 w:val="02020200000000000000"/>
    <w:charset w:val="86"/>
    <w:family w:val="roman"/>
    <w:pitch w:val="variable"/>
    <w:sig w:usb0="20000287" w:usb1="2ADF3C10" w:usb2="00000016" w:usb3="00000000" w:csb0="00060107" w:csb1="00000000"/>
  </w:font>
  <w:font w:name="方正姚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80000287" w:usb1="280F3C52" w:usb2="00000016" w:usb3="00000000" w:csb0="0004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EAFA" w14:textId="77777777" w:rsidR="00A07363" w:rsidRDefault="00A0736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DFCD" w14:textId="4EB63D0B" w:rsidR="00D61191" w:rsidRDefault="00D61191" w:rsidP="00A07363">
    <w:pPr>
      <w:pStyle w:val="a5"/>
      <w:jc w:val="center"/>
      <w:rPr>
        <w:rFonts w:hint="eastAsia"/>
      </w:rPr>
    </w:pPr>
  </w:p>
  <w:p w14:paraId="6041BEBB" w14:textId="77777777" w:rsidR="00D61191" w:rsidRDefault="00D61191">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CF4" w14:textId="77777777" w:rsidR="00A07363" w:rsidRDefault="00A07363">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71052"/>
      <w:docPartObj>
        <w:docPartGallery w:val="Page Numbers (Bottom of Page)"/>
        <w:docPartUnique/>
      </w:docPartObj>
    </w:sdtPr>
    <w:sdtContent>
      <w:p w14:paraId="5104BAA5" w14:textId="77777777" w:rsidR="00A07363" w:rsidRDefault="00A07363">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D7924BB" w14:textId="77777777" w:rsidR="00A07363" w:rsidRDefault="00A0736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A796" w14:textId="77777777" w:rsidR="00683BAA" w:rsidRDefault="00683BAA">
      <w:pPr>
        <w:spacing w:after="0" w:line="240" w:lineRule="auto"/>
        <w:rPr>
          <w:rFonts w:hint="eastAsia"/>
        </w:rPr>
      </w:pPr>
      <w:r>
        <w:separator/>
      </w:r>
    </w:p>
  </w:footnote>
  <w:footnote w:type="continuationSeparator" w:id="0">
    <w:p w14:paraId="4F7352B7" w14:textId="77777777" w:rsidR="00683BAA" w:rsidRDefault="00683B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E369" w14:textId="77777777" w:rsidR="00A07363" w:rsidRDefault="00A07363">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39A4" w14:textId="63EA0688" w:rsidR="00A07363" w:rsidRPr="00BB297F" w:rsidRDefault="00BB297F" w:rsidP="00BB297F">
    <w:pPr>
      <w:tabs>
        <w:tab w:val="center" w:pos="4153"/>
        <w:tab w:val="right" w:pos="8306"/>
      </w:tabs>
      <w:snapToGrid w:val="0"/>
      <w:spacing w:line="240" w:lineRule="auto"/>
      <w:ind w:right="360"/>
      <w:jc w:val="center"/>
      <w:rPr>
        <w:rFonts w:ascii="等线" w:eastAsia="等线" w:hAnsi="等线" w:cs="Times New Roman" w:hint="eastAsia"/>
        <w:sz w:val="21"/>
        <w:szCs w:val="21"/>
      </w:rPr>
    </w:pPr>
    <w:r w:rsidRPr="00BB297F">
      <w:rPr>
        <w:rFonts w:ascii="等线" w:eastAsia="等线" w:hAnsi="等线" w:cs="Times New Roman" w:hint="eastAsia"/>
        <w:sz w:val="21"/>
        <w:szCs w:val="21"/>
      </w:rPr>
      <w:t>【A11】基于同花</w:t>
    </w:r>
    <w:proofErr w:type="gramStart"/>
    <w:r w:rsidRPr="00BB297F">
      <w:rPr>
        <w:rFonts w:ascii="等线" w:eastAsia="等线" w:hAnsi="等线" w:cs="Times New Roman" w:hint="eastAsia"/>
        <w:sz w:val="21"/>
        <w:szCs w:val="21"/>
      </w:rPr>
      <w:t>顺金融</w:t>
    </w:r>
    <w:proofErr w:type="gramEnd"/>
    <w:r w:rsidRPr="00BB297F">
      <w:rPr>
        <w:rFonts w:ascii="等线" w:eastAsia="等线" w:hAnsi="等线" w:cs="Times New Roman" w:hint="eastAsia"/>
        <w:sz w:val="21"/>
        <w:szCs w:val="21"/>
      </w:rPr>
      <w:t>大数据和</w:t>
    </w:r>
    <w:proofErr w:type="spellStart"/>
    <w:r w:rsidRPr="00BB297F">
      <w:rPr>
        <w:rFonts w:ascii="等线" w:eastAsia="等线" w:hAnsi="等线" w:cs="Times New Roman" w:hint="eastAsia"/>
        <w:sz w:val="21"/>
        <w:szCs w:val="21"/>
      </w:rPr>
      <w:t>Hithink</w:t>
    </w:r>
    <w:proofErr w:type="spellEnd"/>
    <w:r w:rsidRPr="00BB297F">
      <w:rPr>
        <w:rFonts w:ascii="等线" w:eastAsia="等线" w:hAnsi="等线" w:cs="Times New Roman" w:hint="eastAsia"/>
        <w:sz w:val="21"/>
        <w:szCs w:val="21"/>
      </w:rPr>
      <w:t>大模型的</w:t>
    </w:r>
    <w:proofErr w:type="gramStart"/>
    <w:r w:rsidRPr="00BB297F">
      <w:rPr>
        <w:rFonts w:ascii="等线" w:eastAsia="等线" w:hAnsi="等线" w:cs="Times New Roman" w:hint="eastAsia"/>
        <w:sz w:val="21"/>
        <w:szCs w:val="21"/>
      </w:rPr>
      <w:t>智能财报评估</w:t>
    </w:r>
    <w:proofErr w:type="gramEnd"/>
    <w:r w:rsidRPr="00BB297F">
      <w:rPr>
        <w:rFonts w:ascii="等线" w:eastAsia="等线" w:hAnsi="等线" w:cs="Times New Roman" w:hint="eastAsia"/>
        <w:sz w:val="21"/>
        <w:szCs w:val="21"/>
      </w:rPr>
      <w:t>系统【同花顺】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AEB1" w14:textId="77777777" w:rsidR="00A07363" w:rsidRDefault="00A07363">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D32"/>
    <w:multiLevelType w:val="multilevel"/>
    <w:tmpl w:val="027819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346DDF"/>
    <w:multiLevelType w:val="multilevel"/>
    <w:tmpl w:val="C756EA9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5053E"/>
    <w:multiLevelType w:val="multilevel"/>
    <w:tmpl w:val="6056412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07374E"/>
    <w:multiLevelType w:val="multilevel"/>
    <w:tmpl w:val="63F89626"/>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C12529"/>
    <w:multiLevelType w:val="multilevel"/>
    <w:tmpl w:val="3790F7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C06162"/>
    <w:multiLevelType w:val="multilevel"/>
    <w:tmpl w:val="32C8AB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3723D8"/>
    <w:multiLevelType w:val="multilevel"/>
    <w:tmpl w:val="C064524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570C61"/>
    <w:multiLevelType w:val="multilevel"/>
    <w:tmpl w:val="6E7ACF8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F13510"/>
    <w:multiLevelType w:val="multilevel"/>
    <w:tmpl w:val="1324B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CB44B3"/>
    <w:multiLevelType w:val="multilevel"/>
    <w:tmpl w:val="600C0F7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0176F8"/>
    <w:multiLevelType w:val="multilevel"/>
    <w:tmpl w:val="7BC6C7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0C0FBB"/>
    <w:multiLevelType w:val="multilevel"/>
    <w:tmpl w:val="E2EAD9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994034"/>
    <w:multiLevelType w:val="multilevel"/>
    <w:tmpl w:val="CADABC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E734BE"/>
    <w:multiLevelType w:val="multilevel"/>
    <w:tmpl w:val="8A9AB7F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A36FE7"/>
    <w:multiLevelType w:val="multilevel"/>
    <w:tmpl w:val="07361E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533CBB"/>
    <w:multiLevelType w:val="multilevel"/>
    <w:tmpl w:val="365CC9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8643A3"/>
    <w:multiLevelType w:val="multilevel"/>
    <w:tmpl w:val="4CB2C16E"/>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30497E"/>
    <w:multiLevelType w:val="multilevel"/>
    <w:tmpl w:val="F3CA55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67B2467"/>
    <w:multiLevelType w:val="multilevel"/>
    <w:tmpl w:val="DFF8F2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4C7CD3"/>
    <w:multiLevelType w:val="multilevel"/>
    <w:tmpl w:val="4ADC5F94"/>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024EFE"/>
    <w:multiLevelType w:val="multilevel"/>
    <w:tmpl w:val="332CAF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276EF0"/>
    <w:multiLevelType w:val="multilevel"/>
    <w:tmpl w:val="1396CA2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F8174B"/>
    <w:multiLevelType w:val="multilevel"/>
    <w:tmpl w:val="DEAE4E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FD4957"/>
    <w:multiLevelType w:val="multilevel"/>
    <w:tmpl w:val="5C5E01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2E2009"/>
    <w:multiLevelType w:val="multilevel"/>
    <w:tmpl w:val="45ECC6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310EA0"/>
    <w:multiLevelType w:val="multilevel"/>
    <w:tmpl w:val="446E8B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933FCF"/>
    <w:multiLevelType w:val="multilevel"/>
    <w:tmpl w:val="03AEA7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183A76"/>
    <w:multiLevelType w:val="multilevel"/>
    <w:tmpl w:val="101088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A1478C"/>
    <w:multiLevelType w:val="multilevel"/>
    <w:tmpl w:val="B5A2A8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251759"/>
    <w:multiLevelType w:val="multilevel"/>
    <w:tmpl w:val="1EEA58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05F10E5"/>
    <w:multiLevelType w:val="multilevel"/>
    <w:tmpl w:val="99FA9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176522E"/>
    <w:multiLevelType w:val="multilevel"/>
    <w:tmpl w:val="60F651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1D5338F"/>
    <w:multiLevelType w:val="multilevel"/>
    <w:tmpl w:val="257094E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2083A73"/>
    <w:multiLevelType w:val="multilevel"/>
    <w:tmpl w:val="C70EDE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2305147"/>
    <w:multiLevelType w:val="multilevel"/>
    <w:tmpl w:val="7F7A0D2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53691B"/>
    <w:multiLevelType w:val="multilevel"/>
    <w:tmpl w:val="F84E75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35A5B9F"/>
    <w:multiLevelType w:val="multilevel"/>
    <w:tmpl w:val="175A4FE0"/>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3605E2F"/>
    <w:multiLevelType w:val="multilevel"/>
    <w:tmpl w:val="977E65D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36634D5"/>
    <w:multiLevelType w:val="multilevel"/>
    <w:tmpl w:val="3D16DF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7E410A"/>
    <w:multiLevelType w:val="multilevel"/>
    <w:tmpl w:val="00D078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C20354"/>
    <w:multiLevelType w:val="multilevel"/>
    <w:tmpl w:val="86527E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42E211F"/>
    <w:multiLevelType w:val="multilevel"/>
    <w:tmpl w:val="676C2C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45925F7"/>
    <w:multiLevelType w:val="multilevel"/>
    <w:tmpl w:val="575CF7AC"/>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5480714"/>
    <w:multiLevelType w:val="multilevel"/>
    <w:tmpl w:val="17428F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DD2385"/>
    <w:multiLevelType w:val="multilevel"/>
    <w:tmpl w:val="A826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72F7D22"/>
    <w:multiLevelType w:val="multilevel"/>
    <w:tmpl w:val="1E0051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E07AFA"/>
    <w:multiLevelType w:val="multilevel"/>
    <w:tmpl w:val="47A4C2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0B7154"/>
    <w:multiLevelType w:val="multilevel"/>
    <w:tmpl w:val="C12C60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0A26D0"/>
    <w:multiLevelType w:val="multilevel"/>
    <w:tmpl w:val="126E747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BE0EBA"/>
    <w:multiLevelType w:val="multilevel"/>
    <w:tmpl w:val="C7FA4A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C25E13"/>
    <w:multiLevelType w:val="multilevel"/>
    <w:tmpl w:val="5CBCF100"/>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F17022"/>
    <w:multiLevelType w:val="multilevel"/>
    <w:tmpl w:val="ECA87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F502DB"/>
    <w:multiLevelType w:val="multilevel"/>
    <w:tmpl w:val="4478304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0D29F5"/>
    <w:multiLevelType w:val="multilevel"/>
    <w:tmpl w:val="4C26D11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CB6FFF"/>
    <w:multiLevelType w:val="multilevel"/>
    <w:tmpl w:val="74AA19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E4B2D6C"/>
    <w:multiLevelType w:val="multilevel"/>
    <w:tmpl w:val="2130918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E51050F"/>
    <w:multiLevelType w:val="multilevel"/>
    <w:tmpl w:val="4712F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F11A03"/>
    <w:multiLevelType w:val="multilevel"/>
    <w:tmpl w:val="9A7031D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1B82DBB"/>
    <w:multiLevelType w:val="multilevel"/>
    <w:tmpl w:val="83DC2F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1BF3867"/>
    <w:multiLevelType w:val="multilevel"/>
    <w:tmpl w:val="63344BF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3947F96"/>
    <w:multiLevelType w:val="multilevel"/>
    <w:tmpl w:val="8A60F9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4031EB5"/>
    <w:multiLevelType w:val="multilevel"/>
    <w:tmpl w:val="F61C39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4960EA3"/>
    <w:multiLevelType w:val="multilevel"/>
    <w:tmpl w:val="D834F6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52756D7"/>
    <w:multiLevelType w:val="multilevel"/>
    <w:tmpl w:val="0B30848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5680C0E"/>
    <w:multiLevelType w:val="multilevel"/>
    <w:tmpl w:val="739E100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5AD5E48"/>
    <w:multiLevelType w:val="multilevel"/>
    <w:tmpl w:val="AE86D62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5E00586"/>
    <w:multiLevelType w:val="multilevel"/>
    <w:tmpl w:val="F18053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7865795"/>
    <w:multiLevelType w:val="multilevel"/>
    <w:tmpl w:val="646604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85E225F"/>
    <w:multiLevelType w:val="multilevel"/>
    <w:tmpl w:val="DEACE944"/>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1F009F"/>
    <w:multiLevelType w:val="multilevel"/>
    <w:tmpl w:val="431CFBF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A1F0237"/>
    <w:multiLevelType w:val="multilevel"/>
    <w:tmpl w:val="1A326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AFA4756"/>
    <w:multiLevelType w:val="multilevel"/>
    <w:tmpl w:val="292A99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B1716DF"/>
    <w:multiLevelType w:val="multilevel"/>
    <w:tmpl w:val="65CA673C"/>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BD92CA8"/>
    <w:multiLevelType w:val="multilevel"/>
    <w:tmpl w:val="931E8CC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C1E08A0"/>
    <w:multiLevelType w:val="multilevel"/>
    <w:tmpl w:val="56C416E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CB7684F"/>
    <w:multiLevelType w:val="multilevel"/>
    <w:tmpl w:val="D69218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CBA6E3A"/>
    <w:multiLevelType w:val="multilevel"/>
    <w:tmpl w:val="24CACE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D0D496A"/>
    <w:multiLevelType w:val="multilevel"/>
    <w:tmpl w:val="395AC59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DD14936"/>
    <w:multiLevelType w:val="multilevel"/>
    <w:tmpl w:val="09DEE2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E184DB2"/>
    <w:multiLevelType w:val="multilevel"/>
    <w:tmpl w:val="424601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E1C72D8"/>
    <w:multiLevelType w:val="multilevel"/>
    <w:tmpl w:val="BC08091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E2C651D"/>
    <w:multiLevelType w:val="multilevel"/>
    <w:tmpl w:val="9AE619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E3D7C41"/>
    <w:multiLevelType w:val="multilevel"/>
    <w:tmpl w:val="040C90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F1018DE"/>
    <w:multiLevelType w:val="multilevel"/>
    <w:tmpl w:val="C9460B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F224CBA"/>
    <w:multiLevelType w:val="multilevel"/>
    <w:tmpl w:val="8656FE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F433603"/>
    <w:multiLevelType w:val="multilevel"/>
    <w:tmpl w:val="D0DAED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FFE253D"/>
    <w:multiLevelType w:val="multilevel"/>
    <w:tmpl w:val="0CE4C85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97019B"/>
    <w:multiLevelType w:val="multilevel"/>
    <w:tmpl w:val="913E78B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3EB544C"/>
    <w:multiLevelType w:val="multilevel"/>
    <w:tmpl w:val="C6C2B2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3EC0846"/>
    <w:multiLevelType w:val="multilevel"/>
    <w:tmpl w:val="FB707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592404B"/>
    <w:multiLevelType w:val="multilevel"/>
    <w:tmpl w:val="766C8C0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B914BF"/>
    <w:multiLevelType w:val="multilevel"/>
    <w:tmpl w:val="647AF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5BC6F96"/>
    <w:multiLevelType w:val="multilevel"/>
    <w:tmpl w:val="B71AD8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61608DC"/>
    <w:multiLevelType w:val="multilevel"/>
    <w:tmpl w:val="93661B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8B0406"/>
    <w:multiLevelType w:val="multilevel"/>
    <w:tmpl w:val="3CA29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2213C3"/>
    <w:multiLevelType w:val="multilevel"/>
    <w:tmpl w:val="947C08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890DA7"/>
    <w:multiLevelType w:val="multilevel"/>
    <w:tmpl w:val="51C8B5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7F66050"/>
    <w:multiLevelType w:val="multilevel"/>
    <w:tmpl w:val="21BC78A4"/>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C9022B"/>
    <w:multiLevelType w:val="multilevel"/>
    <w:tmpl w:val="D938B3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B55BE5"/>
    <w:multiLevelType w:val="multilevel"/>
    <w:tmpl w:val="5FD04C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D52162"/>
    <w:multiLevelType w:val="multilevel"/>
    <w:tmpl w:val="4DBC9B0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C6E68B2"/>
    <w:multiLevelType w:val="multilevel"/>
    <w:tmpl w:val="5D445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DA0797"/>
    <w:multiLevelType w:val="multilevel"/>
    <w:tmpl w:val="4D0407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2F4B71"/>
    <w:multiLevelType w:val="multilevel"/>
    <w:tmpl w:val="A1D039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E4B4941"/>
    <w:multiLevelType w:val="multilevel"/>
    <w:tmpl w:val="BB703F4E"/>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F8B4B05"/>
    <w:multiLevelType w:val="multilevel"/>
    <w:tmpl w:val="80B085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FEC5171"/>
    <w:multiLevelType w:val="multilevel"/>
    <w:tmpl w:val="F7CCDF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0191812"/>
    <w:multiLevelType w:val="multilevel"/>
    <w:tmpl w:val="4B624A7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0E10D9E"/>
    <w:multiLevelType w:val="multilevel"/>
    <w:tmpl w:val="172C4D0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0E23BD3"/>
    <w:multiLevelType w:val="multilevel"/>
    <w:tmpl w:val="4F40B0B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10C02B7"/>
    <w:multiLevelType w:val="multilevel"/>
    <w:tmpl w:val="B542319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3175A52"/>
    <w:multiLevelType w:val="multilevel"/>
    <w:tmpl w:val="8E9EC6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3616F1F"/>
    <w:multiLevelType w:val="multilevel"/>
    <w:tmpl w:val="4FA4D6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3621228"/>
    <w:multiLevelType w:val="multilevel"/>
    <w:tmpl w:val="2E6E773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9C4243"/>
    <w:multiLevelType w:val="multilevel"/>
    <w:tmpl w:val="46AE0A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50728CD"/>
    <w:multiLevelType w:val="multilevel"/>
    <w:tmpl w:val="0EECB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5543EAF"/>
    <w:multiLevelType w:val="multilevel"/>
    <w:tmpl w:val="D7AECA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5572A68"/>
    <w:multiLevelType w:val="multilevel"/>
    <w:tmpl w:val="8BAA6C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5671491"/>
    <w:multiLevelType w:val="multilevel"/>
    <w:tmpl w:val="E3D295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687381C"/>
    <w:multiLevelType w:val="multilevel"/>
    <w:tmpl w:val="53F2EC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7553007"/>
    <w:multiLevelType w:val="multilevel"/>
    <w:tmpl w:val="EE20C9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75B0323"/>
    <w:multiLevelType w:val="multilevel"/>
    <w:tmpl w:val="CA1E8F3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75C22AC"/>
    <w:multiLevelType w:val="multilevel"/>
    <w:tmpl w:val="D58839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7D67E4C"/>
    <w:multiLevelType w:val="multilevel"/>
    <w:tmpl w:val="A4C20E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8172839"/>
    <w:multiLevelType w:val="multilevel"/>
    <w:tmpl w:val="23B2CA9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83115AE"/>
    <w:multiLevelType w:val="multilevel"/>
    <w:tmpl w:val="9CC81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8C25F35"/>
    <w:multiLevelType w:val="multilevel"/>
    <w:tmpl w:val="8904D8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D82983"/>
    <w:multiLevelType w:val="multilevel"/>
    <w:tmpl w:val="7AD81B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1A229C"/>
    <w:multiLevelType w:val="multilevel"/>
    <w:tmpl w:val="A27AC3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C6D0400"/>
    <w:multiLevelType w:val="multilevel"/>
    <w:tmpl w:val="74E273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DBC3A45"/>
    <w:multiLevelType w:val="multilevel"/>
    <w:tmpl w:val="166A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DC46818"/>
    <w:multiLevelType w:val="multilevel"/>
    <w:tmpl w:val="8998253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DF43418"/>
    <w:multiLevelType w:val="multilevel"/>
    <w:tmpl w:val="E5BE539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E9F5456"/>
    <w:multiLevelType w:val="multilevel"/>
    <w:tmpl w:val="74FA190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EA07726"/>
    <w:multiLevelType w:val="multilevel"/>
    <w:tmpl w:val="5EAEA9D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F064180"/>
    <w:multiLevelType w:val="multilevel"/>
    <w:tmpl w:val="9DC28970"/>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FCD7BBC"/>
    <w:multiLevelType w:val="multilevel"/>
    <w:tmpl w:val="68EA3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09A3F08"/>
    <w:multiLevelType w:val="multilevel"/>
    <w:tmpl w:val="DC8C7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0A44B44"/>
    <w:multiLevelType w:val="multilevel"/>
    <w:tmpl w:val="747C185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0F72B11"/>
    <w:multiLevelType w:val="multilevel"/>
    <w:tmpl w:val="AE487A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29E06DA"/>
    <w:multiLevelType w:val="multilevel"/>
    <w:tmpl w:val="90B015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2F75C65"/>
    <w:multiLevelType w:val="multilevel"/>
    <w:tmpl w:val="99A871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2F77070"/>
    <w:multiLevelType w:val="multilevel"/>
    <w:tmpl w:val="1D88589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3881445"/>
    <w:multiLevelType w:val="multilevel"/>
    <w:tmpl w:val="0E226E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45848C6"/>
    <w:multiLevelType w:val="multilevel"/>
    <w:tmpl w:val="7DB656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5291DA9"/>
    <w:multiLevelType w:val="multilevel"/>
    <w:tmpl w:val="ECF64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60360EC"/>
    <w:multiLevelType w:val="multilevel"/>
    <w:tmpl w:val="A21ECC6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63D086F"/>
    <w:multiLevelType w:val="multilevel"/>
    <w:tmpl w:val="533808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7E928C5"/>
    <w:multiLevelType w:val="multilevel"/>
    <w:tmpl w:val="250CBE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87E7F4A"/>
    <w:multiLevelType w:val="multilevel"/>
    <w:tmpl w:val="E9C25F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9FB7DE7"/>
    <w:multiLevelType w:val="multilevel"/>
    <w:tmpl w:val="4E30D96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A5217DA"/>
    <w:multiLevelType w:val="multilevel"/>
    <w:tmpl w:val="CB9E0B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B0C7329"/>
    <w:multiLevelType w:val="multilevel"/>
    <w:tmpl w:val="141AA51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C567DBC"/>
    <w:multiLevelType w:val="multilevel"/>
    <w:tmpl w:val="885464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D593307"/>
    <w:multiLevelType w:val="multilevel"/>
    <w:tmpl w:val="67800696"/>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E440396"/>
    <w:multiLevelType w:val="multilevel"/>
    <w:tmpl w:val="9BF200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EAA4B13"/>
    <w:multiLevelType w:val="multilevel"/>
    <w:tmpl w:val="17F8DAE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EB55420"/>
    <w:multiLevelType w:val="multilevel"/>
    <w:tmpl w:val="0B9A64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07870FC"/>
    <w:multiLevelType w:val="multilevel"/>
    <w:tmpl w:val="A942C1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09B42BA"/>
    <w:multiLevelType w:val="multilevel"/>
    <w:tmpl w:val="310C16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1715281"/>
    <w:multiLevelType w:val="multilevel"/>
    <w:tmpl w:val="421A31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1EF3C17"/>
    <w:multiLevelType w:val="multilevel"/>
    <w:tmpl w:val="813A0D9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238144D"/>
    <w:multiLevelType w:val="multilevel"/>
    <w:tmpl w:val="85D60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29F07D3"/>
    <w:multiLevelType w:val="multilevel"/>
    <w:tmpl w:val="2C540FD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412345D"/>
    <w:multiLevelType w:val="multilevel"/>
    <w:tmpl w:val="CB1EE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4287C7B"/>
    <w:multiLevelType w:val="multilevel"/>
    <w:tmpl w:val="240C46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4344DA0"/>
    <w:multiLevelType w:val="multilevel"/>
    <w:tmpl w:val="55D2CB1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58B29A4"/>
    <w:multiLevelType w:val="multilevel"/>
    <w:tmpl w:val="D8FE26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61B4E51"/>
    <w:multiLevelType w:val="multilevel"/>
    <w:tmpl w:val="A73050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76B1295"/>
    <w:multiLevelType w:val="multilevel"/>
    <w:tmpl w:val="C33A01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8650E77"/>
    <w:multiLevelType w:val="multilevel"/>
    <w:tmpl w:val="93F811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8C6183A"/>
    <w:multiLevelType w:val="multilevel"/>
    <w:tmpl w:val="1D94FC08"/>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8CA2582"/>
    <w:multiLevelType w:val="multilevel"/>
    <w:tmpl w:val="85F0F3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94C27BF"/>
    <w:multiLevelType w:val="multilevel"/>
    <w:tmpl w:val="A33A9B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9517B08"/>
    <w:multiLevelType w:val="multilevel"/>
    <w:tmpl w:val="AEF22D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A99036A"/>
    <w:multiLevelType w:val="multilevel"/>
    <w:tmpl w:val="B41C1D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C1E63F2"/>
    <w:multiLevelType w:val="multilevel"/>
    <w:tmpl w:val="C2E8D2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DEB6D82"/>
    <w:multiLevelType w:val="multilevel"/>
    <w:tmpl w:val="1F9628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F38505B"/>
    <w:multiLevelType w:val="multilevel"/>
    <w:tmpl w:val="7B469F7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F831418"/>
    <w:multiLevelType w:val="multilevel"/>
    <w:tmpl w:val="98F67CC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3898951">
    <w:abstractNumId w:val="17"/>
  </w:num>
  <w:num w:numId="2" w16cid:durableId="1615748123">
    <w:abstractNumId w:val="87"/>
  </w:num>
  <w:num w:numId="3" w16cid:durableId="459349428">
    <w:abstractNumId w:val="2"/>
  </w:num>
  <w:num w:numId="4" w16cid:durableId="1495411147">
    <w:abstractNumId w:val="60"/>
  </w:num>
  <w:num w:numId="5" w16cid:durableId="753473530">
    <w:abstractNumId w:val="175"/>
  </w:num>
  <w:num w:numId="6" w16cid:durableId="1488545832">
    <w:abstractNumId w:val="103"/>
  </w:num>
  <w:num w:numId="7" w16cid:durableId="1717661376">
    <w:abstractNumId w:val="56"/>
  </w:num>
  <w:num w:numId="8" w16cid:durableId="1904412628">
    <w:abstractNumId w:val="90"/>
  </w:num>
  <w:num w:numId="9" w16cid:durableId="763036694">
    <w:abstractNumId w:val="71"/>
  </w:num>
  <w:num w:numId="10" w16cid:durableId="1159342341">
    <w:abstractNumId w:val="95"/>
  </w:num>
  <w:num w:numId="11" w16cid:durableId="42026375">
    <w:abstractNumId w:val="86"/>
  </w:num>
  <w:num w:numId="12" w16cid:durableId="1194149620">
    <w:abstractNumId w:val="172"/>
  </w:num>
  <w:num w:numId="13" w16cid:durableId="1957447338">
    <w:abstractNumId w:val="80"/>
  </w:num>
  <w:num w:numId="14" w16cid:durableId="1213806542">
    <w:abstractNumId w:val="70"/>
  </w:num>
  <w:num w:numId="15" w16cid:durableId="1881548598">
    <w:abstractNumId w:val="79"/>
  </w:num>
  <w:num w:numId="16" w16cid:durableId="532425176">
    <w:abstractNumId w:val="176"/>
  </w:num>
  <w:num w:numId="17" w16cid:durableId="902104271">
    <w:abstractNumId w:val="21"/>
  </w:num>
  <w:num w:numId="18" w16cid:durableId="824666164">
    <w:abstractNumId w:val="96"/>
  </w:num>
  <w:num w:numId="19" w16cid:durableId="1139035541">
    <w:abstractNumId w:val="23"/>
  </w:num>
  <w:num w:numId="20" w16cid:durableId="1165825525">
    <w:abstractNumId w:val="107"/>
  </w:num>
  <w:num w:numId="21" w16cid:durableId="1733576620">
    <w:abstractNumId w:val="131"/>
  </w:num>
  <w:num w:numId="22" w16cid:durableId="420151617">
    <w:abstractNumId w:val="140"/>
  </w:num>
  <w:num w:numId="23" w16cid:durableId="583533808">
    <w:abstractNumId w:val="83"/>
  </w:num>
  <w:num w:numId="24" w16cid:durableId="1703241640">
    <w:abstractNumId w:val="59"/>
  </w:num>
  <w:num w:numId="25" w16cid:durableId="1044669779">
    <w:abstractNumId w:val="173"/>
  </w:num>
  <w:num w:numId="26" w16cid:durableId="702170299">
    <w:abstractNumId w:val="150"/>
  </w:num>
  <w:num w:numId="27" w16cid:durableId="55979688">
    <w:abstractNumId w:val="162"/>
  </w:num>
  <w:num w:numId="28" w16cid:durableId="1457598474">
    <w:abstractNumId w:val="16"/>
  </w:num>
  <w:num w:numId="29" w16cid:durableId="90471910">
    <w:abstractNumId w:val="3"/>
  </w:num>
  <w:num w:numId="30" w16cid:durableId="1261792340">
    <w:abstractNumId w:val="42"/>
  </w:num>
  <w:num w:numId="31" w16cid:durableId="846212988">
    <w:abstractNumId w:val="104"/>
  </w:num>
  <w:num w:numId="32" w16cid:durableId="1394426238">
    <w:abstractNumId w:val="165"/>
  </w:num>
  <w:num w:numId="33" w16cid:durableId="2064016846">
    <w:abstractNumId w:val="128"/>
  </w:num>
  <w:num w:numId="34" w16cid:durableId="927811710">
    <w:abstractNumId w:val="102"/>
  </w:num>
  <w:num w:numId="35" w16cid:durableId="1799299405">
    <w:abstractNumId w:val="55"/>
  </w:num>
  <w:num w:numId="36" w16cid:durableId="1703704910">
    <w:abstractNumId w:val="11"/>
  </w:num>
  <w:num w:numId="37" w16cid:durableId="803619712">
    <w:abstractNumId w:val="19"/>
  </w:num>
  <w:num w:numId="38" w16cid:durableId="1778601067">
    <w:abstractNumId w:val="37"/>
  </w:num>
  <w:num w:numId="39" w16cid:durableId="838236648">
    <w:abstractNumId w:val="135"/>
  </w:num>
  <w:num w:numId="40" w16cid:durableId="421222200">
    <w:abstractNumId w:val="171"/>
  </w:num>
  <w:num w:numId="41" w16cid:durableId="395472569">
    <w:abstractNumId w:val="146"/>
  </w:num>
  <w:num w:numId="42" w16cid:durableId="1534802069">
    <w:abstractNumId w:val="43"/>
  </w:num>
  <w:num w:numId="43" w16cid:durableId="694769761">
    <w:abstractNumId w:val="51"/>
  </w:num>
  <w:num w:numId="44" w16cid:durableId="969212570">
    <w:abstractNumId w:val="1"/>
  </w:num>
  <w:num w:numId="45" w16cid:durableId="715475212">
    <w:abstractNumId w:val="170"/>
  </w:num>
  <w:num w:numId="46" w16cid:durableId="514614254">
    <w:abstractNumId w:val="50"/>
  </w:num>
  <w:num w:numId="47" w16cid:durableId="1709331182">
    <w:abstractNumId w:val="138"/>
  </w:num>
  <w:num w:numId="48" w16cid:durableId="4941609">
    <w:abstractNumId w:val="68"/>
  </w:num>
  <w:num w:numId="49" w16cid:durableId="164632371">
    <w:abstractNumId w:val="36"/>
  </w:num>
  <w:num w:numId="50" w16cid:durableId="930089543">
    <w:abstractNumId w:val="117"/>
  </w:num>
  <w:num w:numId="51" w16cid:durableId="1471362537">
    <w:abstractNumId w:val="137"/>
  </w:num>
  <w:num w:numId="52" w16cid:durableId="1657302912">
    <w:abstractNumId w:val="174"/>
  </w:num>
  <w:num w:numId="53" w16cid:durableId="914319857">
    <w:abstractNumId w:val="89"/>
  </w:num>
  <w:num w:numId="54" w16cid:durableId="673412001">
    <w:abstractNumId w:val="81"/>
  </w:num>
  <w:num w:numId="55" w16cid:durableId="1023900975">
    <w:abstractNumId w:val="77"/>
  </w:num>
  <w:num w:numId="56" w16cid:durableId="1708220968">
    <w:abstractNumId w:val="149"/>
  </w:num>
  <w:num w:numId="57" w16cid:durableId="1451704321">
    <w:abstractNumId w:val="22"/>
  </w:num>
  <w:num w:numId="58" w16cid:durableId="744492400">
    <w:abstractNumId w:val="163"/>
  </w:num>
  <w:num w:numId="59" w16cid:durableId="357127641">
    <w:abstractNumId w:val="155"/>
  </w:num>
  <w:num w:numId="60" w16cid:durableId="1067729106">
    <w:abstractNumId w:val="100"/>
  </w:num>
  <w:num w:numId="61" w16cid:durableId="434137144">
    <w:abstractNumId w:val="14"/>
  </w:num>
  <w:num w:numId="62" w16cid:durableId="1476877491">
    <w:abstractNumId w:val="151"/>
  </w:num>
  <w:num w:numId="63" w16cid:durableId="676928325">
    <w:abstractNumId w:val="78"/>
  </w:num>
  <w:num w:numId="64" w16cid:durableId="2105149555">
    <w:abstractNumId w:val="120"/>
  </w:num>
  <w:num w:numId="65" w16cid:durableId="1877504188">
    <w:abstractNumId w:val="25"/>
  </w:num>
  <w:num w:numId="66" w16cid:durableId="864172458">
    <w:abstractNumId w:val="47"/>
  </w:num>
  <w:num w:numId="67" w16cid:durableId="664482245">
    <w:abstractNumId w:val="82"/>
  </w:num>
  <w:num w:numId="68" w16cid:durableId="1882131779">
    <w:abstractNumId w:val="63"/>
  </w:num>
  <w:num w:numId="69" w16cid:durableId="766465737">
    <w:abstractNumId w:val="125"/>
  </w:num>
  <w:num w:numId="70" w16cid:durableId="1821534722">
    <w:abstractNumId w:val="7"/>
  </w:num>
  <w:num w:numId="71" w16cid:durableId="1249388761">
    <w:abstractNumId w:val="105"/>
  </w:num>
  <w:num w:numId="72" w16cid:durableId="528642518">
    <w:abstractNumId w:val="129"/>
  </w:num>
  <w:num w:numId="73" w16cid:durableId="319966366">
    <w:abstractNumId w:val="156"/>
  </w:num>
  <w:num w:numId="74" w16cid:durableId="1537696435">
    <w:abstractNumId w:val="31"/>
  </w:num>
  <w:num w:numId="75" w16cid:durableId="1805272740">
    <w:abstractNumId w:val="160"/>
  </w:num>
  <w:num w:numId="76" w16cid:durableId="1511992769">
    <w:abstractNumId w:val="66"/>
  </w:num>
  <w:num w:numId="77" w16cid:durableId="1574311843">
    <w:abstractNumId w:val="133"/>
  </w:num>
  <w:num w:numId="78" w16cid:durableId="1015618296">
    <w:abstractNumId w:val="76"/>
  </w:num>
  <w:num w:numId="79" w16cid:durableId="1677657549">
    <w:abstractNumId w:val="157"/>
  </w:num>
  <w:num w:numId="80" w16cid:durableId="1181896049">
    <w:abstractNumId w:val="158"/>
  </w:num>
  <w:num w:numId="81" w16cid:durableId="1347446249">
    <w:abstractNumId w:val="10"/>
  </w:num>
  <w:num w:numId="82" w16cid:durableId="187182016">
    <w:abstractNumId w:val="30"/>
  </w:num>
  <w:num w:numId="83" w16cid:durableId="767194841">
    <w:abstractNumId w:val="98"/>
  </w:num>
  <w:num w:numId="84" w16cid:durableId="1895314312">
    <w:abstractNumId w:val="119"/>
  </w:num>
  <w:num w:numId="85" w16cid:durableId="226113272">
    <w:abstractNumId w:val="49"/>
  </w:num>
  <w:num w:numId="86" w16cid:durableId="1491942416">
    <w:abstractNumId w:val="164"/>
  </w:num>
  <w:num w:numId="87" w16cid:durableId="1502039532">
    <w:abstractNumId w:val="147"/>
  </w:num>
  <w:num w:numId="88" w16cid:durableId="35546935">
    <w:abstractNumId w:val="41"/>
  </w:num>
  <w:num w:numId="89" w16cid:durableId="472718456">
    <w:abstractNumId w:val="9"/>
  </w:num>
  <w:num w:numId="90" w16cid:durableId="649407651">
    <w:abstractNumId w:val="52"/>
  </w:num>
  <w:num w:numId="91" w16cid:durableId="1813323570">
    <w:abstractNumId w:val="118"/>
  </w:num>
  <w:num w:numId="92" w16cid:durableId="488325725">
    <w:abstractNumId w:val="20"/>
  </w:num>
  <w:num w:numId="93" w16cid:durableId="1600675848">
    <w:abstractNumId w:val="85"/>
  </w:num>
  <w:num w:numId="94" w16cid:durableId="1042635366">
    <w:abstractNumId w:val="74"/>
  </w:num>
  <w:num w:numId="95" w16cid:durableId="1570270504">
    <w:abstractNumId w:val="130"/>
  </w:num>
  <w:num w:numId="96" w16cid:durableId="764153939">
    <w:abstractNumId w:val="38"/>
  </w:num>
  <w:num w:numId="97" w16cid:durableId="143082054">
    <w:abstractNumId w:val="44"/>
  </w:num>
  <w:num w:numId="98" w16cid:durableId="84618784">
    <w:abstractNumId w:val="114"/>
  </w:num>
  <w:num w:numId="99" w16cid:durableId="741683720">
    <w:abstractNumId w:val="33"/>
  </w:num>
  <w:num w:numId="100" w16cid:durableId="392392183">
    <w:abstractNumId w:val="62"/>
  </w:num>
  <w:num w:numId="101" w16cid:durableId="1883131033">
    <w:abstractNumId w:val="4"/>
  </w:num>
  <w:num w:numId="102" w16cid:durableId="1898977398">
    <w:abstractNumId w:val="123"/>
  </w:num>
  <w:num w:numId="103" w16cid:durableId="1566530198">
    <w:abstractNumId w:val="29"/>
  </w:num>
  <w:num w:numId="104" w16cid:durableId="1822696051">
    <w:abstractNumId w:val="61"/>
  </w:num>
  <w:num w:numId="105" w16cid:durableId="1478449618">
    <w:abstractNumId w:val="115"/>
  </w:num>
  <w:num w:numId="106" w16cid:durableId="853959109">
    <w:abstractNumId w:val="112"/>
  </w:num>
  <w:num w:numId="107" w16cid:durableId="86705425">
    <w:abstractNumId w:val="110"/>
  </w:num>
  <w:num w:numId="108" w16cid:durableId="830828228">
    <w:abstractNumId w:val="93"/>
  </w:num>
  <w:num w:numId="109" w16cid:durableId="1425226425">
    <w:abstractNumId w:val="153"/>
  </w:num>
  <w:num w:numId="110" w16cid:durableId="1725904947">
    <w:abstractNumId w:val="6"/>
  </w:num>
  <w:num w:numId="111" w16cid:durableId="1905676607">
    <w:abstractNumId w:val="159"/>
  </w:num>
  <w:num w:numId="112" w16cid:durableId="726491358">
    <w:abstractNumId w:val="18"/>
  </w:num>
  <w:num w:numId="113" w16cid:durableId="105738885">
    <w:abstractNumId w:val="91"/>
  </w:num>
  <w:num w:numId="114" w16cid:durableId="783114854">
    <w:abstractNumId w:val="132"/>
  </w:num>
  <w:num w:numId="115" w16cid:durableId="1745906861">
    <w:abstractNumId w:val="97"/>
  </w:num>
  <w:num w:numId="116" w16cid:durableId="1402480526">
    <w:abstractNumId w:val="48"/>
  </w:num>
  <w:num w:numId="117" w16cid:durableId="2086294703">
    <w:abstractNumId w:val="35"/>
  </w:num>
  <w:num w:numId="118" w16cid:durableId="1737894059">
    <w:abstractNumId w:val="28"/>
  </w:num>
  <w:num w:numId="119" w16cid:durableId="1948848171">
    <w:abstractNumId w:val="168"/>
  </w:num>
  <w:num w:numId="120" w16cid:durableId="442773951">
    <w:abstractNumId w:val="72"/>
  </w:num>
  <w:num w:numId="121" w16cid:durableId="2027365791">
    <w:abstractNumId w:val="92"/>
  </w:num>
  <w:num w:numId="122" w16cid:durableId="1290358826">
    <w:abstractNumId w:val="126"/>
  </w:num>
  <w:num w:numId="123" w16cid:durableId="1673872613">
    <w:abstractNumId w:val="127"/>
  </w:num>
  <w:num w:numId="124" w16cid:durableId="1030684902">
    <w:abstractNumId w:val="154"/>
  </w:num>
  <w:num w:numId="125" w16cid:durableId="1345591489">
    <w:abstractNumId w:val="24"/>
  </w:num>
  <w:num w:numId="126" w16cid:durableId="681707922">
    <w:abstractNumId w:val="69"/>
  </w:num>
  <w:num w:numId="127" w16cid:durableId="990400240">
    <w:abstractNumId w:val="122"/>
  </w:num>
  <w:num w:numId="128" w16cid:durableId="966853584">
    <w:abstractNumId w:val="136"/>
  </w:num>
  <w:num w:numId="129" w16cid:durableId="1273630785">
    <w:abstractNumId w:val="58"/>
  </w:num>
  <w:num w:numId="130" w16cid:durableId="1253275246">
    <w:abstractNumId w:val="152"/>
  </w:num>
  <w:num w:numId="131" w16cid:durableId="202250827">
    <w:abstractNumId w:val="143"/>
  </w:num>
  <w:num w:numId="132" w16cid:durableId="1158809609">
    <w:abstractNumId w:val="12"/>
  </w:num>
  <w:num w:numId="133" w16cid:durableId="726804560">
    <w:abstractNumId w:val="94"/>
  </w:num>
  <w:num w:numId="134" w16cid:durableId="813259378">
    <w:abstractNumId w:val="111"/>
  </w:num>
  <w:num w:numId="135" w16cid:durableId="417679871">
    <w:abstractNumId w:val="179"/>
  </w:num>
  <w:num w:numId="136" w16cid:durableId="895048203">
    <w:abstractNumId w:val="177"/>
  </w:num>
  <w:num w:numId="137" w16cid:durableId="1390959851">
    <w:abstractNumId w:val="121"/>
  </w:num>
  <w:num w:numId="138" w16cid:durableId="1746342422">
    <w:abstractNumId w:val="178"/>
  </w:num>
  <w:num w:numId="139" w16cid:durableId="1151100307">
    <w:abstractNumId w:val="144"/>
  </w:num>
  <w:num w:numId="140" w16cid:durableId="712774475">
    <w:abstractNumId w:val="39"/>
  </w:num>
  <w:num w:numId="141" w16cid:durableId="412824782">
    <w:abstractNumId w:val="0"/>
  </w:num>
  <w:num w:numId="142" w16cid:durableId="1855924598">
    <w:abstractNumId w:val="65"/>
  </w:num>
  <w:num w:numId="143" w16cid:durableId="465970442">
    <w:abstractNumId w:val="46"/>
  </w:num>
  <w:num w:numId="144" w16cid:durableId="1114399454">
    <w:abstractNumId w:val="26"/>
  </w:num>
  <w:num w:numId="145" w16cid:durableId="1078484015">
    <w:abstractNumId w:val="167"/>
  </w:num>
  <w:num w:numId="146" w16cid:durableId="2146047747">
    <w:abstractNumId w:val="101"/>
  </w:num>
  <w:num w:numId="147" w16cid:durableId="1210536401">
    <w:abstractNumId w:val="27"/>
  </w:num>
  <w:num w:numId="148" w16cid:durableId="1795325857">
    <w:abstractNumId w:val="166"/>
  </w:num>
  <w:num w:numId="149" w16cid:durableId="1002509342">
    <w:abstractNumId w:val="45"/>
  </w:num>
  <w:num w:numId="150" w16cid:durableId="215358994">
    <w:abstractNumId w:val="54"/>
  </w:num>
  <w:num w:numId="151" w16cid:durableId="297538875">
    <w:abstractNumId w:val="73"/>
  </w:num>
  <w:num w:numId="152" w16cid:durableId="1354651053">
    <w:abstractNumId w:val="124"/>
  </w:num>
  <w:num w:numId="153" w16cid:durableId="1957252507">
    <w:abstractNumId w:val="108"/>
  </w:num>
  <w:num w:numId="154" w16cid:durableId="1886407439">
    <w:abstractNumId w:val="84"/>
  </w:num>
  <w:num w:numId="155" w16cid:durableId="1952011318">
    <w:abstractNumId w:val="34"/>
  </w:num>
  <w:num w:numId="156" w16cid:durableId="1174953262">
    <w:abstractNumId w:val="15"/>
  </w:num>
  <w:num w:numId="157" w16cid:durableId="1755010411">
    <w:abstractNumId w:val="134"/>
  </w:num>
  <w:num w:numId="158" w16cid:durableId="2130929793">
    <w:abstractNumId w:val="142"/>
  </w:num>
  <w:num w:numId="159" w16cid:durableId="57359361">
    <w:abstractNumId w:val="113"/>
  </w:num>
  <w:num w:numId="160" w16cid:durableId="1004822017">
    <w:abstractNumId w:val="64"/>
  </w:num>
  <w:num w:numId="161" w16cid:durableId="2092697160">
    <w:abstractNumId w:val="67"/>
  </w:num>
  <w:num w:numId="162" w16cid:durableId="1961371392">
    <w:abstractNumId w:val="40"/>
  </w:num>
  <w:num w:numId="163" w16cid:durableId="276762773">
    <w:abstractNumId w:val="145"/>
  </w:num>
  <w:num w:numId="164" w16cid:durableId="1612669558">
    <w:abstractNumId w:val="8"/>
  </w:num>
  <w:num w:numId="165" w16cid:durableId="900335106">
    <w:abstractNumId w:val="88"/>
  </w:num>
  <w:num w:numId="166" w16cid:durableId="2100980338">
    <w:abstractNumId w:val="53"/>
  </w:num>
  <w:num w:numId="167" w16cid:durableId="1830947232">
    <w:abstractNumId w:val="13"/>
  </w:num>
  <w:num w:numId="168" w16cid:durableId="1118137188">
    <w:abstractNumId w:val="141"/>
  </w:num>
  <w:num w:numId="169" w16cid:durableId="522785808">
    <w:abstractNumId w:val="75"/>
  </w:num>
  <w:num w:numId="170" w16cid:durableId="328409880">
    <w:abstractNumId w:val="148"/>
  </w:num>
  <w:num w:numId="171" w16cid:durableId="290749240">
    <w:abstractNumId w:val="32"/>
  </w:num>
  <w:num w:numId="172" w16cid:durableId="404685133">
    <w:abstractNumId w:val="161"/>
  </w:num>
  <w:num w:numId="173" w16cid:durableId="1753699422">
    <w:abstractNumId w:val="116"/>
  </w:num>
  <w:num w:numId="174" w16cid:durableId="1722366276">
    <w:abstractNumId w:val="169"/>
  </w:num>
  <w:num w:numId="175" w16cid:durableId="652679684">
    <w:abstractNumId w:val="109"/>
  </w:num>
  <w:num w:numId="176" w16cid:durableId="1243173695">
    <w:abstractNumId w:val="99"/>
  </w:num>
  <w:num w:numId="177" w16cid:durableId="2001273361">
    <w:abstractNumId w:val="5"/>
  </w:num>
  <w:num w:numId="178" w16cid:durableId="1165168638">
    <w:abstractNumId w:val="139"/>
  </w:num>
  <w:num w:numId="179" w16cid:durableId="665669830">
    <w:abstractNumId w:val="106"/>
  </w:num>
  <w:num w:numId="180" w16cid:durableId="1603301717">
    <w:abstractNumId w:val="57"/>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hdrShapeDefaults>
    <o:shapedefaults v:ext="edit" spidmax="208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0CCB"/>
    <w:rsid w:val="00033D0D"/>
    <w:rsid w:val="000441A5"/>
    <w:rsid w:val="00057A2F"/>
    <w:rsid w:val="0006341B"/>
    <w:rsid w:val="000F0391"/>
    <w:rsid w:val="0011450F"/>
    <w:rsid w:val="00133A41"/>
    <w:rsid w:val="001353A1"/>
    <w:rsid w:val="0028092C"/>
    <w:rsid w:val="0028120D"/>
    <w:rsid w:val="002C4F0F"/>
    <w:rsid w:val="002E1974"/>
    <w:rsid w:val="002F42D5"/>
    <w:rsid w:val="003309F0"/>
    <w:rsid w:val="00355756"/>
    <w:rsid w:val="00390AC6"/>
    <w:rsid w:val="003A6333"/>
    <w:rsid w:val="003C0135"/>
    <w:rsid w:val="003E55D2"/>
    <w:rsid w:val="003F5AC5"/>
    <w:rsid w:val="004854D4"/>
    <w:rsid w:val="004952E8"/>
    <w:rsid w:val="004B021D"/>
    <w:rsid w:val="004F16F8"/>
    <w:rsid w:val="00517BBB"/>
    <w:rsid w:val="0053453A"/>
    <w:rsid w:val="005C6F60"/>
    <w:rsid w:val="005D1780"/>
    <w:rsid w:val="005E5E2E"/>
    <w:rsid w:val="005F3CEC"/>
    <w:rsid w:val="0064015F"/>
    <w:rsid w:val="00683BAA"/>
    <w:rsid w:val="006A6A6D"/>
    <w:rsid w:val="00704F0C"/>
    <w:rsid w:val="007362F0"/>
    <w:rsid w:val="00741CC9"/>
    <w:rsid w:val="00751363"/>
    <w:rsid w:val="007A0D59"/>
    <w:rsid w:val="007B7F08"/>
    <w:rsid w:val="007C3E78"/>
    <w:rsid w:val="0081426D"/>
    <w:rsid w:val="00840CCB"/>
    <w:rsid w:val="008951CA"/>
    <w:rsid w:val="00905730"/>
    <w:rsid w:val="00920186"/>
    <w:rsid w:val="00923ABA"/>
    <w:rsid w:val="00964E3E"/>
    <w:rsid w:val="009B37D8"/>
    <w:rsid w:val="009D253F"/>
    <w:rsid w:val="009F5E1B"/>
    <w:rsid w:val="00A07363"/>
    <w:rsid w:val="00A251C5"/>
    <w:rsid w:val="00A43A1A"/>
    <w:rsid w:val="00A55D06"/>
    <w:rsid w:val="00A82EC7"/>
    <w:rsid w:val="00AC1168"/>
    <w:rsid w:val="00AC16AE"/>
    <w:rsid w:val="00AE1D72"/>
    <w:rsid w:val="00AE5149"/>
    <w:rsid w:val="00B14692"/>
    <w:rsid w:val="00B441A0"/>
    <w:rsid w:val="00B535FC"/>
    <w:rsid w:val="00B92B05"/>
    <w:rsid w:val="00BA2206"/>
    <w:rsid w:val="00BB297F"/>
    <w:rsid w:val="00BC2DA5"/>
    <w:rsid w:val="00BD6C2B"/>
    <w:rsid w:val="00BE2DBA"/>
    <w:rsid w:val="00C27F33"/>
    <w:rsid w:val="00CB0010"/>
    <w:rsid w:val="00CE0C06"/>
    <w:rsid w:val="00D61191"/>
    <w:rsid w:val="00D833FE"/>
    <w:rsid w:val="00D83998"/>
    <w:rsid w:val="00DC1D70"/>
    <w:rsid w:val="00DE0D0D"/>
    <w:rsid w:val="00E04468"/>
    <w:rsid w:val="00E55E7D"/>
    <w:rsid w:val="00E8226C"/>
    <w:rsid w:val="00ED2938"/>
    <w:rsid w:val="00EE04A3"/>
    <w:rsid w:val="00EE5A69"/>
    <w:rsid w:val="00F344EC"/>
    <w:rsid w:val="00F41762"/>
    <w:rsid w:val="00FA5300"/>
    <w:rsid w:val="00FE1C90"/>
    <w:rsid w:val="00FF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4:docId w14:val="5AA0C398"/>
  <w15:docId w15:val="{34598591-3ABF-4C95-B8AC-5400C2F3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1C5"/>
    <w:pPr>
      <w:keepNext/>
      <w:keepLines/>
      <w:pageBreakBefore w:val="0"/>
      <w:spacing w:before="340" w:after="330" w:line="578" w:lineRule="auto"/>
      <w:outlineLvl w:val="0"/>
    </w:pPr>
    <w:rPr>
      <w:rFonts w:ascii="楷体" w:hAnsi="楷体" w:eastAsia="楷体"/>
      <w:b/>
      <w:bCs/>
      <w:color w:val="000000"/>
      <w:kern w:val="44"/>
      <w:sz w:val="36"/>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C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51C5"/>
    <w:rPr>
      <w:sz w:val="18"/>
      <w:szCs w:val="18"/>
    </w:rPr>
  </w:style>
  <w:style w:type="paragraph" w:styleId="a5">
    <w:name w:val="footer"/>
    <w:basedOn w:val="a"/>
    <w:link w:val="a6"/>
    <w:uiPriority w:val="99"/>
    <w:unhideWhenUsed/>
    <w:rsid w:val="00A251C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251C5"/>
    <w:rPr>
      <w:sz w:val="18"/>
      <w:szCs w:val="18"/>
    </w:rPr>
  </w:style>
  <w:style w:type="character" w:customStyle="1" w:styleId="10">
    <w:name w:val="标题 1 字符"/>
    <w:basedOn w:val="a0"/>
    <w:link w:val="1"/>
    <w:uiPriority w:val="9"/>
    <w:rsid w:val="00A251C5"/>
    <w:rPr>
      <w:b/>
      <w:bCs/>
      <w:kern w:val="44"/>
      <w:sz w:val="44"/>
      <w:szCs w:val="44"/>
    </w:rPr>
  </w:style>
  <w:style w:type="paragraph" w:styleId="TOC">
    <w:name w:val="TOC Heading"/>
    <w:basedOn w:val="1"/>
    <w:next w:val="a"/>
    <w:uiPriority w:val="39"/>
    <w:unhideWhenUsed/>
    <w:qFormat/>
    <w:rsid w:val="00A251C5"/>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51C5"/>
  </w:style>
  <w:style w:type="paragraph" w:styleId="TOC2">
    <w:name w:val="toc 2"/>
    <w:basedOn w:val="a"/>
    <w:next w:val="a"/>
    <w:autoRedefine/>
    <w:uiPriority w:val="39"/>
    <w:unhideWhenUsed/>
    <w:rsid w:val="00A251C5"/>
    <w:pPr>
      <w:ind w:leftChars="200" w:left="420"/>
    </w:pPr>
  </w:style>
  <w:style w:type="paragraph" w:styleId="TOC3">
    <w:name w:val="toc 3"/>
    <w:basedOn w:val="a"/>
    <w:next w:val="a"/>
    <w:autoRedefine/>
    <w:uiPriority w:val="39"/>
    <w:unhideWhenUsed/>
    <w:rsid w:val="00A251C5"/>
    <w:pPr>
      <w:ind w:leftChars="400" w:left="840"/>
    </w:pPr>
  </w:style>
  <w:style w:type="character" w:styleId="a7">
    <w:name w:val="Hyperlink"/>
    <w:basedOn w:val="a0"/>
    <w:uiPriority w:val="99"/>
    <w:unhideWhenUsed/>
    <w:rsid w:val="00A251C5"/>
    <w:rPr>
      <w:color w:val="0563C1" w:themeColor="hyperlink"/>
      <w:u w:val="single"/>
    </w:rPr>
  </w:style>
  <w:style w:type="paragraph" w:styleId="a8">
    <w:name w:val="Revision"/>
    <w:hidden/>
    <w:uiPriority w:val="99"/>
    <w:semiHidden/>
    <w:rsid w:val="00964E3E"/>
    <w:pPr>
      <w:spacing w:after="0" w:line="240" w:lineRule="auto"/>
    </w:pPr>
  </w:style>
  <w:style w:type="paragraph" w:customStyle="1" w:styleId="Title">
    <w:name w:val="Title"/>
    <w:pPr>
      <w:keepNext/>
      <w:pageBreakBefore w:val="0"/>
    </w:pPr>
    <w:rPr>
      <w:rFonts w:ascii="楷体" w:hAnsi="楷体" w:eastAsia="楷体"/>
      <w:b/>
      <w:color w:val="000000"/>
      <w:sz w:val="52"/>
    </w:rPr>
  </w:style>
  <w:style w:type="paragraph" w:customStyle="1" w:styleId="Heading2">
    <w:name w:val="heading 2"/>
    <w:pPr>
      <w:keepNext/>
      <w:pageBreakBefore w:val="0"/>
    </w:pPr>
    <w:rPr>
      <w:rFonts w:ascii="楷体" w:hAnsi="楷体" w:eastAsia="楷体"/>
      <w:b/>
      <w:color w:val="000000"/>
      <w:sz w:val="30"/>
    </w:rPr>
  </w:style>
  <w:style w:type="paragraph" w:customStyle="1" w:styleId="Heading3">
    <w:name w:val="heading 3"/>
    <w:pPr>
      <w:keepNext/>
      <w:pageBreakBefore w:val="0"/>
    </w:pPr>
    <w:rPr>
      <w:rFonts w:ascii="楷体" w:hAnsi="楷体" w:eastAsia="楷体"/>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24" Type="http://schemas.openxmlformats.org/officeDocument/2006/relationships/package" Target="embeddings/Microsoft_Excel_Worksheet3.xlsx"/><Relationship Id="rId58" Type="http://schemas.openxmlformats.org/officeDocument/2006/relationships/package" Target="embeddings/Microsoft_Excel_Worksheet5.xls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package" Target="embeddings/Microsoft_Excel_Worksheet1.xlsx"/><Relationship Id="rId14" Type="http://schemas.openxmlformats.org/officeDocument/2006/relationships/header" Target="header3.xml"/><Relationship Id="rId22" Type="http://schemas.openxmlformats.org/officeDocument/2006/relationships/package" Target="embeddings/Microsoft_Excel_Worksheet2.xlsx"/><Relationship Id="rId56" Type="http://schemas.openxmlformats.org/officeDocument/2006/relationships/package" Target="embeddings/Microsoft_Excel_Worksheet4.xlsx"/><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package" Target="embeddings/Microsoft_Excel_Worksheet.xlsx"/><Relationship Id="rId5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40.png"/><Relationship Id="rId9" Type="http://schemas.openxmlformats.org/officeDocument/2006/relationships/image" Target="media/image41.png"/><Relationship Id="rId16" Type="http://schemas.openxmlformats.org/officeDocument/2006/relationships/image" Target="media/image42.png"/><Relationship Id="rId18" Type="http://schemas.openxmlformats.org/officeDocument/2006/relationships/image" Target="media/image43.png"/><Relationship Id="rId20" Type="http://schemas.openxmlformats.org/officeDocument/2006/relationships/image" Target="media/image44.png"/><Relationship Id="rId21" Type="http://schemas.openxmlformats.org/officeDocument/2006/relationships/image" Target="media/image45.png"/><Relationship Id="rId23" Type="http://schemas.openxmlformats.org/officeDocument/2006/relationships/image" Target="media/image46.png"/><Relationship Id="rId25" Type="http://schemas.openxmlformats.org/officeDocument/2006/relationships/image" Target="media/image47.png"/><Relationship Id="rId26" Type="http://schemas.openxmlformats.org/officeDocument/2006/relationships/image" Target="media/image48.png"/><Relationship Id="rId27" Type="http://schemas.openxmlformats.org/officeDocument/2006/relationships/image" Target="media/image49.png"/><Relationship Id="rId28" Type="http://schemas.openxmlformats.org/officeDocument/2006/relationships/image" Target="media/image50.png"/><Relationship Id="rId29" Type="http://schemas.openxmlformats.org/officeDocument/2006/relationships/image" Target="media/image51.png"/><Relationship Id="rId30" Type="http://schemas.openxmlformats.org/officeDocument/2006/relationships/image" Target="media/image52.png"/><Relationship Id="rId31" Type="http://schemas.openxmlformats.org/officeDocument/2006/relationships/image" Target="media/image53.png"/><Relationship Id="rId32" Type="http://schemas.openxmlformats.org/officeDocument/2006/relationships/image" Target="media/image54.png"/><Relationship Id="rId33" Type="http://schemas.openxmlformats.org/officeDocument/2006/relationships/image" Target="media/image55.png"/><Relationship Id="rId34" Type="http://schemas.openxmlformats.org/officeDocument/2006/relationships/image" Target="media/image56.png"/><Relationship Id="rId35" Type="http://schemas.openxmlformats.org/officeDocument/2006/relationships/image" Target="media/image57.png"/><Relationship Id="rId36" Type="http://schemas.openxmlformats.org/officeDocument/2006/relationships/image" Target="media/image58.png"/><Relationship Id="rId37" Type="http://schemas.openxmlformats.org/officeDocument/2006/relationships/image" Target="media/image59.png"/><Relationship Id="rId38" Type="http://schemas.openxmlformats.org/officeDocument/2006/relationships/image" Target="media/image60.png"/><Relationship Id="rId39" Type="http://schemas.openxmlformats.org/officeDocument/2006/relationships/image" Target="media/image61.png"/><Relationship Id="rId40" Type="http://schemas.openxmlformats.org/officeDocument/2006/relationships/image" Target="media/image62.png"/><Relationship Id="rId4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4913E-C087-481F-AF09-EFB3B0F6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52</Pages>
  <Words>12403</Words>
  <Characters>17490</Characters>
  <Application>Microsoft Office Word</Application>
  <DocSecurity>0</DocSecurity>
  <Lines>874</Lines>
  <Paragraphs>636</Paragraphs>
  <ScaleCrop>false</ScaleCrop>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Prism</dc:creator>
  <cp:lastModifiedBy>风尘 銮</cp:lastModifiedBy>
  <cp:revision>62</cp:revision>
  <cp:lastPrinted>2025-10-10T08:09:00Z</cp:lastPrinted>
  <dcterms:created xsi:type="dcterms:W3CDTF">2025-10-09T04:25:00Z</dcterms:created>
  <dcterms:modified xsi:type="dcterms:W3CDTF">2025-10-10T08:09:00Z</dcterms:modified>
  <dc:title>Prism S2C 技术路线及实现方案</dc:title>
  <dc:subject>项目总体设计、界面、数据库、关键技术与主要界面</dc:subject>
  <cp:keywords>Prism,S2C,技术路线,实现方案</cp:keywords>
  <dc:description/>
</cp:coreProperties>
</file>