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938123"/>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493812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285220"/>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tretch>
                      <a:fillRect/>
                    </a:stretch>
                  </pic:blipFill>
                  <pic:spPr>
                    <a:xfrm>
                      <a:off x="0" y="0"/>
                      <a:ext cx="5273675" cy="628522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54607"/>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tretch>
                      <a:fillRect/>
                    </a:stretch>
                  </pic:blipFill>
                  <pic:spPr>
                    <a:xfrm>
                      <a:off x="0" y="0"/>
                      <a:ext cx="5273675" cy="425460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883310"/>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5273675" cy="688331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173750" cy="756000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4173750"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860506" cy="7560000"/>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4860506"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的连续箭头表示数据库外键，图 3-7 的间隔箭头表示应用层关联。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647314"/>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364731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156172"/>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115617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091312" cy="7560000"/>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5091312"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484166"/>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548416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230523" cy="7560000"/>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4230523"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810143"/>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tretch>
                      <a:fillRect/>
                    </a:stretch>
                  </pic:blipFill>
                  <pic:spPr>
                    <a:xfrm>
                      <a:off x="0" y="0"/>
                      <a:ext cx="5273675" cy="581014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961168"/>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396116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55838"/>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465583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3.6 项目创新点</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支持投资者自主构建研究方法，并将长期偏好落实为组合调整条件。用户可以把数据技能、指标公式和分工 Agent 保存成个人研究系统，在后续标的上重复使用；也可以查看自身风格如何改变实际调仓数量、交易费用与现金留存。系统同时提供私有资料问答及已保存资料重算，使研究方法与使用经验能够持续积累。以下五项创新均有对应功能入口与执行模块。</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创新方向</w:t>
            </w:r>
          </w:p>
        </w:tc>
        <w:tc>
          <w:tcPr>
            <w:tcW w:type="dxa" w:w="2239"/>
          </w:tcPr>
          <w:p>
            <w:pPr>
              <w:keepNext/>
              <w:widowControl/>
              <w:spacing w:before="60" w:after="60" w:line="264" w:lineRule="auto"/>
              <w:ind w:firstLine="0" w:left="0"/>
            </w:pPr>
            <w:r>
              <w:rPr>
                <w:rFonts w:ascii="楷体" w:hAnsi="楷体" w:eastAsia="楷体"/>
                <w:b/>
                <w:color w:val="000000"/>
                <w:sz w:val="19"/>
              </w:rPr>
              <w:t>用户可以完成的任务</w:t>
            </w:r>
          </w:p>
        </w:tc>
        <w:tc>
          <w:tcPr>
            <w:tcW w:type="dxa" w:w="2239"/>
          </w:tcPr>
          <w:p>
            <w:pPr>
              <w:keepNext/>
              <w:widowControl/>
              <w:spacing w:before="60" w:after="60" w:line="264" w:lineRule="auto"/>
              <w:ind w:firstLine="0" w:left="0"/>
            </w:pPr>
            <w:r>
              <w:rPr>
                <w:rFonts w:ascii="楷体" w:hAnsi="楷体" w:eastAsia="楷体"/>
                <w:b/>
                <w:color w:val="000000"/>
                <w:sz w:val="19"/>
              </w:rPr>
              <w:t>功能机制</w:t>
            </w:r>
          </w:p>
        </w:tc>
        <w:tc>
          <w:tcPr>
            <w:tcW w:type="dxa" w:w="2239"/>
          </w:tcPr>
          <w:p>
            <w:pPr>
              <w:keepNext/>
              <w:widowControl/>
              <w:spacing w:before="60" w:after="60" w:line="264" w:lineRule="auto"/>
              <w:ind w:firstLine="0" w:left="0"/>
            </w:pPr>
            <w:r>
              <w:rPr>
                <w:rFonts w:ascii="楷体" w:hAnsi="楷体" w:eastAsia="楷体"/>
                <w:b/>
                <w:color w:val="000000"/>
                <w:sz w:val="19"/>
              </w:rPr>
              <w:t>实际作用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个人研究系统</w:t>
            </w:r>
          </w:p>
        </w:tc>
        <w:tc>
          <w:tcPr>
            <w:tcW w:type="dxa" w:w="2239"/>
          </w:tcPr>
          <w:p>
            <w:pPr>
              <w:keepNext w:val="0"/>
              <w:widowControl/>
              <w:spacing w:before="60" w:after="60" w:line="264" w:lineRule="auto"/>
              <w:ind w:firstLine="0" w:left="0"/>
            </w:pPr>
            <w:r>
              <w:rPr>
                <w:rFonts w:ascii="楷体" w:hAnsi="楷体" w:eastAsia="楷体"/>
                <w:b w:val="0"/>
                <w:color w:val="000000"/>
                <w:sz w:val="19"/>
              </w:rPr>
              <w:t>定义自己的技能、指标与助手分工</w:t>
            </w:r>
          </w:p>
        </w:tc>
        <w:tc>
          <w:tcPr>
            <w:tcW w:type="dxa" w:w="2239"/>
          </w:tcPr>
          <w:p>
            <w:pPr>
              <w:keepNext w:val="0"/>
              <w:widowControl/>
              <w:spacing w:before="60" w:after="60" w:line="264" w:lineRule="auto"/>
              <w:ind w:firstLine="0" w:left="0"/>
            </w:pPr>
            <w:r>
              <w:rPr>
                <w:rFonts w:ascii="楷体" w:hAnsi="楷体" w:eastAsia="楷体"/>
                <w:b w:val="0"/>
                <w:color w:val="000000"/>
                <w:sz w:val="19"/>
              </w:rPr>
              <w:t>技能组合、指标依赖与 Agent 任务链</w:t>
            </w:r>
          </w:p>
        </w:tc>
        <w:tc>
          <w:tcPr>
            <w:tcW w:type="dxa" w:w="2239"/>
          </w:tcPr>
          <w:p>
            <w:pPr>
              <w:keepNext w:val="0"/>
              <w:widowControl/>
              <w:spacing w:before="60" w:after="60" w:line="264" w:lineRule="auto"/>
              <w:ind w:firstLine="0" w:left="0"/>
            </w:pPr>
            <w:r>
              <w:rPr>
                <w:rFonts w:ascii="楷体" w:hAnsi="楷体" w:eastAsia="楷体"/>
                <w:b w:val="0"/>
                <w:color w:val="000000"/>
                <w:sz w:val="19"/>
              </w:rPr>
              <w:t>保存成个人技能，在页面与对话中复用</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长期风格参与调仓</w:t>
            </w:r>
          </w:p>
        </w:tc>
        <w:tc>
          <w:tcPr>
            <w:tcW w:type="dxa" w:w="2239"/>
          </w:tcPr>
          <w:p>
            <w:pPr>
              <w:keepNext w:val="0"/>
              <w:widowControl/>
              <w:spacing w:before="60" w:after="60" w:line="264" w:lineRule="auto"/>
              <w:ind w:firstLine="0" w:left="0"/>
            </w:pPr>
            <w:r>
              <w:rPr>
                <w:rFonts w:ascii="楷体" w:hAnsi="楷体" w:eastAsia="楷体"/>
                <w:b w:val="0"/>
                <w:color w:val="000000"/>
                <w:sz w:val="19"/>
              </w:rPr>
              <w:t>把长期习惯用于本次组合调整</w:t>
            </w:r>
          </w:p>
        </w:tc>
        <w:tc>
          <w:tcPr>
            <w:tcW w:type="dxa" w:w="2239"/>
          </w:tcPr>
          <w:p>
            <w:pPr>
              <w:keepNext w:val="0"/>
              <w:widowControl/>
              <w:spacing w:before="60" w:after="60" w:line="264" w:lineRule="auto"/>
              <w:ind w:firstLine="0" w:left="0"/>
            </w:pPr>
            <w:r>
              <w:rPr>
                <w:rFonts w:ascii="楷体" w:hAnsi="楷体" w:eastAsia="楷体"/>
                <w:b w:val="0"/>
                <w:color w:val="000000"/>
                <w:sz w:val="19"/>
              </w:rPr>
              <w:t>偏好记忆与成交风格形成确认参数</w:t>
            </w:r>
          </w:p>
        </w:tc>
        <w:tc>
          <w:tcPr>
            <w:tcW w:type="dxa" w:w="2239"/>
          </w:tcPr>
          <w:p>
            <w:pPr>
              <w:keepNext w:val="0"/>
              <w:widowControl/>
              <w:spacing w:before="60" w:after="60" w:line="264" w:lineRule="auto"/>
              <w:ind w:firstLine="0" w:left="0"/>
            </w:pPr>
            <w:r>
              <w:rPr>
                <w:rFonts w:ascii="楷体" w:hAnsi="楷体" w:eastAsia="楷体"/>
                <w:b w:val="0"/>
                <w:color w:val="000000"/>
                <w:sz w:val="19"/>
              </w:rPr>
              <w:t>实际改变调整幅度、现金预留与微调节奏</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投资目标方案对比</w:t>
            </w:r>
          </w:p>
        </w:tc>
        <w:tc>
          <w:tcPr>
            <w:tcW w:type="dxa" w:w="2239"/>
          </w:tcPr>
          <w:p>
            <w:pPr>
              <w:keepNext w:val="0"/>
              <w:widowControl/>
              <w:spacing w:before="60" w:after="60" w:line="264" w:lineRule="auto"/>
              <w:ind w:firstLine="0" w:left="0"/>
            </w:pPr>
            <w:r>
              <w:rPr>
                <w:rFonts w:ascii="楷体" w:hAnsi="楷体" w:eastAsia="楷体"/>
                <w:b w:val="0"/>
                <w:color w:val="000000"/>
                <w:sz w:val="19"/>
              </w:rPr>
              <w:t>试算目标配置与不同调整节奏</w:t>
            </w:r>
          </w:p>
        </w:tc>
        <w:tc>
          <w:tcPr>
            <w:tcW w:type="dxa" w:w="2239"/>
          </w:tcPr>
          <w:p>
            <w:pPr>
              <w:keepNext w:val="0"/>
              <w:widowControl/>
              <w:spacing w:before="60" w:after="60" w:line="264" w:lineRule="auto"/>
              <w:ind w:firstLine="0" w:left="0"/>
            </w:pPr>
            <w:r>
              <w:rPr>
                <w:rFonts w:ascii="楷体" w:hAnsi="楷体" w:eastAsia="楷体"/>
                <w:b w:val="0"/>
                <w:color w:val="000000"/>
                <w:sz w:val="19"/>
              </w:rPr>
              <w:t>同组合并列计算基础与个人方案</w:t>
            </w:r>
          </w:p>
        </w:tc>
        <w:tc>
          <w:tcPr>
            <w:tcW w:type="dxa" w:w="2239"/>
          </w:tcPr>
          <w:p>
            <w:pPr>
              <w:keepNext w:val="0"/>
              <w:widowControl/>
              <w:spacing w:before="60" w:after="60" w:line="264" w:lineRule="auto"/>
              <w:ind w:firstLine="0" w:left="0"/>
            </w:pPr>
            <w:r>
              <w:rPr>
                <w:rFonts w:ascii="楷体" w:hAnsi="楷体" w:eastAsia="楷体"/>
                <w:b w:val="0"/>
                <w:color w:val="000000"/>
                <w:sz w:val="19"/>
              </w:rPr>
              <w:t>看清原目标、本次目标、数量与费用差异</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私有资料问答</w:t>
            </w:r>
          </w:p>
        </w:tc>
        <w:tc>
          <w:tcPr>
            <w:tcW w:type="dxa" w:w="2239"/>
          </w:tcPr>
          <w:p>
            <w:pPr>
              <w:keepNext w:val="0"/>
              <w:widowControl/>
              <w:spacing w:before="60" w:after="60" w:line="264" w:lineRule="auto"/>
              <w:ind w:firstLine="0" w:left="0"/>
            </w:pPr>
            <w:r>
              <w:rPr>
                <w:rFonts w:ascii="楷体" w:hAnsi="楷体" w:eastAsia="楷体"/>
                <w:b w:val="0"/>
                <w:color w:val="000000"/>
                <w:sz w:val="19"/>
              </w:rPr>
              <w:t>围绕自己的报告持续开展研究</w:t>
            </w:r>
          </w:p>
        </w:tc>
        <w:tc>
          <w:tcPr>
            <w:tcW w:type="dxa" w:w="2239"/>
          </w:tcPr>
          <w:p>
            <w:pPr>
              <w:keepNext w:val="0"/>
              <w:widowControl/>
              <w:spacing w:before="60" w:after="60" w:line="264" w:lineRule="auto"/>
              <w:ind w:firstLine="0" w:left="0"/>
            </w:pPr>
            <w:r>
              <w:rPr>
                <w:rFonts w:ascii="楷体" w:hAnsi="楷体" w:eastAsia="楷体"/>
                <w:b w:val="0"/>
                <w:color w:val="000000"/>
                <w:sz w:val="19"/>
              </w:rPr>
              <w:t>账户资料检索与对话工具连接</w:t>
            </w:r>
          </w:p>
        </w:tc>
        <w:tc>
          <w:tcPr>
            <w:tcW w:type="dxa" w:w="2239"/>
          </w:tcPr>
          <w:p>
            <w:pPr>
              <w:keepNext w:val="0"/>
              <w:widowControl/>
              <w:spacing w:before="60" w:after="60" w:line="264" w:lineRule="auto"/>
              <w:ind w:firstLine="0" w:left="0"/>
            </w:pPr>
            <w:r>
              <w:rPr>
                <w:rFonts w:ascii="楷体" w:hAnsi="楷体" w:eastAsia="楷体"/>
                <w:b w:val="0"/>
                <w:color w:val="000000"/>
                <w:sz w:val="19"/>
              </w:rPr>
              <w:t>回答关联自己的原文、时点与位置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方法复用与重算</w:t>
            </w:r>
          </w:p>
        </w:tc>
        <w:tc>
          <w:tcPr>
            <w:tcW w:type="dxa" w:w="2239"/>
          </w:tcPr>
          <w:p>
            <w:pPr>
              <w:keepNext w:val="0"/>
              <w:widowControl/>
              <w:spacing w:before="60" w:after="60" w:line="264" w:lineRule="auto"/>
              <w:ind w:firstLine="0" w:left="0"/>
            </w:pPr>
            <w:r>
              <w:rPr>
                <w:rFonts w:ascii="楷体" w:hAnsi="楷体" w:eastAsia="楷体"/>
                <w:b w:val="0"/>
                <w:color w:val="000000"/>
                <w:sz w:val="19"/>
              </w:rPr>
              <w:t>换标的复用方法，用旧资料复盘</w:t>
            </w:r>
          </w:p>
        </w:tc>
        <w:tc>
          <w:tcPr>
            <w:tcW w:type="dxa" w:w="2239"/>
          </w:tcPr>
          <w:p>
            <w:pPr>
              <w:keepNext w:val="0"/>
              <w:widowControl/>
              <w:spacing w:before="60" w:after="60" w:line="264" w:lineRule="auto"/>
              <w:ind w:firstLine="0" w:left="0"/>
            </w:pPr>
            <w:r>
              <w:rPr>
                <w:rFonts w:ascii="楷体" w:hAnsi="楷体" w:eastAsia="楷体"/>
                <w:b w:val="0"/>
                <w:color w:val="000000"/>
                <w:sz w:val="19"/>
              </w:rPr>
              <w:t>研究定义与时点资料分别保存</w:t>
            </w:r>
          </w:p>
        </w:tc>
        <w:tc>
          <w:tcPr>
            <w:tcW w:type="dxa" w:w="2239"/>
          </w:tcPr>
          <w:p>
            <w:pPr>
              <w:keepNext w:val="0"/>
              <w:widowControl/>
              <w:spacing w:before="60" w:after="60" w:line="264" w:lineRule="auto"/>
              <w:ind w:firstLine="0" w:left="0"/>
            </w:pPr>
            <w:r>
              <w:rPr>
                <w:rFonts w:ascii="楷体" w:hAnsi="楷体" w:eastAsia="楷体"/>
                <w:b w:val="0"/>
                <w:color w:val="000000"/>
                <w:sz w:val="19"/>
              </w:rPr>
              <w:t>减少重复配置，比较研究方法的影响</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3-4 项目功能创新与用户价值</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3.6.1 自定义技能与 Agent 组成个人研究系统</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系统在已批准的数据技能之上增加私有研究定义。投资者通过中文控件选择资料助手的数据工具，配置自定义指标及观察条件，保存后形成自己的研究技能。资料 Agent 获取输入，指标 Agent 执行比率、差值、加权平均及指标间依赖，观察 Agent 将计算结果转为用户设定的研究提示。各项职责以受控任务执行，不运行任意生成代码。</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例如，用户组合营业收入与净利润，构建自己的净利率指标，并让观察助手检查是否达到 15%。受控输入中，收入 100、利润 20 由程序得到 20%，助手据此输出观察提示。该方法保存后可更换标的与报告期重复使用，也能由 AI 投资助手直接调用。用户由此拥有可执行、可积累的个人研究方法，而无需每次重新描述公式与步骤。</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3.6.2 长期记忆形成风格并影响实际调仓</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持续保存用户明确设置的调仓偏好，并从已确认成交账本中识别交易频率、持有时间等行为特征。这些长期记录形成风格候选，经用户确认后转为换手上限、现金保留比例和微调忽略幅度，进入实际调仓计算。长期风格控制调整节奏，投资者画像继续约束风险预算与适当性，两者承担不同职责。</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低频长持的行为候选可采用 10% 换手上限、5% 现金保留及 2 个百分点的微调范围，用户可以保存更严格的偏好。交易样本不足时，不推断稳定风格，显式保存的偏好仍可经确认后使用。偏好、成交记录或画像变化会使旧确认失效，后续计划按新版本重新计算。因此个性化风格能够改变测算结果，并随用户长期记录逐步更新。</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3.6.3 同一投资目标下的个性化方案对比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直接读取当前持仓并编辑目标比例，查看基础方案与个人方案。两套方案使用同一组服务端行情与投资者画像，分别计算目标转换、整手数量、费用及现金变化。页面同时展示原目标、本次个人目标和实际调整清单。本次换手率定义为买卖金额合计除以组合市值再除以二，个人偏好据此控制完成目标的节奏。</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 10 万元受控组合中，资产 A 现有 3,500 股、每股 10 元，初始现金 1.5 万元，其余资产合计 5 万元。设资产 A 目标权重 15%，基础方案减持 2,000 股；确认 5% 换手上限后，个人方案减持 1,000 股，本次该资产目标为 25%。两方案费用分别为 15.20 元与 10.10 元，扣费后现金分别为 34,984.80 元与 24,989.90 元。用户可以看清分步调整与完整目标的区别；风险未解除时，方案继续保留复核状态。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3.6.4 私有研究资料参与持续问答</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投资者可以把自己的文本、Markdown 和 PDF 报告保存为私有研究资料，随后在 AI 投资助手中围绕这些材料提问。研究资料工具按当前账户检索原文片段，并返回文档版本、发布时间和位置。通用知识咨询由此能够连接个人已有资料，用户不必在每次追问中重新粘贴整份报告。</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上传行业报告后，用户可以持续询问其中的概念、分析假设与原文依据，并查看对应片段。行情、财务与组合数值继续从结构化工具取得，个人资料中的观点与程序计算结果可以并置阅读。该功能让自己的研究材料进入日常工作流，帮助积累可持续使用的个人知识库；引用存在本身不代表推论已经得到支持。</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3.6.5 研究方法复用与原资料重算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将研究方法和每次采集到的资料分别保存。日常使用可以保留技能组合与指标配置，更换标的继续研究；复盘时可以使用已保存事实按原截止时间重算，保留当时的资料与计算记录。整个过程不需要重新复制原始数值，研究定义的版本和输入引用随结果保存。</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在一个研究定义中同时配置净利率、利润差额等指标，让同批资料回答不同研究问题。页面支持同一系统版本使用原资料重算，修改方法后另存新版本。重算仍检查技能可用性、权限、期间和预算，不把之后发布的信息加入历史研究。方法复用与资料复盘共同支持个人指标的持续改进，使一次研究形成后续可利用的工具与输入。</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上述功能已连接前端操作、服务端执行与持久存储。技能与 Agent 协作扩展用户可配置的研究方法，长期风格和方案对比让个性化条件落实为实际调整结果，私有资料与原资料重算支持持续研究。LLM 负责意图解析与说明，金融计算和风险约束由程序执行。本节数值案例为受控功能演示，不表示实盘收益或投资有效性已经验证。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ageBreakBefore/>
      </w:pPr>
      <w:r>
        <w:rPr>
          <w:rFonts w:ascii="楷体" w:hAnsi="楷体" w:eastAsia="楷体"/>
          <w:b/>
          <w:color w:val="000000"/>
          <w:sz w:val="36"/>
        </w:rPr>
        <w:t>3.7 已实现创新功能扩展</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五项创新功能已连接正式前端、服务端执行与私有版本存储。自然语言创建研究方法、投资假设跟踪和公告持仓关联使研究能够持续开展；多策略模拟及资金用途规划把研究方法与个人组合、实际期限相连接。用户可以完成草稿确认、订阅管理、事件分析和组合实验，并在条件变化后修订自己的研究与资金安排。</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已实现功能</w:t>
            </w:r>
          </w:p>
        </w:tc>
        <w:tc>
          <w:tcPr>
            <w:tcW w:type="dxa" w:w="2239"/>
          </w:tcPr>
          <w:p>
            <w:pPr>
              <w:keepNext/>
              <w:widowControl/>
              <w:spacing w:before="60" w:after="60" w:line="264" w:lineRule="auto"/>
              <w:ind w:firstLine="0" w:left="0"/>
            </w:pPr>
            <w:r>
              <w:rPr>
                <w:rFonts w:ascii="楷体" w:hAnsi="楷体" w:eastAsia="楷体"/>
                <w:b/>
                <w:color w:val="000000"/>
                <w:sz w:val="19"/>
              </w:rPr>
              <w:t>用户可以完成的任务</w:t>
            </w:r>
          </w:p>
        </w:tc>
        <w:tc>
          <w:tcPr>
            <w:tcW w:type="dxa" w:w="2239"/>
          </w:tcPr>
          <w:p>
            <w:pPr>
              <w:keepNext/>
              <w:widowControl/>
              <w:spacing w:before="60" w:after="60" w:line="264" w:lineRule="auto"/>
              <w:ind w:firstLine="0" w:left="0"/>
            </w:pPr>
            <w:r>
              <w:rPr>
                <w:rFonts w:ascii="楷体" w:hAnsi="楷体" w:eastAsia="楷体"/>
                <w:b/>
                <w:color w:val="000000"/>
                <w:sz w:val="19"/>
              </w:rPr>
              <w:t>执行机制</w:t>
            </w:r>
          </w:p>
        </w:tc>
        <w:tc>
          <w:tcPr>
            <w:tcW w:type="dxa" w:w="2239"/>
          </w:tcPr>
          <w:p>
            <w:pPr>
              <w:keepNext/>
              <w:widowControl/>
              <w:spacing w:before="60" w:after="60" w:line="264" w:lineRule="auto"/>
              <w:ind w:firstLine="0" w:left="0"/>
            </w:pPr>
            <w:r>
              <w:rPr>
                <w:rFonts w:ascii="楷体" w:hAnsi="楷体" w:eastAsia="楷体"/>
                <w:b/>
                <w:color w:val="000000"/>
                <w:sz w:val="19"/>
              </w:rPr>
              <w:t>功能入口</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自然语言创建研究方法</w:t>
            </w:r>
          </w:p>
        </w:tc>
        <w:tc>
          <w:tcPr>
            <w:tcW w:type="dxa" w:w="2239"/>
          </w:tcPr>
          <w:p>
            <w:pPr>
              <w:keepNext w:val="0"/>
              <w:widowControl/>
              <w:spacing w:before="60" w:after="60" w:line="264" w:lineRule="auto"/>
              <w:ind w:firstLine="0" w:left="0"/>
            </w:pPr>
            <w:r>
              <w:rPr>
                <w:rFonts w:ascii="楷体" w:hAnsi="楷体" w:eastAsia="楷体"/>
                <w:b w:val="0"/>
                <w:color w:val="000000"/>
                <w:sz w:val="19"/>
              </w:rPr>
              <w:t>描述想法、修改草稿、保存个人技能</w:t>
            </w:r>
          </w:p>
        </w:tc>
        <w:tc>
          <w:tcPr>
            <w:tcW w:type="dxa" w:w="2239"/>
          </w:tcPr>
          <w:p>
            <w:pPr>
              <w:keepNext w:val="0"/>
              <w:widowControl/>
              <w:spacing w:before="60" w:after="60" w:line="264" w:lineRule="auto"/>
              <w:ind w:firstLine="0" w:left="0"/>
            </w:pPr>
            <w:r>
              <w:rPr>
                <w:rFonts w:ascii="楷体" w:hAnsi="楷体" w:eastAsia="楷体"/>
                <w:b w:val="0"/>
                <w:color w:val="000000"/>
                <w:sz w:val="19"/>
              </w:rPr>
              <w:t>语义解析、受控指标定义与确认保存</w:t>
            </w:r>
          </w:p>
        </w:tc>
        <w:tc>
          <w:tcPr>
            <w:tcW w:type="dxa" w:w="2239"/>
          </w:tcPr>
          <w:p>
            <w:pPr>
              <w:keepNext w:val="0"/>
              <w:widowControl/>
              <w:spacing w:before="60" w:after="60" w:line="264" w:lineRule="auto"/>
              <w:ind w:firstLine="0" w:left="0"/>
            </w:pPr>
            <w:r>
              <w:rPr>
                <w:rFonts w:ascii="楷体" w:hAnsi="楷体" w:eastAsia="楷体"/>
                <w:b w:val="0"/>
                <w:color w:val="000000"/>
                <w:sz w:val="19"/>
              </w:rPr>
              <w:t>研究工具</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投资假设持续跟踪</w:t>
            </w:r>
          </w:p>
        </w:tc>
        <w:tc>
          <w:tcPr>
            <w:tcW w:type="dxa" w:w="2239"/>
          </w:tcPr>
          <w:p>
            <w:pPr>
              <w:keepNext w:val="0"/>
              <w:widowControl/>
              <w:spacing w:before="60" w:after="60" w:line="264" w:lineRule="auto"/>
              <w:ind w:firstLine="0" w:left="0"/>
            </w:pPr>
            <w:r>
              <w:rPr>
                <w:rFonts w:ascii="楷体" w:hAnsi="楷体" w:eastAsia="楷体"/>
                <w:b w:val="0"/>
                <w:color w:val="000000"/>
                <w:sz w:val="19"/>
              </w:rPr>
              <w:t>持续查看研究理由是否仍有依据</w:t>
            </w:r>
          </w:p>
        </w:tc>
        <w:tc>
          <w:tcPr>
            <w:tcW w:type="dxa" w:w="2239"/>
          </w:tcPr>
          <w:p>
            <w:pPr>
              <w:keepNext w:val="0"/>
              <w:widowControl/>
              <w:spacing w:before="60" w:after="60" w:line="264" w:lineRule="auto"/>
              <w:ind w:firstLine="0" w:left="0"/>
            </w:pPr>
            <w:r>
              <w:rPr>
                <w:rFonts w:ascii="楷体" w:hAnsi="楷体" w:eastAsia="楷体"/>
                <w:b w:val="0"/>
                <w:color w:val="000000"/>
                <w:sz w:val="19"/>
              </w:rPr>
              <w:t>条件订阅、周期复核与变化记录</w:t>
            </w:r>
          </w:p>
        </w:tc>
        <w:tc>
          <w:tcPr>
            <w:tcW w:type="dxa" w:w="2239"/>
          </w:tcPr>
          <w:p>
            <w:pPr>
              <w:keepNext w:val="0"/>
              <w:widowControl/>
              <w:spacing w:before="60" w:after="60" w:line="264" w:lineRule="auto"/>
              <w:ind w:firstLine="0" w:left="0"/>
            </w:pPr>
            <w:r>
              <w:rPr>
                <w:rFonts w:ascii="楷体" w:hAnsi="楷体" w:eastAsia="楷体"/>
                <w:b w:val="0"/>
                <w:color w:val="000000"/>
                <w:sz w:val="19"/>
              </w:rPr>
              <w:t>研究任务</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公告变化关联持仓</w:t>
            </w:r>
          </w:p>
        </w:tc>
        <w:tc>
          <w:tcPr>
            <w:tcW w:type="dxa" w:w="2239"/>
          </w:tcPr>
          <w:p>
            <w:pPr>
              <w:keepNext w:val="0"/>
              <w:widowControl/>
              <w:spacing w:before="60" w:after="60" w:line="264" w:lineRule="auto"/>
              <w:ind w:firstLine="0" w:left="0"/>
            </w:pPr>
            <w:r>
              <w:rPr>
                <w:rFonts w:ascii="楷体" w:hAnsi="楷体" w:eastAsia="楷体"/>
                <w:b w:val="0"/>
                <w:color w:val="000000"/>
                <w:sz w:val="19"/>
              </w:rPr>
              <w:t>了解新资料与自身组合的关系</w:t>
            </w:r>
          </w:p>
        </w:tc>
        <w:tc>
          <w:tcPr>
            <w:tcW w:type="dxa" w:w="2239"/>
          </w:tcPr>
          <w:p>
            <w:pPr>
              <w:keepNext w:val="0"/>
              <w:widowControl/>
              <w:spacing w:before="60" w:after="60" w:line="264" w:lineRule="auto"/>
              <w:ind w:firstLine="0" w:left="0"/>
            </w:pPr>
            <w:r>
              <w:rPr>
                <w:rFonts w:ascii="楷体" w:hAnsi="楷体" w:eastAsia="楷体"/>
                <w:b w:val="0"/>
                <w:color w:val="000000"/>
                <w:sz w:val="19"/>
              </w:rPr>
              <w:t>原文差异、直接和基金披露敞口</w:t>
            </w:r>
          </w:p>
        </w:tc>
        <w:tc>
          <w:tcPr>
            <w:tcW w:type="dxa" w:w="2239"/>
          </w:tcPr>
          <w:p>
            <w:pPr>
              <w:keepNext w:val="0"/>
              <w:widowControl/>
              <w:spacing w:before="60" w:after="60" w:line="264" w:lineRule="auto"/>
              <w:ind w:firstLine="0" w:left="0"/>
            </w:pPr>
            <w:r>
              <w:rPr>
                <w:rFonts w:ascii="楷体" w:hAnsi="楷体" w:eastAsia="楷体"/>
                <w:b w:val="0"/>
                <w:color w:val="000000"/>
                <w:sz w:val="19"/>
              </w:rPr>
              <w:t>研究资料</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多策略模拟组合</w:t>
            </w:r>
          </w:p>
        </w:tc>
        <w:tc>
          <w:tcPr>
            <w:tcW w:type="dxa" w:w="2239"/>
          </w:tcPr>
          <w:p>
            <w:pPr>
              <w:keepNext w:val="0"/>
              <w:widowControl/>
              <w:spacing w:before="60" w:after="60" w:line="264" w:lineRule="auto"/>
              <w:ind w:firstLine="0" w:left="0"/>
            </w:pPr>
            <w:r>
              <w:rPr>
                <w:rFonts w:ascii="楷体" w:hAnsi="楷体" w:eastAsia="楷体"/>
                <w:b w:val="0"/>
                <w:color w:val="000000"/>
                <w:sz w:val="19"/>
              </w:rPr>
              <w:t>按相同基线持续比较研究方法</w:t>
            </w:r>
          </w:p>
        </w:tc>
        <w:tc>
          <w:tcPr>
            <w:tcW w:type="dxa" w:w="2239"/>
          </w:tcPr>
          <w:p>
            <w:pPr>
              <w:keepNext w:val="0"/>
              <w:widowControl/>
              <w:spacing w:before="60" w:after="60" w:line="264" w:lineRule="auto"/>
              <w:ind w:firstLine="0" w:left="0"/>
            </w:pPr>
            <w:r>
              <w:rPr>
                <w:rFonts w:ascii="楷体" w:hAnsi="楷体" w:eastAsia="楷体"/>
                <w:b w:val="0"/>
                <w:color w:val="000000"/>
                <w:sz w:val="19"/>
              </w:rPr>
              <w:t>规则目标、虚拟账本与独立风险判断</w:t>
            </w:r>
          </w:p>
        </w:tc>
        <w:tc>
          <w:tcPr>
            <w:tcW w:type="dxa" w:w="2239"/>
          </w:tcPr>
          <w:p>
            <w:pPr>
              <w:keepNext w:val="0"/>
              <w:widowControl/>
              <w:spacing w:before="60" w:after="60" w:line="264" w:lineRule="auto"/>
              <w:ind w:firstLine="0" w:left="0"/>
            </w:pPr>
            <w:r>
              <w:rPr>
                <w:rFonts w:ascii="楷体" w:hAnsi="楷体" w:eastAsia="楷体"/>
                <w:b w:val="0"/>
                <w:color w:val="000000"/>
                <w:sz w:val="19"/>
              </w:rPr>
              <w:t>情景模拟</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多目标资金规划</w:t>
            </w:r>
          </w:p>
        </w:tc>
        <w:tc>
          <w:tcPr>
            <w:tcW w:type="dxa" w:w="2239"/>
          </w:tcPr>
          <w:p>
            <w:pPr>
              <w:keepNext w:val="0"/>
              <w:widowControl/>
              <w:spacing w:before="60" w:after="60" w:line="264" w:lineRule="auto"/>
              <w:ind w:firstLine="0" w:left="0"/>
            </w:pPr>
            <w:r>
              <w:rPr>
                <w:rFonts w:ascii="楷体" w:hAnsi="楷体" w:eastAsia="楷体"/>
                <w:b w:val="0"/>
                <w:color w:val="000000"/>
                <w:sz w:val="19"/>
              </w:rPr>
              <w:t>统筹资金用途、期限及确认现金流</w:t>
            </w:r>
          </w:p>
        </w:tc>
        <w:tc>
          <w:tcPr>
            <w:tcW w:type="dxa" w:w="2239"/>
          </w:tcPr>
          <w:p>
            <w:pPr>
              <w:keepNext w:val="0"/>
              <w:widowControl/>
              <w:spacing w:before="60" w:after="60" w:line="264" w:lineRule="auto"/>
              <w:ind w:firstLine="0" w:left="0"/>
            </w:pPr>
            <w:r>
              <w:rPr>
                <w:rFonts w:ascii="楷体" w:hAnsi="楷体" w:eastAsia="楷体"/>
                <w:b w:val="0"/>
                <w:color w:val="000000"/>
                <w:sz w:val="19"/>
              </w:rPr>
              <w:t>时间分配、缺口及受约束调整测算</w:t>
            </w:r>
          </w:p>
        </w:tc>
        <w:tc>
          <w:tcPr>
            <w:tcW w:type="dxa" w:w="2239"/>
          </w:tcPr>
          <w:p>
            <w:pPr>
              <w:keepNext w:val="0"/>
              <w:widowControl/>
              <w:spacing w:before="60" w:after="60" w:line="264" w:lineRule="auto"/>
              <w:ind w:firstLine="0" w:left="0"/>
            </w:pPr>
            <w:r>
              <w:rPr>
                <w:rFonts w:ascii="楷体" w:hAnsi="楷体" w:eastAsia="楷体"/>
                <w:b w:val="0"/>
                <w:color w:val="000000"/>
                <w:sz w:val="19"/>
              </w:rPr>
              <w:t>调仓方案</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3-5 已实现创新功能与产品入口</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3.7.1 自然语言创建研究方法</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描述研究想法后，系统生成资料助手、指标公式、观察条件及任务依赖草稿，并以中文展示各项职责。用户可以追问修改阈值、更改方法名称，或载入最近草稿继续编辑，确认后保存为自己的研究技能。例如，“净利润除以营业收入，达到 15% 时提醒我”形成可运行的盈利质量观察方法，后续可以在页面与 AI 投资助手中复用。</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义规则可直接解析净利率及百分比条件；其他描述使用已配置模型生成受控定义，未配置或超出能力时显示具体缺口。服务端检查技能权限、字段、单位与指标依赖，当前支持比率、差值和加权平均。模型只负责意图与草稿，金融计算仍由程序执行。生成草稿不会修改已保存系统，明确确认后才产生可执行版本，形成描述、编辑、保存和运行的完整流程。</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3.7.2 投资假设持续跟踪</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投资者可以把研究理由保存为假设卡，绑定个人方法、标的、指标、报告期和复核周期。系统支持阈值观察，以及按三个指定报告期检查两次上升或下降；结果区分条件成立、不成立和资料不足。启用的跟随订阅在当前账户可访问的新财报进入资料库后更新观察期，并保留状态变化，使用户能够持续复核当初的投资理由。</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订阅须明确确认，默认每 24 小时复核，可立即检查或停止；同一内容不重复记为新变化。资料公开时点与报告期分别处理，方法变更或工具停用后不生成有效结论。监测复用全局研究准入，每次包含等待的总预算为 60 秒，停止及服务关闭会传播取消。该功能产生的是研究状态和页面提醒，调仓仍需另外测算和确认。</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3.7.3 公告变化关联持仓</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公司公告或财报可与当前服务端持仓关联。事件卡显示版本间的原文变化、直接持仓、基金披露中的间接路径以及需要复核的同标的假设。用户可直接理解“这次资料变化与我的组合有什么关系”，并查看原文位置和披露日期。在受控样例中，直接持仓 1 万元，另持有 1 万元基金且该公司披露权重为 10%，程序得到已知关联敞口 1.1 万元。</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金额与权重沿用确定性穿透计算，路径保留持仓和基金快照引用，未披露部分单列。该样例总组合为 2 万元，已知敞口为 55%，剩余 9 千元不外推为该公司的持仓。资料必须具有明确证券代码及已发布时点，更正或删除使旧事件引用失效。原文关系用于研究关联，不能直接推导股价涨跌。</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3.7.4 多策略模拟组合</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将个人研究指标连接到已确认的条件和目标比例，在相同初始持仓、资金、费用及风险条件下比较虚拟组合。每次推进实际执行研究，并使用当前可信报价计算数量、现金、累计费用、换手和回撤；页面区分已模拟成交、保持持仓及需要复核。首期支持当前组合中的股票、ETF 整数持仓和人民币现金，页面配置两套策略，结构化接口最多支持五套。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 10 万元受控基线中，资产 A 为 2,000 股、每股 10 元，其他五项各 1.3 万元，现金 1.5 万元。盈利指标达到第一套规则后，虚拟减持 1,000 股，费用为 10.10 元，权益为 99,989.90 元；第二套规则未满足，保留 100,000 元。交易后体检和完整风险预算分别检查，任一未通过不改变虚拟数量或现金。记录从启用后向前推进，历史回测及长期投资有效性尚未验收，真实账户不会被模拟更新。</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3.7.5 多目标资金规划</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用户可以按应急、近期支出或长期用途保存资金目标，设置金额、需求日期和同日优先级，并登记已确认收入与支出。程序在一个现金池中按日期分配资金，展示各目标已分配金额、期限缺口及剩余现金；金额、日期或现金流修订后形成新版本并重新测算。逻辑用途划分不会开立新的证券账户，也不会让同一笔资产同时支持多个目标。</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例如，当前现金 3 万元，近期目标需要 4 万元，而 2 万元确认收入在更晚日期到达，近期仍保留 1 万元缺口；该收入只在后续日期参与分配。调整方案绑定当前组合、已确认画像与可用长期风格，金额和费用沿用确定性调仓程序。系统只增加所需预留，不因目标减少自动降低当前现金比例；费用、风险或总资金不足时保留复核及缺口，不假设资产收益或生成未经验证的达标概率。</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3.7.6 集成结果与验证范围</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五项功能已形成正式操作入口和可持久保存的执行记录，修改采用预期版本检查，账户权限由服务端认证上下文绑定。自然语言方法连接个人技能，假设持续跟踪使用其指标，公告事件关联同标的假设，模拟与资金规划复用组合及调仓计算。画像、政策、行情或研究方法变化后，相关结果显示历史失效或要求新建实验，支持用户在长期使用中持续修订方法。</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本次实现的全量自动化验证为 1,235 项通过、1 项跳过，含真实本机 PostgreSQL；五页在三种固定视口的 15 组布局检查通过。上述数值案例为受控功能验证，不作为实盘收益证明。真实模型语义质量、上游财报与基金披露覆盖、完整历史回测及长期策略效果需独立验收。</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