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938123"/>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493812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285220"/>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tretch>
                      <a:fillRect/>
                    </a:stretch>
                  </pic:blipFill>
                  <pic:spPr>
                    <a:xfrm>
                      <a:off x="0" y="0"/>
                      <a:ext cx="5273675" cy="628522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254607"/>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tretch>
                      <a:fillRect/>
                    </a:stretch>
                  </pic:blipFill>
                  <pic:spPr>
                    <a:xfrm>
                      <a:off x="0" y="0"/>
                      <a:ext cx="5273675" cy="425460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6883310"/>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5273675" cy="688331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173750" cy="756000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4173750"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860506" cy="7560000"/>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4860506"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的连续箭头表示数据库外键，图 3-7 的间隔箭头表示应用层关联。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647314"/>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3647314"/>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1156172"/>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115617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091312" cy="7560000"/>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5091312"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484166"/>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5484166"/>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4230523" cy="7560000"/>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4230523" cy="756000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810143"/>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tretch>
                      <a:fillRect/>
                    </a:stretch>
                  </pic:blipFill>
                  <pic:spPr>
                    <a:xfrm>
                      <a:off x="0" y="0"/>
                      <a:ext cx="5273675" cy="581014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961168"/>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396116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655838"/>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4655838"/>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p>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3.6 项目创新点</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的创新集中于面向个人组合的可信决策机制：把已确认画像、实际持仓、研究证据和输出审查连接起来，使个性化条件能够影响计算，使结论能够追溯到依据，并在资料变化后重新核验。以下五项创新均对应现有模块及自动化测试，体现为系统机制与工程集成创新。</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创新方向</w:t>
            </w:r>
          </w:p>
        </w:tc>
        <w:tc>
          <w:tcPr>
            <w:tcW w:type="dxa" w:w="2239"/>
          </w:tcPr>
          <w:p>
            <w:pPr>
              <w:keepNext/>
              <w:widowControl/>
              <w:spacing w:before="60" w:after="60" w:line="264" w:lineRule="auto"/>
              <w:ind w:firstLine="0" w:left="0"/>
            </w:pPr>
            <w:r>
              <w:rPr>
                <w:rFonts w:ascii="楷体" w:hAnsi="楷体" w:eastAsia="楷体"/>
                <w:b/>
                <w:color w:val="000000"/>
                <w:sz w:val="19"/>
              </w:rPr>
              <w:t>改进的问题</w:t>
            </w:r>
          </w:p>
        </w:tc>
        <w:tc>
          <w:tcPr>
            <w:tcW w:type="dxa" w:w="2239"/>
          </w:tcPr>
          <w:p>
            <w:pPr>
              <w:keepNext/>
              <w:widowControl/>
              <w:spacing w:before="60" w:after="60" w:line="264" w:lineRule="auto"/>
              <w:ind w:firstLine="0" w:left="0"/>
            </w:pPr>
            <w:r>
              <w:rPr>
                <w:rFonts w:ascii="楷体" w:hAnsi="楷体" w:eastAsia="楷体"/>
                <w:b/>
                <w:color w:val="000000"/>
                <w:sz w:val="19"/>
              </w:rPr>
              <w:t>核心机制</w:t>
            </w:r>
          </w:p>
        </w:tc>
        <w:tc>
          <w:tcPr>
            <w:tcW w:type="dxa" w:w="2239"/>
          </w:tcPr>
          <w:p>
            <w:pPr>
              <w:keepNext/>
              <w:widowControl/>
              <w:spacing w:before="60" w:after="60" w:line="264" w:lineRule="auto"/>
              <w:ind w:firstLine="0" w:left="0"/>
            </w:pPr>
            <w:r>
              <w:rPr>
                <w:rFonts w:ascii="楷体" w:hAnsi="楷体" w:eastAsia="楷体"/>
                <w:b/>
                <w:color w:val="000000"/>
                <w:sz w:val="19"/>
              </w:rPr>
              <w:t>验证依据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画像参与计算</w:t>
            </w:r>
          </w:p>
        </w:tc>
        <w:tc>
          <w:tcPr>
            <w:tcW w:type="dxa" w:w="2239"/>
          </w:tcPr>
          <w:p>
            <w:pPr>
              <w:keepNext w:val="0"/>
              <w:widowControl/>
              <w:spacing w:before="60" w:after="60" w:line="264" w:lineRule="auto"/>
              <w:ind w:firstLine="0" w:left="0"/>
            </w:pPr>
            <w:r>
              <w:rPr>
                <w:rFonts w:ascii="楷体" w:hAnsi="楷体" w:eastAsia="楷体"/>
                <w:b w:val="0"/>
                <w:color w:val="000000"/>
                <w:sz w:val="19"/>
              </w:rPr>
              <w:t>风险等级难以约束实际仓位</w:t>
            </w:r>
          </w:p>
        </w:tc>
        <w:tc>
          <w:tcPr>
            <w:tcW w:type="dxa" w:w="2239"/>
          </w:tcPr>
          <w:p>
            <w:pPr>
              <w:keepNext w:val="0"/>
              <w:widowControl/>
              <w:spacing w:before="60" w:after="60" w:line="264" w:lineRule="auto"/>
              <w:ind w:firstLine="0" w:left="0"/>
            </w:pPr>
            <w:r>
              <w:rPr>
                <w:rFonts w:ascii="楷体" w:hAnsi="楷体" w:eastAsia="楷体"/>
                <w:b w:val="0"/>
                <w:color w:val="000000"/>
                <w:sz w:val="19"/>
              </w:rPr>
              <w:t>画像版本映射预算，逐项比较组合暴露</w:t>
            </w:r>
          </w:p>
        </w:tc>
        <w:tc>
          <w:tcPr>
            <w:tcW w:type="dxa" w:w="2239"/>
          </w:tcPr>
          <w:p>
            <w:pPr>
              <w:keepNext w:val="0"/>
              <w:widowControl/>
              <w:spacing w:before="60" w:after="60" w:line="264" w:lineRule="auto"/>
              <w:ind w:firstLine="0" w:left="0"/>
            </w:pPr>
            <w:r>
              <w:rPr>
                <w:rFonts w:ascii="楷体" w:hAnsi="楷体" w:eastAsia="楷体"/>
                <w:b w:val="0"/>
                <w:color w:val="000000"/>
                <w:sz w:val="19"/>
              </w:rPr>
              <w:t>固定同仓场景产生保留与降低权重差异</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确定性约束测算</w:t>
            </w:r>
          </w:p>
        </w:tc>
        <w:tc>
          <w:tcPr>
            <w:tcW w:type="dxa" w:w="2239"/>
          </w:tcPr>
          <w:p>
            <w:pPr>
              <w:keepNext w:val="0"/>
              <w:widowControl/>
              <w:spacing w:before="60" w:after="60" w:line="264" w:lineRule="auto"/>
              <w:ind w:firstLine="0" w:left="0"/>
            </w:pPr>
            <w:r>
              <w:rPr>
                <w:rFonts w:ascii="楷体" w:hAnsi="楷体" w:eastAsia="楷体"/>
                <w:b w:val="0"/>
                <w:color w:val="000000"/>
                <w:sz w:val="19"/>
              </w:rPr>
              <w:t>目标比例未必满足交易与现金条件</w:t>
            </w:r>
          </w:p>
        </w:tc>
        <w:tc>
          <w:tcPr>
            <w:tcW w:type="dxa" w:w="2239"/>
          </w:tcPr>
          <w:p>
            <w:pPr>
              <w:keepNext w:val="0"/>
              <w:widowControl/>
              <w:spacing w:before="60" w:after="60" w:line="264" w:lineRule="auto"/>
              <w:ind w:firstLine="0" w:left="0"/>
            </w:pPr>
            <w:r>
              <w:rPr>
                <w:rFonts w:ascii="楷体" w:hAnsi="楷体" w:eastAsia="楷体"/>
                <w:b w:val="0"/>
                <w:color w:val="000000"/>
                <w:sz w:val="19"/>
              </w:rPr>
              <w:t>数量取整、费用及现金约束后重新计算风险</w:t>
            </w:r>
          </w:p>
        </w:tc>
        <w:tc>
          <w:tcPr>
            <w:tcW w:type="dxa" w:w="2239"/>
          </w:tcPr>
          <w:p>
            <w:pPr>
              <w:keepNext w:val="0"/>
              <w:widowControl/>
              <w:spacing w:before="60" w:after="60" w:line="264" w:lineRule="auto"/>
              <w:ind w:firstLine="0" w:left="0"/>
            </w:pPr>
            <w:r>
              <w:rPr>
                <w:rFonts w:ascii="楷体" w:hAnsi="楷体" w:eastAsia="楷体"/>
                <w:b w:val="0"/>
                <w:color w:val="000000"/>
                <w:sz w:val="19"/>
              </w:rPr>
              <w:t>不足一手、现金预留及重复计算测试</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独立来源校验</w:t>
            </w:r>
          </w:p>
        </w:tc>
        <w:tc>
          <w:tcPr>
            <w:tcW w:type="dxa" w:w="2239"/>
          </w:tcPr>
          <w:p>
            <w:pPr>
              <w:keepNext w:val="0"/>
              <w:widowControl/>
              <w:spacing w:before="60" w:after="60" w:line="264" w:lineRule="auto"/>
              <w:ind w:firstLine="0" w:left="0"/>
            </w:pPr>
            <w:r>
              <w:rPr>
                <w:rFonts w:ascii="楷体" w:hAnsi="楷体" w:eastAsia="楷体"/>
                <w:b w:val="0"/>
                <w:color w:val="000000"/>
                <w:sz w:val="19"/>
              </w:rPr>
              <w:t>同源转载易被误计为多项证据</w:t>
            </w:r>
          </w:p>
        </w:tc>
        <w:tc>
          <w:tcPr>
            <w:tcW w:type="dxa" w:w="2239"/>
          </w:tcPr>
          <w:p>
            <w:pPr>
              <w:keepNext w:val="0"/>
              <w:widowControl/>
              <w:spacing w:before="60" w:after="60" w:line="264" w:lineRule="auto"/>
              <w:ind w:firstLine="0" w:left="0"/>
            </w:pPr>
            <w:r>
              <w:rPr>
                <w:rFonts w:ascii="楷体" w:hAnsi="楷体" w:eastAsia="楷体"/>
                <w:b w:val="0"/>
                <w:color w:val="000000"/>
                <w:sz w:val="19"/>
              </w:rPr>
              <w:t>统一口径，按来源谱系计数并保留冲突</w:t>
            </w:r>
          </w:p>
        </w:tc>
        <w:tc>
          <w:tcPr>
            <w:tcW w:type="dxa" w:w="2239"/>
          </w:tcPr>
          <w:p>
            <w:pPr>
              <w:keepNext w:val="0"/>
              <w:widowControl/>
              <w:spacing w:before="60" w:after="60" w:line="264" w:lineRule="auto"/>
              <w:ind w:firstLine="0" w:left="0"/>
            </w:pPr>
            <w:r>
              <w:rPr>
                <w:rFonts w:ascii="楷体" w:hAnsi="楷体" w:eastAsia="楷体"/>
                <w:b w:val="0"/>
                <w:color w:val="000000"/>
                <w:sz w:val="19"/>
              </w:rPr>
              <w:t>同源重复、独立反对及缺失来源测试</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输入版本核验</w:t>
            </w:r>
          </w:p>
        </w:tc>
        <w:tc>
          <w:tcPr>
            <w:tcW w:type="dxa" w:w="2239"/>
          </w:tcPr>
          <w:p>
            <w:pPr>
              <w:keepNext w:val="0"/>
              <w:widowControl/>
              <w:spacing w:before="60" w:after="60" w:line="264" w:lineRule="auto"/>
              <w:ind w:firstLine="0" w:left="0"/>
            </w:pPr>
            <w:r>
              <w:rPr>
                <w:rFonts w:ascii="楷体" w:hAnsi="楷体" w:eastAsia="楷体"/>
                <w:b w:val="0"/>
                <w:color w:val="000000"/>
                <w:sz w:val="19"/>
              </w:rPr>
              <w:t>连续对话可能沿用已变化的资料</w:t>
            </w:r>
          </w:p>
        </w:tc>
        <w:tc>
          <w:tcPr>
            <w:tcW w:type="dxa" w:w="2239"/>
          </w:tcPr>
          <w:p>
            <w:pPr>
              <w:keepNext w:val="0"/>
              <w:widowControl/>
              <w:spacing w:before="60" w:after="60" w:line="264" w:lineRule="auto"/>
              <w:ind w:firstLine="0" w:left="0"/>
            </w:pPr>
            <w:r>
              <w:rPr>
                <w:rFonts w:ascii="楷体" w:hAnsi="楷体" w:eastAsia="楷体"/>
                <w:b w:val="0"/>
                <w:color w:val="000000"/>
                <w:sz w:val="19"/>
              </w:rPr>
              <w:t>确认前提、版本与内容指纹共同约束请求</w:t>
            </w:r>
          </w:p>
        </w:tc>
        <w:tc>
          <w:tcPr>
            <w:tcW w:type="dxa" w:w="2239"/>
          </w:tcPr>
          <w:p>
            <w:pPr>
              <w:keepNext w:val="0"/>
              <w:widowControl/>
              <w:spacing w:before="60" w:after="60" w:line="264" w:lineRule="auto"/>
              <w:ind w:firstLine="0" w:left="0"/>
            </w:pPr>
            <w:r>
              <w:rPr>
                <w:rFonts w:ascii="楷体" w:hAnsi="楷体" w:eastAsia="楷体"/>
                <w:b w:val="0"/>
                <w:color w:val="000000"/>
                <w:sz w:val="19"/>
              </w:rPr>
              <w:t>持仓变化、旧修订及确认冲突测试</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双重审查与回执</w:t>
            </w:r>
          </w:p>
        </w:tc>
        <w:tc>
          <w:tcPr>
            <w:tcW w:type="dxa" w:w="2239"/>
          </w:tcPr>
          <w:p>
            <w:pPr>
              <w:keepNext w:val="0"/>
              <w:widowControl/>
              <w:spacing w:before="60" w:after="60" w:line="264" w:lineRule="auto"/>
              <w:ind w:firstLine="0" w:left="0"/>
            </w:pPr>
            <w:r>
              <w:rPr>
                <w:rFonts w:ascii="楷体" w:hAnsi="楷体" w:eastAsia="楷体"/>
                <w:b w:val="0"/>
                <w:color w:val="000000"/>
                <w:sz w:val="19"/>
              </w:rPr>
              <w:t>解释文本难以说明建议是否具备资格</w:t>
            </w:r>
          </w:p>
        </w:tc>
        <w:tc>
          <w:tcPr>
            <w:tcW w:type="dxa" w:w="2239"/>
          </w:tcPr>
          <w:p>
            <w:pPr>
              <w:keepNext w:val="0"/>
              <w:widowControl/>
              <w:spacing w:before="60" w:after="60" w:line="264" w:lineRule="auto"/>
              <w:ind w:firstLine="0" w:left="0"/>
            </w:pPr>
            <w:r>
              <w:rPr>
                <w:rFonts w:ascii="楷体" w:hAnsi="楷体" w:eastAsia="楷体"/>
                <w:b w:val="0"/>
                <w:color w:val="000000"/>
                <w:sz w:val="19"/>
              </w:rPr>
              <w:t>风险与合规独立判定，回执绑定输入和依据</w:t>
            </w:r>
          </w:p>
        </w:tc>
        <w:tc>
          <w:tcPr>
            <w:tcW w:type="dxa" w:w="2239"/>
          </w:tcPr>
          <w:p>
            <w:pPr>
              <w:keepNext w:val="0"/>
              <w:widowControl/>
              <w:spacing w:before="60" w:after="60" w:line="264" w:lineRule="auto"/>
              <w:ind w:firstLine="0" w:left="0"/>
            </w:pPr>
            <w:r>
              <w:rPr>
                <w:rFonts w:ascii="楷体" w:hAnsi="楷体" w:eastAsia="楷体"/>
                <w:b w:val="0"/>
                <w:color w:val="000000"/>
                <w:sz w:val="19"/>
              </w:rPr>
              <w:t>过期证据、跨用户及回执篡改测试</w:t>
            </w:r>
          </w:p>
        </w:tc>
      </w:tr>
    </w:tbl>
    <w:p>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3-4 项目创新点与验证依据</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3.6.1 画像驱动的可计算风险约束</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将问卷形成的画像风险等级映射为单一资产、已识别行业、科技行业及未分类暴露的预算上限，并将预算绑定已确认的画像版本。组合暴露经过程序计算后，逐项输出观察比例、适用上限和超限幅度，个人风险条件由此成为测算过程中的实际约束。</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固定场景测试保持持仓与研究依据一致，仅改变画像风险等级，均衡型与保守型分别得到保留和降低权重的结构化结果。这说明个性化差异来自预算条件及计算结果，能够解释同一市场事实为何对不同投资者产生不同处理结论。对应实现见 3.4.2 节及图 3-9。</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3.6.2 面向交易约束的确定性测算闭环</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LLM 负责理解问题、提取参数、选择工具和说明结果；金额、暴露、交易数量、费用及现金变化由确定性程序处理。再平衡先将目标比例转换为交易单位数量，再按卖出与买入顺序更新现金，最后以实际测算数量重新计算组合暴露和风险预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该机制把目标配置与可测算数量之间的差异明确呈现出来。不足一个交易单位的减仓、无法覆盖费用或现金预留未满足时，结果保留复核状态及具体原因。数量、费用、现金和调整后风险采用同一组输入，用户可以复算关键步骤；相关边界及重复计算已由固定用例验证。对应实现见 3.4.3—3.4.4 节及图 3-10、图 3-11。</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3.6.3 按来源独立性判定事实支持</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验证先统一主体、指标、单位和期间，再按来源谱系分组。同一来源的多个转载只计为一项独立依据；缺少来源关联、组内数值冲突或独立来源反对时，保留不足、冲突或待复核状态。研究证据、事实、发现与结构化建议之间继续保持明确的引用关系。</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这一机制将材料数量与独立支持程度分别处理，减少重复转载形成虚假共识的风险。自动化测试覆盖同源重复不增加独立支持数、独立反对不能被支持记录掩盖，以及缺失来源不能形成已验证事实。检索片段用于核对原文，金融声明仍按结构化口径校验。对应实现见 3.4.6—3.4.7 节及图 3-13、图 3-15。</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3.6.4 输入版本约束下的持续有效性检查</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画像、持仓与数据模式，以修订号和内容指纹形成确定的分析输入。后续请求同时核对用户归属、预期修订和当前事实；资料变化时停止沿用旧前提，提示重新确认。历史消息用于理解问题，显式恢复的历史资料经过确认后才参与新的计算。</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该机制将连续对话的语义记忆与当前金融事实分开管理，降低旧持仓或旧画像继续影响新分析的风险。测试验证了锁定后持仓变化触发漂移、旧修订被拒绝，以及确认过程中资料变化不能被旧请求覆盖。结论的适用范围能够随输入版本被检查。对应实现见 3.4.8 节及图 3-16、图 3-17。</w:t>
      </w:r>
    </w:p>
    <w:p>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3.6.5 独立双闸门与可追溯决策回执</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与证据，合规审查检查用户归属、引用、披露及禁止表述；整体状态按阻断、复核、通过的优先顺序聚合，双方通过后才进入建议组合。组合阶段继续核对输入版本和引用，避免解释文本代替资格判定。</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决策回执绑定画像与持仓版本、研究依据、规则版本、审查结果及内容哈希，便于核查结论使用了哪些输入、哪些规则以及哪些证据。过期证据、跨用户输入、引用或回执内容篡改等场景已有阻断测试。研究、计算与输出审查由此形成可检查的责任关系。对应实现见 3.4.6 节及图 3-14。</w:t>
      </w:r>
    </w:p>
    <w:p>
      <w:pPr>
        <w:keepNext w:val="0"/>
        <w:keepLines w:val="1"/>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上述机制共同提高个性化分析的可解释性、计算的可复核性和结论的可追溯性。本节对应的画像差异、来源验证、交易约束、会话前提及建议回执共 64 项定向自动化用例已通过。该验证说明程序机制及边界处理能够执行；数值算法继续采用 3.4.9 节所述成熟方法，实际投资收益不在本节验证范围内。</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