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C774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电商用户购物车流失分析与增长建议</w:t>
      </w:r>
    </w:p>
    <w:p w14:paraId="4616B63A">
      <w:pPr>
        <w:pStyle w:val="3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 20,000 名用户行为数据的端到端分析</w:t>
      </w:r>
    </w:p>
    <w:p w14:paraId="0D3FC6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陈玮鑫</w:t>
      </w:r>
    </w:p>
    <w:p w14:paraId="25CA87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202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年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月</w:t>
      </w:r>
    </w:p>
    <w:p w14:paraId="3992DB5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项目背景与目标</w:t>
      </w:r>
    </w:p>
    <w:p w14:paraId="4CCEDC87">
      <w:pPr>
        <w:pStyle w:val="4"/>
        <w:spacing w:after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背景</w:t>
      </w:r>
    </w:p>
    <w:p w14:paraId="62892E01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某电商平台拥有 20,000 名注册用户，但在整体付费转化方面存在优化空间。初步数据显示，大量用户在购物车环节流失，未能完成首单购买。为定位流失原因并提出可落地的增长策略，本项目对该平台的用户行为数据进行了端到端分析。</w:t>
      </w:r>
    </w:p>
    <w:p w14:paraId="6F222CCC">
      <w:pPr>
        <w:pStyle w:val="4"/>
        <w:spacing w:after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</w:t>
      </w:r>
    </w:p>
    <w:p w14:paraId="06A4A0A6">
      <w:pPr>
        <w:numPr>
          <w:numId w:val="0"/>
        </w:num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搭建全链路转化漏斗，定位用户流失的关键环节；</w:t>
      </w:r>
    </w:p>
    <w:p w14:paraId="64EBB429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对购物车流失用户进行多维度画像，找出核心流失原因；</w:t>
      </w:r>
    </w:p>
    <w:p w14:paraId="0CAE5336">
      <w:pPr>
        <w:numPr>
          <w:numId w:val="0"/>
        </w:num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提出可量化、可执行的业务增长建议。</w:t>
      </w:r>
    </w:p>
    <w:p w14:paraId="2E61CB03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0A24BD1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  <w:t>2. 数据概览</w:t>
      </w:r>
    </w:p>
    <w:p w14:paraId="7017DE2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数据来源</w:t>
      </w:r>
    </w:p>
    <w:p w14:paraId="4052420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Kaggle - E-Commerce Customer Behavior Analytics</w:t>
      </w:r>
    </w:p>
    <w:p w14:paraId="16D7F2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数据规模</w:t>
      </w:r>
    </w:p>
    <w:tbl>
      <w:tblPr>
        <w:tblW w:w="79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6505"/>
      </w:tblGrid>
      <w:tr w14:paraId="71823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FAB3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46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45FF8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9B8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用户总数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C111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20,000</w:t>
            </w:r>
          </w:p>
        </w:tc>
      </w:tr>
      <w:tr w14:paraId="758E7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B5C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字段数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59FD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7E0F9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1CA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数据覆盖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530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人口统计、浏览行为、购买记录、客户价值分层</w:t>
            </w:r>
          </w:p>
        </w:tc>
      </w:tr>
    </w:tbl>
    <w:p w14:paraId="343E8B88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37BA4E76">
      <w:pPr>
        <w:pStyle w:val="3"/>
        <w:spacing w:after="159" w:afterLines="50" w:afterAutospacing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数据质量处理</w:t>
      </w:r>
    </w:p>
    <w:p w14:paraId="5CC332E6">
      <w:pPr>
        <w:numPr>
          <w:numId w:val="0"/>
        </w:num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3,732 名用户从未下单（占 18.66%），订单相关字段为结构化缺失，属于正常业务逻辑。分析时按“有/无订单”分层处理。</w:t>
      </w:r>
    </w:p>
    <w:p w14:paraId="1A1694ED">
      <w:pPr>
        <w:numPr>
          <w:numId w:val="0"/>
        </w:numPr>
        <w:rPr>
          <w:rFonts w:hint="eastAsia" w:ascii="宋体" w:hAnsi="宋体" w:eastAsia="宋体" w:cs="宋体"/>
        </w:rPr>
      </w:pPr>
    </w:p>
    <w:p w14:paraId="40F91252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个日期列统一转换为 datetime 格式。</w:t>
      </w:r>
    </w:p>
    <w:p w14:paraId="246A9A88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0AEEDBCC">
      <w:pPr>
        <w:numPr>
          <w:numId w:val="0"/>
        </w:num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经检查，无重复行、无重复客户 ID。</w:t>
      </w:r>
    </w:p>
    <w:p w14:paraId="06AC9E18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4E6E0F9C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1FC95D5C">
      <w:pPr>
        <w:widowControl w:val="0"/>
        <w:numPr>
          <w:numId w:val="0"/>
        </w:numPr>
        <w:spacing w:after="0"/>
        <w:jc w:val="both"/>
        <w:rPr>
          <w:rFonts w:hint="eastAsia" w:ascii="宋体" w:hAnsi="宋体" w:eastAsia="宋体" w:cs="宋体"/>
        </w:rPr>
      </w:pPr>
    </w:p>
    <w:p w14:paraId="13BC388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分析方法与框架</w:t>
      </w:r>
    </w:p>
    <w:p w14:paraId="5169D7B0">
      <w:pPr>
        <w:pStyle w:val="4"/>
        <w:spacing w:after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分析流程</w:t>
      </w:r>
    </w:p>
    <w:p w14:paraId="3B9F3E6B">
      <w:pPr>
        <w:numPr>
          <w:numId w:val="0"/>
        </w:num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转化漏斗构建</w:t>
      </w:r>
      <w:r>
        <w:rPr>
          <w:rFonts w:hint="eastAsia" w:ascii="宋体" w:hAnsi="宋体" w:eastAsia="宋体" w:cs="宋体"/>
        </w:rPr>
        <w:t>：将用户行为拆解为“注册 → 浏览 → 购物车 → 下单 → 复购”五个阶段，计算各环节转化率，定位核心瓶颈。</w:t>
      </w:r>
    </w:p>
    <w:p w14:paraId="6F01F796">
      <w:pPr>
        <w:numPr>
          <w:numId w:val="0"/>
        </w:numPr>
        <w:spacing w:before="0"/>
        <w:rPr>
          <w:rFonts w:hint="eastAsia" w:ascii="宋体" w:hAnsi="宋体" w:eastAsia="宋体" w:cs="宋体"/>
        </w:rPr>
      </w:pPr>
    </w:p>
    <w:p w14:paraId="680A369B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流失用户多维度归因</w:t>
      </w:r>
      <w:r>
        <w:rPr>
          <w:rFonts w:hint="eastAsia" w:ascii="宋体" w:hAnsi="宋体" w:eastAsia="宋体" w:cs="宋体"/>
        </w:rPr>
        <w:t>：针对购物车→下单环节的流失用户，从年龄段、国家、流量渠道、设备类型、CLV 分层五个维度进行下钻对比，寻找高流失特征。</w:t>
      </w:r>
    </w:p>
    <w:p w14:paraId="1D4BD383">
      <w:pPr>
        <w:numPr>
          <w:numId w:val="0"/>
        </w:numPr>
        <w:rPr>
          <w:rFonts w:hint="eastAsia" w:ascii="宋体" w:hAnsi="宋体" w:eastAsia="宋体" w:cs="宋体"/>
        </w:rPr>
      </w:pPr>
    </w:p>
    <w:p w14:paraId="2F8E014D">
      <w:pPr>
        <w:numPr>
          <w:numId w:val="0"/>
        </w:num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浏览深度辅助分析</w:t>
      </w:r>
      <w:r>
        <w:rPr>
          <w:rFonts w:hint="eastAsia" w:ascii="宋体" w:hAnsi="宋体" w:eastAsia="宋体" w:cs="宋体"/>
        </w:rPr>
        <w:t>：对比流失用户与下单用户的平均浏览会话数，验证流失行为模式。</w:t>
      </w:r>
    </w:p>
    <w:p w14:paraId="352EA1FA">
      <w:pPr>
        <w:pStyle w:val="4"/>
        <w:spacing w:after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使用工具</w:t>
      </w:r>
    </w:p>
    <w:p w14:paraId="15675060">
      <w:pPr>
        <w:numPr>
          <w:numId w:val="0"/>
        </w:num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(Pandas, Matplotlib)</w:t>
      </w:r>
    </w:p>
    <w:p w14:paraId="39DFBF32">
      <w:pPr>
        <w:numPr>
          <w:numId w:val="0"/>
        </w:numPr>
        <w:spacing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Power BI</w:t>
      </w:r>
    </w:p>
    <w:p w14:paraId="0E4AD252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0FF291AB">
      <w:pPr>
        <w:numPr>
          <w:numId w:val="0"/>
        </w:numPr>
        <w:spacing w:after="0"/>
        <w:rPr>
          <w:rFonts w:hint="eastAsia" w:ascii="宋体" w:hAnsi="宋体" w:eastAsia="宋体" w:cs="宋体"/>
        </w:rPr>
      </w:pPr>
    </w:p>
    <w:p w14:paraId="6CC5834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0000FEF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4D2DBC5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31983F0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6"/>
          <w:szCs w:val="36"/>
          <w:shd w:val="clear" w:fill="FFFFFF"/>
        </w:rPr>
        <w:t>4. 核心发现</w:t>
      </w:r>
    </w:p>
    <w:p w14:paraId="31EBE15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整体转化漏斗</w:t>
      </w:r>
    </w:p>
    <w:tbl>
      <w:tblPr>
        <w:tblW w:w="78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5"/>
        <w:gridCol w:w="2316"/>
        <w:gridCol w:w="3218"/>
      </w:tblGrid>
      <w:tr w14:paraId="6CF6B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C08C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C8F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19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阶段转化率</w:t>
            </w:r>
          </w:p>
        </w:tc>
      </w:tr>
      <w:tr w14:paraId="731F9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8EE2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37B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20,000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D963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91F8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760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有浏览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834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19,945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3CC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99.7%</w:t>
            </w:r>
          </w:p>
        </w:tc>
      </w:tr>
      <w:tr w14:paraId="18479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EB54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有购物车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0E8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19,945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BA83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100.0%</w:t>
            </w:r>
          </w:p>
        </w:tc>
      </w:tr>
      <w:tr w14:paraId="4121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E916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有下单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B6E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16,268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77A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81.6%</w:t>
            </w:r>
          </w:p>
        </w:tc>
      </w:tr>
      <w:tr w14:paraId="19FA0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CE2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复购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A54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10,045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A7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61.7%</w:t>
            </w:r>
          </w:p>
        </w:tc>
      </w:tr>
    </w:tbl>
    <w:p w14:paraId="49A31218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关键发现</w:t>
      </w:r>
    </w:p>
    <w:p w14:paraId="1C9EFC39">
      <w:pPr>
        <w:numPr>
          <w:numId w:val="0"/>
        </w:numPr>
        <w:spacing w:beforeAutospacing="0"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注册→浏览转化率 99.7%，用户激活充分，平台引流环节无明显问题。</w:t>
      </w:r>
    </w:p>
    <w:p w14:paraId="046A9FE0">
      <w:pPr>
        <w:numPr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17204F75">
      <w:pPr>
        <w:numPr>
          <w:numId w:val="0"/>
        </w:numPr>
        <w:spacing w:before="0"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购物车→下单转化率 81.6%，共流失 3,677 人，为全链路最大增长瓶颈。</w:t>
      </w:r>
    </w:p>
    <w:p w14:paraId="647EADE1">
      <w:pPr>
        <w:numPr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5EC8536D">
      <w:pPr>
        <w:numPr>
          <w:numId w:val="0"/>
        </w:numPr>
        <w:spacing w:before="0" w:after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下单→复购转化率 61.7%，首单用户留存表现良好，说明只要用户完成首单，后续复购意愿较强。</w:t>
      </w:r>
    </w:p>
    <w:p w14:paraId="7BED5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2779395"/>
            <wp:effectExtent l="0" t="0" r="12065" b="1905"/>
            <wp:docPr id="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757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流失用户多维度归因</w:t>
      </w:r>
    </w:p>
    <w:p w14:paraId="4CD7C65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针对购物车→下单环节流失的 3,677 名用户，从五个维度进行下钻分析：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5284"/>
        <w:gridCol w:w="1373"/>
      </w:tblGrid>
      <w:tr w14:paraId="3C775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2CBC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F2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4CE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486EA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BBF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年龄段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721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各年龄段流失率在 18%–20% 之间，无显著差异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F023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非主因</w:t>
            </w:r>
          </w:p>
        </w:tc>
      </w:tr>
      <w:tr w14:paraId="024C6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E870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69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各国流失率集中在 16%–20%，差异不大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952A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非主因</w:t>
            </w:r>
          </w:p>
        </w:tc>
      </w:tr>
      <w:tr w14:paraId="58947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5BB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DC5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Tablet 流失率 37% 但仅 138 人；Desktop 19.9%、Mobile 17.2%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97CB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⚠️ 局部异常</w:t>
            </w:r>
          </w:p>
        </w:tc>
      </w:tr>
      <w:tr w14:paraId="4E40F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95D1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CLV 分层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8B7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流失用户全为 "no_purchase"，该字段为购买结果变量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9551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 排除</w:t>
            </w:r>
          </w:p>
        </w:tc>
      </w:tr>
      <w:tr w14:paraId="52FE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9E58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流量渠道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2D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Email 渠道流失率达 25%，显著高于均值（约 19%）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1839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核心突破口</w:t>
            </w:r>
          </w:p>
        </w:tc>
      </w:tr>
    </w:tbl>
    <w:p w14:paraId="130B0676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13935" cy="2796540"/>
            <wp:effectExtent l="0" t="0" r="12065" b="10160"/>
            <wp:docPr id="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rcRect t="823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B221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辅助发现——浏览深度对比：</w:t>
      </w:r>
    </w:p>
    <w:p w14:paraId="7E43E81F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流失用户平均浏览会话数为 4.33 次，下单用户为 6.28 次。流失用户呈现“浅逛即弃”的行为模式，浏览深度明显不足。</w:t>
      </w:r>
    </w:p>
    <w:p w14:paraId="4A46B3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764405" cy="1951355"/>
            <wp:effectExtent l="0" t="0" r="10795" b="4445"/>
            <wp:docPr id="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rcRect t="795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E232">
      <w:pPr>
        <w:rPr>
          <w:rFonts w:hint="eastAsia" w:ascii="宋体" w:hAnsi="宋体" w:eastAsia="宋体" w:cs="宋体"/>
        </w:rPr>
      </w:pPr>
    </w:p>
    <w:p w14:paraId="71B3DF2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业务建议</w:t>
      </w:r>
    </w:p>
    <w:p w14:paraId="31B5861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建议一：优化 Email 营销落地页一致性</w:t>
      </w:r>
    </w:p>
    <w:p w14:paraId="1574B9B4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基于发现：</w:t>
      </w:r>
    </w:p>
    <w:p w14:paraId="33B985D4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Email 渠道用户购物车流失率达 25%，显著高于其他渠道。</w:t>
      </w:r>
    </w:p>
    <w:p w14:paraId="70AA57A6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建议内容：</w:t>
      </w:r>
    </w:p>
    <w:p w14:paraId="5E59632E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 Email 营销中推荐的商品与折扣，是否在用户点击后能直接对应到落地页。减少中间跳转层级，确保“所见即所得”。</w:t>
      </w:r>
    </w:p>
    <w:p w14:paraId="5DDB619D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预期效果：</w:t>
      </w:r>
    </w:p>
    <w:p w14:paraId="4D7EF2AD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预计可将 Email 渠道流失率降低 3–5 个百分点。</w:t>
      </w:r>
    </w:p>
    <w:p w14:paraId="6558F82A">
      <w:pPr>
        <w:pStyle w:val="4"/>
        <w:rPr>
          <w:rFonts w:hint="eastAsia" w:ascii="宋体" w:hAnsi="宋体" w:eastAsia="宋体" w:cs="宋体"/>
        </w:rPr>
      </w:pPr>
    </w:p>
    <w:p w14:paraId="3FD281D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建议二：购物车页面增加个性化推荐模块</w:t>
      </w:r>
    </w:p>
    <w:p w14:paraId="7CAED7F1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基于发现：</w:t>
      </w:r>
    </w:p>
    <w:p w14:paraId="73314242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流失用户平均浏览会话数更低，逛得浅就放弃。</w:t>
      </w:r>
    </w:p>
    <w:p w14:paraId="706FD50F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建议内容：</w:t>
      </w:r>
    </w:p>
    <w:p w14:paraId="1CF363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在购物车侧边栏或空购物车页面，根据用户浏览历史推荐价格带相近的替代商品，延长浏览路径，帮助用户发现心仪商品。</w:t>
      </w:r>
    </w:p>
    <w:p w14:paraId="1207F4A6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预期效果：</w:t>
      </w:r>
    </w:p>
    <w:p w14:paraId="495F653C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提升购物车用户停留时长，间接提高下单转化。</w:t>
      </w:r>
    </w:p>
    <w:p w14:paraId="0F968BBD">
      <w:pPr>
        <w:spacing w:beforeAutospacing="0"/>
        <w:rPr>
          <w:rFonts w:hint="eastAsia" w:ascii="宋体" w:hAnsi="宋体" w:eastAsia="宋体" w:cs="宋体"/>
        </w:rPr>
      </w:pPr>
    </w:p>
    <w:p w14:paraId="7057F64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建议三：加购未支付自动触发优惠券（兜底策略）</w:t>
      </w:r>
    </w:p>
    <w:p w14:paraId="775003A9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基于发现：</w:t>
      </w:r>
    </w:p>
    <w:p w14:paraId="156A9359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购物车→下单为最大流失环节，部分用户可能因价格或运费犹豫。</w:t>
      </w:r>
    </w:p>
    <w:p w14:paraId="0E6AD2B3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建议内容：</w:t>
      </w:r>
    </w:p>
    <w:p w14:paraId="7BD4DDFC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对“加购但 30 分钟未支付”的用户，自动推送 5% 限时优惠券或免邮提醒，制造紧迫感，促成下单。</w:t>
      </w:r>
    </w:p>
    <w:p w14:paraId="1ACB25B4">
      <w:pPr>
        <w:pStyle w:val="5"/>
        <w:spacing w:after="0" w:afterLines="0" w:after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预期效果：</w:t>
      </w:r>
    </w:p>
    <w:p w14:paraId="0A20BC25">
      <w:pPr>
        <w:spacing w:beforeAutospacing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预计可挽回 5%–8% 的购物车流失用户。</w:t>
      </w:r>
    </w:p>
    <w:p w14:paraId="1EB755C2">
      <w:pPr>
        <w:spacing w:beforeAutospacing="0"/>
        <w:rPr>
          <w:rFonts w:hint="eastAsia" w:ascii="宋体" w:hAnsi="宋体" w:eastAsia="宋体" w:cs="宋体"/>
        </w:rPr>
      </w:pPr>
    </w:p>
    <w:p w14:paraId="140B0ED6">
      <w:pPr>
        <w:spacing w:beforeAutospacing="0"/>
        <w:rPr>
          <w:rFonts w:hint="eastAsia" w:ascii="宋体" w:hAnsi="宋体" w:eastAsia="宋体" w:cs="宋体"/>
        </w:rPr>
      </w:pPr>
    </w:p>
    <w:p w14:paraId="55542A7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附录：作品链接与技能展示</w:t>
      </w:r>
    </w:p>
    <w:p w14:paraId="32B146A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作品链接</w:t>
      </w:r>
    </w:p>
    <w:p w14:paraId="28AABE82">
      <w:pPr>
        <w:numPr>
          <w:numId w:val="0"/>
        </w:numPr>
        <w:spacing w:after="0"/>
        <w:ind w:left="36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GitHub 代码仓库：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"https://github.com/1917x/ecommerce-churn-analysis"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1917x/ecommerce-churn-analysis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CD5107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项目技能展示</w:t>
      </w:r>
      <w:bookmarkStart w:id="0" w:name="_GoBack"/>
      <w:bookmarkEnd w:id="0"/>
    </w:p>
    <w:tbl>
      <w:tblPr>
        <w:tblW w:w="7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2"/>
        <w:gridCol w:w="6507"/>
      </w:tblGrid>
      <w:tr w14:paraId="7CED4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ABE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技能类别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CD7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64D0B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950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数据清洗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E8A8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Python Pandas：缺失值分析、数据类型转换、结构化缺失分层处理</w:t>
            </w:r>
          </w:p>
        </w:tc>
      </w:tr>
      <w:tr w14:paraId="60662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B41A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漏斗分析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ACC5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自定义五阶段转化漏斗构建与转化率计算</w:t>
            </w:r>
          </w:p>
        </w:tc>
      </w:tr>
      <w:tr w14:paraId="61697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89E3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多维度归因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CDDB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分组对比、流失率计算、五维度交叉下钻</w:t>
            </w:r>
          </w:p>
        </w:tc>
      </w:tr>
      <w:tr w14:paraId="40AFE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E78C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可视化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BBF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Power BI 交互仪表盘、Matplotlib 图表</w:t>
            </w:r>
          </w:p>
        </w:tc>
      </w:tr>
      <w:tr w14:paraId="35DB5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4ED3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业务建议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FFC8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从数据发现到可执行策略的完整闭环</w:t>
            </w:r>
          </w:p>
        </w:tc>
      </w:tr>
    </w:tbl>
    <w:p w14:paraId="2301D11C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464BF"/>
    <w:rsid w:val="0D2464BF"/>
    <w:rsid w:val="6AB4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2026-05-15T14:22:00Z</dcterms:created>
  <dc:creator>五五开</dc:creator>
  <cp:lastModifiedBy>五五开</cp:lastModifiedBy>
  <dcterms:modified xsi:type="dcterms:W3CDTF">2026-05-15T15:03:39Z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7AE9092D6559431C9C319C0641748B51_11</vt:lpwstr>
  </property>
  <property fmtid="{D5CDD505-2E9C-101B-9397-08002B2CF9AE}" pid="4" name="KSOTemplateDocerSaveRecord">
    <vt:lpwstr>eyJoZGlkIjoiNmQwNjMwNTYwOTU1ZTMwZDY2NGM0MmFhYzMyOWUzYjgiLCJ1c2VySWQiOiI3ODk2OTMzNzcifQ==</vt:lpwstr>
  </property>
</Properties>
</file>