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重大股东决议内容备案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2017年1</w:t>
      </w:r>
      <w:r>
        <w:rPr>
          <w:rFonts w:hint="eastAsia" w:ascii="宋体" w:hAnsi="宋体" w:eastAsia="宋体" w:cs="宋体"/>
          <w:sz w:val="30"/>
          <w:szCs w:val="30"/>
        </w:rPr>
        <w:t>1月4日股东决议内容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:</w:t>
      </w:r>
    </w:p>
    <w:p>
      <w:pPr>
        <w:numPr>
          <w:ilvl w:val="0"/>
          <w:numId w:val="1"/>
        </w:numPr>
        <w:tabs>
          <w:tab w:val="left" w:pos="7191"/>
        </w:tabs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股东会成员：包钉源（BDY），王瀛（WY）。股东基金股份分配：WY占35%,BDY占65%,股份固定，以后有新算法亦不能做更改。</w:t>
      </w:r>
    </w:p>
    <w:p>
      <w:pPr>
        <w:numPr>
          <w:ilvl w:val="0"/>
          <w:numId w:val="1"/>
        </w:numPr>
        <w:tabs>
          <w:tab w:val="left" w:pos="7191"/>
        </w:tabs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基金分红每月拿出10W作为工资发放，WY每月4.5W，BDY每月4.5W, LZC每月9K，剩下1K用于股东聚餐和LZC对外活动，因为目前没有专门的财务，为节省时间，所以1K不算细账，只算粗账。每月1K中多余的部，归LZC所有，若某月因为活动太多（已得到股东会支持的活动）而超支太多，可从分红中申报。</w:t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若月分红不足10W，那么按实际上述比例发放工资。</w:t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WY具有保底工资，每月不少于3W。比如分红只有5W时，那么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WY得3W</w:t>
      </w: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,BDY和LZC分剩下2W。不到3W时，全部发放给WY。无分红时，不发工资。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LZC负责杂务和所有对外活动，为LZC活动方便，BDY从65%的股份中转让10%股份给LZC，让其成为股东，暂时不单独备注，与BDY合在一起记录。WY的股份不变。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  <w:t>此决议从11月5日起生效。</w:t>
      </w: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2"/>
          <w:sz w:val="30"/>
          <w:szCs w:val="30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AACD"/>
    <w:multiLevelType w:val="singleLevel"/>
    <w:tmpl w:val="59FEAA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40C01"/>
    <w:rsid w:val="19DC3E71"/>
    <w:rsid w:val="3D140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2017-11-05T05:59:00Z</dcterms:created>
  <dc:creator>LanZC</dc:creator>
  <cp:lastModifiedBy>LanZC</cp:lastModifiedBy>
  <dcterms:modified xsi:type="dcterms:W3CDTF">2017-11-05T06:26:31Z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