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D7B3" w14:textId="388CE54B" w:rsidR="00593BA1" w:rsidRDefault="00D9538E" w:rsidP="00D9538E">
      <w:pPr>
        <w:pStyle w:val="Heading2"/>
        <w:jc w:val="center"/>
        <w:rPr>
          <w:noProof/>
        </w:rPr>
      </w:pPr>
      <w:r>
        <w:rPr>
          <w:noProof/>
        </w:rPr>
        <w:t>ANIRUDH.R(192011013)</w:t>
      </w:r>
    </w:p>
    <w:p w14:paraId="4A0E46A4" w14:textId="77777777" w:rsidR="00D9538E" w:rsidRDefault="00D9538E" w:rsidP="00D9538E">
      <w:pPr>
        <w:pStyle w:val="Heading2"/>
        <w:jc w:val="center"/>
        <w:rPr>
          <w:sz w:val="28"/>
          <w:szCs w:val="28"/>
        </w:rPr>
      </w:pPr>
    </w:p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649D1BC6"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C6954"/>
    <w:rsid w:val="00593BA1"/>
    <w:rsid w:val="005E5E16"/>
    <w:rsid w:val="00683EE2"/>
    <w:rsid w:val="00B33CD0"/>
    <w:rsid w:val="00BB418B"/>
    <w:rsid w:val="00BD6BBF"/>
    <w:rsid w:val="00C119C3"/>
    <w:rsid w:val="00D23B6A"/>
    <w:rsid w:val="00D9538E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5</cp:revision>
  <cp:lastPrinted>2023-04-27T15:28:00Z</cp:lastPrinted>
  <dcterms:created xsi:type="dcterms:W3CDTF">2023-05-25T11:16:00Z</dcterms:created>
  <dcterms:modified xsi:type="dcterms:W3CDTF">2023-05-26T07:09:00Z</dcterms:modified>
</cp:coreProperties>
</file>