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A37153">
      <w:pPr>
        <w:rPr>
          <w:lang w:val="en-US"/>
        </w:rPr>
      </w:pPr>
      <w:r>
        <w:rPr>
          <w:lang w:val="en-US"/>
        </w:rPr>
        <w:t>Exp-24- NFA start and ends diff</w:t>
      </w:r>
    </w:p>
    <w:p w:rsidR="00A37153" w:rsidRPr="00A37153" w:rsidRDefault="00A371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028950"/>
            <wp:effectExtent l="0" t="0" r="9525" b="0"/>
            <wp:docPr id="6813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153" w:rsidRPr="00A3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53"/>
    <w:rsid w:val="004915CE"/>
    <w:rsid w:val="00A37153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5125"/>
  <w15:chartTrackingRefBased/>
  <w15:docId w15:val="{5C8F7783-7A2D-4ED7-9AA0-C1BB2DA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2023-05-15T07:14:00Z</dcterms:created>
  <dcterms:modified xsi:type="dcterms:W3CDTF">2023-05-15T07:17:00Z</dcterms:modified>
</cp:coreProperties>
</file>