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d0d0d"/>
          <w:sz w:val="36"/>
          <w:szCs w:val="36"/>
          <w:highlight w:val="white"/>
        </w:rPr>
      </w:pPr>
      <w:r w:rsidDel="00000000" w:rsidR="00000000" w:rsidRPr="00000000">
        <w:rPr>
          <w:rFonts w:ascii="Times New Roman" w:cs="Times New Roman" w:eastAsia="Times New Roman" w:hAnsi="Times New Roman"/>
          <w:b w:val="1"/>
          <w:color w:val="0d0d0d"/>
          <w:sz w:val="36"/>
          <w:szCs w:val="36"/>
          <w:highlight w:val="white"/>
          <w:rtl w:val="0"/>
        </w:rPr>
        <w:t xml:space="preserve">Developing an automated irrigation system for sustainable agriculture in rural communities</w:t>
      </w:r>
    </w:p>
    <w:p w:rsidR="00000000" w:rsidDel="00000000" w:rsidP="00000000" w:rsidRDefault="00000000" w:rsidRPr="00000000" w14:paraId="00000002">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center"/>
        <w:rPr>
          <w:b w:val="1"/>
          <w:sz w:val="24"/>
          <w:szCs w:val="24"/>
        </w:rPr>
      </w:pPr>
      <w:r w:rsidDel="00000000" w:rsidR="00000000" w:rsidRPr="00000000">
        <w:rPr>
          <w:b w:val="1"/>
          <w:sz w:val="24"/>
          <w:szCs w:val="24"/>
          <w:rtl w:val="0"/>
        </w:rPr>
        <w:t xml:space="preserve">CAPSTONE REPORT</w:t>
      </w:r>
    </w:p>
    <w:p w:rsidR="00000000" w:rsidDel="00000000" w:rsidP="00000000" w:rsidRDefault="00000000" w:rsidRPr="00000000" w14:paraId="00000004">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after="0" w:lineRule="auto"/>
        <w:jc w:val="center"/>
        <w:rPr>
          <w:b w:val="1"/>
          <w:sz w:val="24"/>
          <w:szCs w:val="24"/>
        </w:rPr>
      </w:pPr>
      <w:r w:rsidDel="00000000" w:rsidR="00000000" w:rsidRPr="00000000">
        <w:rPr>
          <w:b w:val="1"/>
          <w:sz w:val="24"/>
          <w:szCs w:val="24"/>
          <w:rtl w:val="0"/>
        </w:rPr>
        <w:t xml:space="preserve">Submitted to</w:t>
      </w:r>
    </w:p>
    <w:p w:rsidR="00000000" w:rsidDel="00000000" w:rsidP="00000000" w:rsidRDefault="00000000" w:rsidRPr="00000000" w14:paraId="00000006">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7">
      <w:pPr>
        <w:spacing w:after="0" w:lineRule="auto"/>
        <w:jc w:val="center"/>
        <w:rPr>
          <w:b w:val="1"/>
          <w:sz w:val="24"/>
          <w:szCs w:val="24"/>
        </w:rPr>
      </w:pPr>
      <w:r w:rsidDel="00000000" w:rsidR="00000000" w:rsidRPr="00000000">
        <w:rPr>
          <w:b w:val="1"/>
          <w:sz w:val="24"/>
          <w:szCs w:val="24"/>
          <w:rtl w:val="0"/>
        </w:rPr>
        <w:t xml:space="preserve">SAVEETHA INSTITUTE OF MEDICAL AND TECHNICAL SCIENCES</w:t>
      </w:r>
    </w:p>
    <w:p w:rsidR="00000000" w:rsidDel="00000000" w:rsidP="00000000" w:rsidRDefault="00000000" w:rsidRPr="00000000" w14:paraId="00000008">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9">
      <w:pPr>
        <w:spacing w:after="0" w:lineRule="auto"/>
        <w:jc w:val="center"/>
        <w:rPr>
          <w:b w:val="1"/>
          <w:color w:val="000000"/>
          <w:sz w:val="24"/>
          <w:szCs w:val="24"/>
        </w:rPr>
      </w:pPr>
      <w:r w:rsidDel="00000000" w:rsidR="00000000" w:rsidRPr="00000000">
        <w:rPr>
          <w:b w:val="1"/>
          <w:sz w:val="24"/>
          <w:szCs w:val="24"/>
          <w:rtl w:val="0"/>
        </w:rPr>
        <w:t xml:space="preserve">In partial fulfilment for the award of the degree of</w:t>
      </w:r>
      <w:r w:rsidDel="00000000" w:rsidR="00000000" w:rsidRPr="00000000">
        <w:rPr>
          <w:rtl w:val="0"/>
        </w:rPr>
      </w:r>
    </w:p>
    <w:p w:rsidR="00000000" w:rsidDel="00000000" w:rsidP="00000000" w:rsidRDefault="00000000" w:rsidRPr="00000000" w14:paraId="0000000A">
      <w:pPr>
        <w:spacing w:after="0" w:lineRule="auto"/>
        <w:jc w:val="center"/>
        <w:rPr>
          <w:b w:val="1"/>
          <w:sz w:val="24"/>
          <w:szCs w:val="24"/>
        </w:rPr>
      </w:pPr>
      <w:r w:rsidDel="00000000" w:rsidR="00000000" w:rsidRPr="00000000">
        <w:rPr>
          <w:b w:val="1"/>
          <w:sz w:val="24"/>
          <w:szCs w:val="24"/>
          <w:rtl w:val="0"/>
        </w:rPr>
        <w:t xml:space="preserve">BACHELOR OF ENGINEERING IN COMPUTER SCIENCE AND ENGINEERING</w:t>
      </w:r>
    </w:p>
    <w:p w:rsidR="00000000" w:rsidDel="00000000" w:rsidP="00000000" w:rsidRDefault="00000000" w:rsidRPr="00000000" w14:paraId="0000000B">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C">
      <w:pPr>
        <w:spacing w:after="0" w:lineRule="auto"/>
        <w:jc w:val="center"/>
        <w:rPr>
          <w:b w:val="1"/>
          <w:i w:val="1"/>
          <w:sz w:val="24"/>
          <w:szCs w:val="24"/>
        </w:rPr>
      </w:pPr>
      <w:r w:rsidDel="00000000" w:rsidR="00000000" w:rsidRPr="00000000">
        <w:rPr>
          <w:b w:val="1"/>
          <w:i w:val="1"/>
          <w:sz w:val="24"/>
          <w:szCs w:val="24"/>
          <w:rtl w:val="0"/>
        </w:rPr>
        <w:t xml:space="preserve">By</w:t>
      </w:r>
    </w:p>
    <w:p w:rsidR="00000000" w:rsidDel="00000000" w:rsidP="00000000" w:rsidRDefault="00000000" w:rsidRPr="00000000" w14:paraId="0000000D">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4"/>
          <w:szCs w:val="24"/>
        </w:rPr>
      </w:pPr>
      <w:r w:rsidDel="00000000" w:rsidR="00000000" w:rsidRPr="00000000">
        <w:rPr>
          <w:b w:val="1"/>
          <w:sz w:val="24"/>
          <w:szCs w:val="24"/>
          <w:rtl w:val="0"/>
        </w:rPr>
        <w:t xml:space="preserve">SURIYA B</w:t>
      </w:r>
    </w:p>
    <w:p w:rsidR="00000000" w:rsidDel="00000000" w:rsidP="00000000" w:rsidRDefault="00000000" w:rsidRPr="00000000" w14:paraId="0000000F">
      <w:pPr>
        <w:spacing w:after="0" w:lineRule="auto"/>
        <w:jc w:val="center"/>
        <w:rPr>
          <w:b w:val="1"/>
          <w:sz w:val="24"/>
          <w:szCs w:val="24"/>
        </w:rPr>
      </w:pPr>
      <w:r w:rsidDel="00000000" w:rsidR="00000000" w:rsidRPr="00000000">
        <w:rPr>
          <w:b w:val="1"/>
          <w:sz w:val="24"/>
          <w:szCs w:val="24"/>
          <w:rtl w:val="0"/>
        </w:rPr>
        <w:t xml:space="preserve">192221051</w:t>
      </w:r>
    </w:p>
    <w:p w:rsidR="00000000" w:rsidDel="00000000" w:rsidP="00000000" w:rsidRDefault="00000000" w:rsidRPr="00000000" w14:paraId="00000010">
      <w:pPr>
        <w:spacing w:after="0" w:lineRule="auto"/>
        <w:jc w:val="center"/>
        <w:rPr>
          <w:b w:val="1"/>
          <w:sz w:val="24"/>
          <w:szCs w:val="24"/>
        </w:rPr>
      </w:pPr>
      <w:r w:rsidDel="00000000" w:rsidR="00000000" w:rsidRPr="00000000">
        <w:rPr>
          <w:b w:val="1"/>
          <w:sz w:val="24"/>
          <w:szCs w:val="24"/>
          <w:rtl w:val="0"/>
        </w:rPr>
        <w:t xml:space="preserve">SANJAY U</w:t>
      </w:r>
    </w:p>
    <w:p w:rsidR="00000000" w:rsidDel="00000000" w:rsidP="00000000" w:rsidRDefault="00000000" w:rsidRPr="00000000" w14:paraId="00000011">
      <w:pPr>
        <w:spacing w:after="0" w:lineRule="auto"/>
        <w:jc w:val="center"/>
        <w:rPr>
          <w:b w:val="1"/>
          <w:sz w:val="24"/>
          <w:szCs w:val="24"/>
        </w:rPr>
      </w:pPr>
      <w:r w:rsidDel="00000000" w:rsidR="00000000" w:rsidRPr="00000000">
        <w:rPr>
          <w:b w:val="1"/>
          <w:sz w:val="24"/>
          <w:szCs w:val="24"/>
          <w:rtl w:val="0"/>
        </w:rPr>
        <w:t xml:space="preserve">192221053</w:t>
      </w:r>
    </w:p>
    <w:p w:rsidR="00000000" w:rsidDel="00000000" w:rsidP="00000000" w:rsidRDefault="00000000" w:rsidRPr="00000000" w14:paraId="00000012">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3">
      <w:pPr>
        <w:spacing w:after="0" w:lineRule="auto"/>
        <w:jc w:val="center"/>
        <w:rPr>
          <w:b w:val="1"/>
          <w:color w:val="000000"/>
          <w:sz w:val="24"/>
          <w:szCs w:val="24"/>
        </w:rPr>
      </w:pPr>
      <w:r w:rsidDel="00000000" w:rsidR="00000000" w:rsidRPr="00000000">
        <w:rPr>
          <w:b w:val="1"/>
          <w:sz w:val="24"/>
          <w:szCs w:val="24"/>
          <w:rtl w:val="0"/>
        </w:rPr>
        <w:t xml:space="preserve">Supervisor</w:t>
      </w:r>
      <w:r w:rsidDel="00000000" w:rsidR="00000000" w:rsidRPr="00000000">
        <w:rPr>
          <w:rtl w:val="0"/>
        </w:rPr>
      </w:r>
    </w:p>
    <w:p w:rsidR="00000000" w:rsidDel="00000000" w:rsidP="00000000" w:rsidRDefault="00000000" w:rsidRPr="00000000" w14:paraId="00000014">
      <w:pPr>
        <w:spacing w:after="0" w:lineRule="auto"/>
        <w:jc w:val="center"/>
        <w:rPr>
          <w:b w:val="1"/>
          <w:sz w:val="24"/>
          <w:szCs w:val="24"/>
        </w:rPr>
      </w:pPr>
      <w:r w:rsidDel="00000000" w:rsidR="00000000" w:rsidRPr="00000000">
        <w:rPr>
          <w:b w:val="1"/>
          <w:sz w:val="24"/>
          <w:szCs w:val="24"/>
          <w:rtl w:val="0"/>
        </w:rPr>
        <w:t xml:space="preserve">Dr.Gnanajeyaraman</w:t>
      </w:r>
    </w:p>
    <w:p w:rsidR="00000000" w:rsidDel="00000000" w:rsidP="00000000" w:rsidRDefault="00000000" w:rsidRPr="00000000" w14:paraId="00000015">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Rule="auto"/>
        <w:jc w:val="center"/>
        <w:rPr>
          <w:b w:val="1"/>
          <w:sz w:val="24"/>
          <w:szCs w:val="24"/>
        </w:rPr>
      </w:pPr>
      <w:r w:rsidDel="00000000" w:rsidR="00000000" w:rsidRPr="00000000">
        <w:rPr>
          <w:b w:val="1"/>
          <w:sz w:val="24"/>
          <w:szCs w:val="24"/>
          <w:rtl w:val="0"/>
        </w:rPr>
        <w:t xml:space="preserve">SAVEETHA SCHOOL OF ENGINEERING</w:t>
      </w:r>
      <w:r w:rsidDel="00000000" w:rsidR="00000000" w:rsidRPr="00000000">
        <w:drawing>
          <wp:anchor allowOverlap="1" behindDoc="0" distB="0" distT="0" distL="0" distR="0" hidden="0" layoutInCell="1" locked="0" relativeHeight="0" simplePos="0">
            <wp:simplePos x="0" y="0"/>
            <wp:positionH relativeFrom="column">
              <wp:posOffset>2296795</wp:posOffset>
            </wp:positionH>
            <wp:positionV relativeFrom="paragraph">
              <wp:posOffset>124460</wp:posOffset>
            </wp:positionV>
            <wp:extent cx="1390015" cy="127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0015" cy="1271270"/>
                    </a:xfrm>
                    <a:prstGeom prst="rect"/>
                    <a:ln/>
                  </pic:spPr>
                </pic:pic>
              </a:graphicData>
            </a:graphic>
          </wp:anchor>
        </w:drawing>
      </w:r>
    </w:p>
    <w:p w:rsidR="00000000" w:rsidDel="00000000" w:rsidP="00000000" w:rsidRDefault="00000000" w:rsidRPr="00000000" w14:paraId="00000018">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ind w:right="598"/>
        <w:jc w:val="center"/>
        <w:rPr>
          <w:b w:val="1"/>
          <w:sz w:val="24"/>
          <w:szCs w:val="24"/>
        </w:rPr>
      </w:pPr>
      <w:r w:rsidDel="00000000" w:rsidR="00000000" w:rsidRPr="00000000">
        <w:rPr>
          <w:b w:val="1"/>
          <w:sz w:val="24"/>
          <w:szCs w:val="24"/>
          <w:rtl w:val="0"/>
        </w:rPr>
        <w:t xml:space="preserve">SAVEETHA INSTITUTE OF MEDICAL AND TECHNICAL SCIENCES, CHENNAI – 602 105</w:t>
      </w:r>
    </w:p>
    <w:p w:rsidR="00000000" w:rsidDel="00000000" w:rsidP="00000000" w:rsidRDefault="00000000" w:rsidRPr="00000000" w14:paraId="0000001B">
      <w:pPr>
        <w:spacing w:line="360" w:lineRule="auto"/>
        <w:ind w:right="598"/>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ind w:right="598"/>
        <w:jc w:val="center"/>
        <w:rPr>
          <w:b w:val="1"/>
          <w:sz w:val="24"/>
          <w:szCs w:val="24"/>
        </w:rPr>
        <w:sectPr>
          <w:pgSz w:h="16840" w:w="11910" w:orient="portrait"/>
          <w:pgMar w:bottom="280" w:top="1360" w:left="1260" w:right="880" w:header="720" w:footer="720"/>
          <w:pgNumType w:start="1"/>
        </w:sectPr>
      </w:pPr>
      <w:r w:rsidDel="00000000" w:rsidR="00000000" w:rsidRPr="00000000">
        <w:rPr>
          <w:b w:val="1"/>
          <w:sz w:val="24"/>
          <w:szCs w:val="24"/>
          <w:rtl w:val="0"/>
        </w:rPr>
        <w:t xml:space="preserve">MARCH 2024</w:t>
      </w:r>
    </w:p>
    <w:p w:rsidR="00000000" w:rsidDel="00000000" w:rsidP="00000000" w:rsidRDefault="00000000" w:rsidRPr="00000000" w14:paraId="0000001D">
      <w:pPr>
        <w:pStyle w:val="Title"/>
        <w:ind w:firstLine="219"/>
        <w:rPr/>
      </w:pPr>
      <w:r w:rsidDel="00000000" w:rsidR="00000000" w:rsidRPr="00000000">
        <w:rPr>
          <w:rtl w:val="0"/>
        </w:rPr>
        <w:t xml:space="preserve">INDEX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513.0" w:type="dxa"/>
        <w:jc w:val="left"/>
        <w:tblInd w:w="1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7343"/>
        <w:gridCol w:w="1255"/>
        <w:tblGridChange w:id="0">
          <w:tblGrid>
            <w:gridCol w:w="915"/>
            <w:gridCol w:w="7343"/>
            <w:gridCol w:w="1255"/>
          </w:tblGrid>
        </w:tblGridChange>
      </w:tblGrid>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57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57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8" w:right="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8" w:right="6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PAGE.NO</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5"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5"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5"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r>
      <w:tr>
        <w:trPr>
          <w:cantSplit w:val="0"/>
          <w:trHeight w:val="8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5"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5" w:right="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and tools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77" w:right="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77" w:right="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w:t>
            </w:r>
          </w:p>
        </w:tc>
      </w:tr>
      <w:tr>
        <w:trPr>
          <w:cantSplit w:val="0"/>
          <w:trHeight w:val="8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77" w:right="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7" w:right="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77" w:right="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w:t>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5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77" w:right="6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04F">
      <w:pPr>
        <w:jc w:val="center"/>
        <w:rPr>
          <w:rFonts w:ascii="Times New Roman" w:cs="Times New Roman" w:eastAsia="Times New Roman" w:hAnsi="Times New Roman"/>
          <w:b w:val="1"/>
          <w:color w:val="0d0d0d"/>
          <w:sz w:val="36"/>
          <w:szCs w:val="36"/>
          <w:highlight w:val="white"/>
        </w:rPr>
      </w:pP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b w:val="1"/>
          <w:color w:val="0d0d0d"/>
          <w:sz w:val="28"/>
          <w:szCs w:val="28"/>
          <w:highlight w:val="white"/>
        </w:rPr>
      </w:pPr>
      <w:r w:rsidDel="00000000" w:rsidR="00000000" w:rsidRPr="00000000">
        <w:rPr>
          <w:rtl w:val="0"/>
        </w:rPr>
      </w:r>
    </w:p>
    <w:p w:rsidR="00000000" w:rsidDel="00000000" w:rsidP="00000000" w:rsidRDefault="00000000" w:rsidRPr="00000000" w14:paraId="00000052">
      <w:pPr>
        <w:rPr>
          <w:rFonts w:ascii="Quattrocento Sans" w:cs="Quattrocento Sans" w:eastAsia="Quattrocento Sans" w:hAnsi="Quattrocento Sans"/>
          <w:b w:val="1"/>
          <w:color w:val="0d0d0d"/>
          <w:sz w:val="28"/>
          <w:szCs w:val="28"/>
          <w:highlight w:val="white"/>
        </w:rPr>
      </w:pPr>
      <w:r w:rsidDel="00000000" w:rsidR="00000000" w:rsidRPr="00000000">
        <w:rPr>
          <w:rtl w:val="0"/>
        </w:rPr>
      </w:r>
    </w:p>
    <w:p w:rsidR="00000000" w:rsidDel="00000000" w:rsidP="00000000" w:rsidRDefault="00000000" w:rsidRPr="00000000" w14:paraId="00000053">
      <w:pPr>
        <w:rPr>
          <w:rFonts w:ascii="Quattrocento Sans" w:cs="Quattrocento Sans" w:eastAsia="Quattrocento Sans" w:hAnsi="Quattrocento Sans"/>
          <w:b w:val="1"/>
          <w:color w:val="0d0d0d"/>
          <w:sz w:val="28"/>
          <w:szCs w:val="28"/>
          <w:highlight w:val="white"/>
        </w:rPr>
      </w:pPr>
      <w:r w:rsidDel="00000000" w:rsidR="00000000" w:rsidRPr="00000000">
        <w:rPr>
          <w:rFonts w:ascii="Quattrocento Sans" w:cs="Quattrocento Sans" w:eastAsia="Quattrocento Sans" w:hAnsi="Quattrocento Sans"/>
          <w:b w:val="1"/>
          <w:color w:val="0d0d0d"/>
          <w:sz w:val="28"/>
          <w:szCs w:val="28"/>
          <w:highlight w:val="white"/>
          <w:rtl w:val="0"/>
        </w:rPr>
        <w:t xml:space="preserve">AIM:</w:t>
      </w:r>
    </w:p>
    <w:p w:rsidR="00000000" w:rsidDel="00000000" w:rsidP="00000000" w:rsidRDefault="00000000" w:rsidRPr="00000000" w14:paraId="00000054">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Creating an automated irrigation system for rural communities enhances agricultural sustainability by optimizing water usage and crop yield. Utilizing sensor technology, the system monitors soil moisture levels, weather conditions, and plant needs, triggering irrigation only when necessary. This efficient approach conserves water resources, minimizes manual labor, and fosters increased productivity, supporting the livelihoods of rural farmers while promoting environmental stewardship.</w:t>
      </w:r>
    </w:p>
    <w:p w:rsidR="00000000" w:rsidDel="00000000" w:rsidP="00000000" w:rsidRDefault="00000000" w:rsidRPr="00000000" w14:paraId="00000055">
      <w:pPr>
        <w:rPr>
          <w:rFonts w:ascii="Times New Roman" w:cs="Times New Roman" w:eastAsia="Times New Roman" w:hAnsi="Times New Roman"/>
          <w:b w:val="1"/>
          <w:color w:val="0d0d0d"/>
          <w:sz w:val="36"/>
          <w:szCs w:val="36"/>
          <w:highlight w:val="white"/>
        </w:rPr>
      </w:pPr>
      <w:r w:rsidDel="00000000" w:rsidR="00000000" w:rsidRPr="00000000">
        <w:rPr>
          <w:rFonts w:ascii="Times New Roman" w:cs="Times New Roman" w:eastAsia="Times New Roman" w:hAnsi="Times New Roman"/>
          <w:b w:val="1"/>
          <w:color w:val="0d0d0d"/>
          <w:sz w:val="36"/>
          <w:szCs w:val="36"/>
          <w:highlight w:val="white"/>
          <w:rtl w:val="0"/>
        </w:rPr>
        <w:t xml:space="preserve">ABSTRACT:</w:t>
      </w:r>
    </w:p>
    <w:p w:rsidR="00000000" w:rsidDel="00000000" w:rsidP="00000000" w:rsidRDefault="00000000" w:rsidRPr="00000000" w14:paraId="00000056">
      <w:pPr>
        <w:keepNext w:val="0"/>
        <w:keepLines w:val="0"/>
        <w:pageBreakBefore w:val="0"/>
        <w:widowControl w:val="1"/>
        <w:pBdr>
          <w:top w:color="e3e3e3" w:space="0" w:sz="4" w:val="single"/>
          <w:left w:color="e3e3e3" w:space="2" w:sz="4" w:val="single"/>
          <w:bottom w:color="e3e3e3" w:space="0" w:sz="4" w:val="single"/>
          <w:right w:color="e3e3e3" w:space="0" w:sz="4" w:val="single"/>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This study presents the design and implementation of an automated irrigation system tailored for sustainable agriculture in rural communities. With the pressing need to optimize water usage and enhance agricultural productivity, particularly in regions with limited access to resources, the proposed system aims to address these challenges by integrating technology into irrigation practices.</w:t>
      </w:r>
    </w:p>
    <w:p w:rsidR="00000000" w:rsidDel="00000000" w:rsidP="00000000" w:rsidRDefault="00000000" w:rsidRPr="00000000" w14:paraId="00000057">
      <w:pPr>
        <w:keepNext w:val="0"/>
        <w:keepLines w:val="0"/>
        <w:pageBreakBefore w:val="0"/>
        <w:widowControl w:val="1"/>
        <w:pBdr>
          <w:top w:color="e3e3e3" w:space="0" w:sz="4" w:val="single"/>
          <w:left w:color="e3e3e3" w:space="2" w:sz="4" w:val="single"/>
          <w:bottom w:color="e3e3e3" w:space="0" w:sz="4" w:val="single"/>
          <w:right w:color="e3e3e3" w:space="0" w:sz="4" w:val="single"/>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The automated irrigation system employs sensor technology to monitor soil moisture levels, weather conditions, and plant water requirements in real-time. By utilizing data-driven decision-making algorithms, the system intelligently controls water delivery to crops, ensuring precise and efficient irrigation while minimizing water wastage. Additionally, remote monitoring and control capabilities enable farmers to manage irrigation operations conveniently through a user-friendly interface accessible via mobile devices or computers.</w:t>
      </w:r>
    </w:p>
    <w:p w:rsidR="00000000" w:rsidDel="00000000" w:rsidP="00000000" w:rsidRDefault="00000000" w:rsidRPr="00000000" w14:paraId="0000005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 rural communities worldwide, agriculture stands as both the lifeblood of sustenance and the cornerstone of economies. Yet, the challenges confronting farmers are daunting, from unpredictable weather patterns to limited access to water resources. In the pursuit of sustainable agricultural practices, there arises a pressing need for innovative solutions that not only enhance productivity but also conserve precious resources.</w:t>
      </w:r>
    </w:p>
    <w:p w:rsidR="00000000" w:rsidDel="00000000" w:rsidP="00000000" w:rsidRDefault="00000000" w:rsidRPr="00000000" w14:paraId="0000005B">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Enter the Automated Irrigation System (AIS), a technological marvel poised to revolutionize traditional farming practices. By seamlessly integrating sensors, actuators, and advanced algorithms, AIS offers a transformative solution to the age-old problem of efficient water management in agriculture.</w:t>
      </w:r>
    </w:p>
    <w:p w:rsidR="00000000" w:rsidDel="00000000" w:rsidP="00000000" w:rsidRDefault="00000000" w:rsidRPr="00000000" w14:paraId="0000005C">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Sustainability lies at the heart of modern agricultural endeavours. With burgeoning populations and dwindling natural resources, the imperative to produce more with less has never been more pressing. Rural communities, often reliant on traditional farming methods, face the brunt of these challenges. In such contexts, the adoption of sustainable practices becomes not just a choice but a necessity for survival.</w:t>
      </w:r>
    </w:p>
    <w:p w:rsidR="00000000" w:rsidDel="00000000" w:rsidP="00000000" w:rsidRDefault="00000000" w:rsidRPr="00000000" w14:paraId="0000005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Rural agricultural communities grapple with a myriad of challenges</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chief among them being water scarcity and inefficient irrigation practices. Conventional irrigation methods, reliant on manual labour and rudimentary techniques, not only strain already limited resources but also lead to suboptimal yields and environmental</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degradation. Moreover, the unpredictability of weather patterns exacerbates these challenges, leaving farmers vulnerable</w:t>
      </w:r>
      <w:r w:rsidDel="00000000" w:rsidR="00000000" w:rsidRPr="00000000">
        <w:rPr>
          <w:rFonts w:ascii="Quattrocento Sans" w:cs="Quattrocento Sans" w:eastAsia="Quattrocento Sans" w:hAnsi="Quattrocento San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 crop failures and economic uncertainty.</w:t>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5F">
      <w:pPr>
        <w:jc w:val="both"/>
        <w:rPr/>
      </w:pPr>
      <w:r w:rsidDel="00000000" w:rsidR="00000000" w:rsidRPr="00000000">
        <w:rPr>
          <w:rFonts w:ascii="Times New Roman" w:cs="Times New Roman" w:eastAsia="Times New Roman" w:hAnsi="Times New Roman"/>
          <w:sz w:val="24"/>
          <w:szCs w:val="24"/>
          <w:rtl w:val="0"/>
        </w:rPr>
        <w:t xml:space="preserve">Develop an automated irrigation system to enhance agricultural practices in rural communities, ensuring sustainable water usage and maximizing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crop yield.</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Goals: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Increase agricultural productivity: Implement an irrigation system that optimizes water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distribution to crops, leading to improved yield and quality of produce.</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Water conservation: Develop a system that efficiently manages water resources, reducing wastage and ensuring sustainable usage.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Cost-effectiveness: Create an affordable solution that minimizes operational costs for farmers, enhancing their economic viability.</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Ease of use: Design a user-friendly interface and intuitive controls to enable farmers, including those with limited technical expertise, to operate the system effectively.</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Adaptability: Develop a system capable of adjusting irrigation schedules based on real-time weather data and crop requirements, maximizing efficiency and adaptability to changing environmental conditions.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Longevity and reliability: Ensure the durability and reliability of the system components to withstand harsh rural environments and minimize maintenance requirements.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Community empowerment: Facilitate knowledge transfer and training programs to empower local communities in understanding and utilizing the automated irrigation system for sustained agricultural development.</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Environmental sustainability: Promote environmentally friendly practices by reducing water usage, minimizing chemical runoff, and fostering ecosystem health within rural agricultural areas.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automated irrigation system for sustainable agriculture in rural communities requires a combination of hardware and software technologies. Here's a list of some essential technologies and tools commonly used for this purpose:</w:t>
      </w:r>
    </w:p>
    <w:p w:rsidR="00000000" w:rsidDel="00000000" w:rsidP="00000000" w:rsidRDefault="00000000" w:rsidRPr="00000000" w14:paraId="0000006B">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color w:val="0d0d0d"/>
          <w:sz w:val="36"/>
          <w:szCs w:val="36"/>
          <w:highlight w:val="white"/>
          <w:rtl w:val="0"/>
        </w:rPr>
        <w:t xml:space="preserve">Technologies and tools used:</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Soil Moisture Sensors: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sensors measure the moisture content in the soil and provide data for determining when irrigation is needed. Examples include capacitance-based sensors, densitometers, and gypsum block sensors.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Weather Stations: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Weather data such as temperature, humidity, wind speed, and rainfall are crucial for optimizing irrigation schedules. Weather stations collect this data and transmit it to the irrigation system.</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Microcontrollers: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Microcontrollers such as Adriano and Raspberry Pi are commonly used for controlling and automating irrigation systems. They process data from sensors and weather stations and control actuators such as valves and pumps.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Actuators: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Actuators control the flow of water in the irrigation system. Solenoid valves are commonly used to open and close water lines, while pumps are used to distribute water from a source to the fields.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Communication Protocols: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Communication protocols like Wi-Fi, Bluetooth, or Lora WAN are used for connecting sensors, actuators, and controllers in the irrigation system. They enable remote monitoring and control of the system.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Mobile Applications: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User-friendly interfaces allow farmers to monitor and control the irrigation system from their smartphones or computers. These interfaces provide real-time data on soil moisture, weather conditions, and irrigation schedules.</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Data Analytics and Machine Learning: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Advanced analytics and machine learning algorithms can optimize irrigation schedules based on historical data, weather forecasts, and crop requirements. These technologies help improve water efficiency and crop yields.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Solar Power Systems: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 rural areas with limited access to electricity, solar power systems can provide sustainable energy for running the automated irrigation system. Solar panels generate electricity to power sensors, controllers, and actuators.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Drip Irrigation and Sprinkler Systems: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irrigation system itself, whether it's drip irrigation or sprinklers, plays a crucial role in water conservation and efficiency. Drip irrigation delivers water directly to the roots of plants, reducing water wastage, while sprinkler systems distribute water evenly over the fields.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Remote Monitoring and Control Systems: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Remote monitoring systems allow farmers to monitor the performance of the irrigation system and receive alerts in case of any issues. Remote control capabilities enable adjustments to irrigation schedules from anywhere, improving efficiency and responsiveness.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&lt;stdbool.h&gt;</w:t>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pin numbers for sensors and actuators</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SOIL_MOISTURE_PIN A0</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PUMP_PIN 10</w:t>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threshold values</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SOIL_MOISTURE_THRESHOLD 500 // Adjust this according to soil moisture sensor reading</w:t>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Function to read soil moisture level</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readSoilMoisture() {</w:t>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analogRead(SOIL_MOISTURE_PIN);</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Function to control the pump</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controlPump(bool on) {</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(on) {</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digitalWrite(PUMP_PIN, HIGH);</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printf("Pump turned on\n");</w:t>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w:t>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digitalWrite(PUMP_PIN, LOW);</w:t>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printf("Pump turned off\n");</w:t>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Initialize pins</w:t>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pinMode(SOIL_MOISTURE_PIN, INPUT);</w:t>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pinMode(PUMP_PIN, OUTPUT);</w:t>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Main loop</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 (1) {</w:t>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Read soil moisture level</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moisture = readSoilMoisture();</w:t>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Check if soil moisture is below threshold</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(moisture &lt; SOIL_MOISTURE_THRESHOLD) {</w:t>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Turn on pump</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controlPump(true);</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w:t>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Turn off pump</w:t>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controlPump(false);</w:t>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Delay before next reading</w:t>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delay(1000); // Adjust delay as needed</w:t>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automated irrigation system for sustainable agriculture in rural communities can yield numerous benefits. By precisely delivering water to crops based on their specific needs, an automated irrigation system can reduce water wastage, which is crucial in regions where water resources are limited. Ensuring that crops receive the right amount of water at the right time can lead to healthier plants and higher yields. This is particularly important for smallholder farmers in rural areas who rely on agriculture for their livelihoods.Automated systems can optimize resource use by integrating sensors to monitor soil moisture levels, weather conditions, and crop water requirements. This data-driven approach minimizes the use of fertilizers and pesticides, promoting sustainable farming practices. Many rural communities face challenges related to labour availability and affordability. Automating irrigation tasks reduces the need for manual labour, allowing farmers to allocate their time and resources more efficiently. Automated irrigation systems can be scaled to meet the needs of different farm sizes and types of crops, making them adaptable to diverse agricultural landscapes and community needs. With remote monitoring capabilities, farmers can track and manage their irrigation systems from anywhere, using mobile phones or computers. This feature is particularly beneficial in rural areas with limited access to infrastructure and technical expertise.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automated irrigation system for sustainable agriculture in rural communities holds significant promise for addressing various challenges and enhancing agricultural productivity. Through this initiative, communities can achieve more efficient water usage, reduce manual labor, and improve crop yields. Additionally, by integrating technology into agriculture, we pave the way for greater resilience in the face of climate change and water scarcity. The implementation of such systems not only fosters economic growth but also promotes environmental stewardship by minimizing water waste and reducing the reliance on harmful agricultural practices. Overall, investing in automated irrigation systems represents a pivotal step towards ensuring food security, economic empowerment, and environmental sustainability in rural communities.</w:t>
      </w:r>
    </w:p>
    <w:p w:rsidR="00000000" w:rsidDel="00000000" w:rsidP="00000000" w:rsidRDefault="00000000" w:rsidRPr="00000000" w14:paraId="000000B0">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work:</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automated irrigation system for sustainable agriculture in rural communities offers a plethora of opportunities for future work. Here are some potential areas to explore: Invest in research to improve sensor technology for better monitoring of soil moisture, temperature, humidity, and weather conditions. Developing affordable yet accurate sensors can significantly enhance the efficiency of automated irrigation systems. Integrate advanced data analytics and AI algorithms to analyse sensor data in real-time. This can help in predicting irrigation requirements more accurately, optimizing water usage, and detecting anomalies or issues promptly. Develop remote monitoring and control systems that allow farmers to manage their irrigation systems from anywhere using mobile devices or computers. This feature can enhance convenience and accessibility, especially for farmers in remote areas. Focus on making irrigation systems more energy-efficient by exploring renewable energy sources such as solar or wind power. Developing energy-efficient pumps and controllers can also reduce the overall carbon footprint of the system.Explore innovative water conservation techniques such as drip irrigation, micro-sprinklers, or precision irrigation. These methods can minimize water wastage and ensure that crops receive the right amount of water at the right time.</w:t>
      </w:r>
    </w:p>
    <w:p w:rsidR="00000000" w:rsidDel="00000000" w:rsidP="00000000" w:rsidRDefault="00000000" w:rsidRPr="00000000" w14:paraId="000000B2">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w:t>
      </w:r>
    </w:p>
    <w:p w:rsidR="00000000" w:rsidDel="00000000" w:rsidP="00000000" w:rsidRDefault="00000000" w:rsidRPr="00000000" w14:paraId="000000B3">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FAO. </w:t>
      </w:r>
      <w:r w:rsidDel="00000000" w:rsidR="00000000" w:rsidRPr="00000000">
        <w:rPr>
          <w:rFonts w:ascii="Arial" w:cs="Arial" w:eastAsia="Arial" w:hAnsi="Arial"/>
          <w:i w:val="1"/>
          <w:color w:val="222222"/>
          <w:sz w:val="20"/>
          <w:szCs w:val="20"/>
          <w:rtl w:val="0"/>
        </w:rPr>
        <w:t xml:space="preserve">The State of the World’s Land and Water Resources for Food and Agriculture-Managing Systems at Risk</w:t>
      </w:r>
      <w:r w:rsidDel="00000000" w:rsidR="00000000" w:rsidRPr="00000000">
        <w:rPr>
          <w:rFonts w:ascii="Arial" w:cs="Arial" w:eastAsia="Arial" w:hAnsi="Arial"/>
          <w:color w:val="222222"/>
          <w:sz w:val="20"/>
          <w:szCs w:val="20"/>
          <w:rtl w:val="0"/>
        </w:rPr>
        <w:t xml:space="preserve">; Food and Agriculture Organization of the United Nations: Rome, Italy, 2011. [</w:t>
      </w:r>
      <w:hyperlink r:id="rId7">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4">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Alexandratos, N.; Bruinsma, J. </w:t>
      </w:r>
      <w:r w:rsidDel="00000000" w:rsidR="00000000" w:rsidRPr="00000000">
        <w:rPr>
          <w:rFonts w:ascii="Arial" w:cs="Arial" w:eastAsia="Arial" w:hAnsi="Arial"/>
          <w:i w:val="1"/>
          <w:color w:val="222222"/>
          <w:sz w:val="20"/>
          <w:szCs w:val="20"/>
          <w:rtl w:val="0"/>
        </w:rPr>
        <w:t xml:space="preserve">World Agriculture towards 2030/2050: The 2012 Revision</w:t>
      </w:r>
      <w:r w:rsidDel="00000000" w:rsidR="00000000" w:rsidRPr="00000000">
        <w:rPr>
          <w:rFonts w:ascii="Arial" w:cs="Arial" w:eastAsia="Arial" w:hAnsi="Arial"/>
          <w:color w:val="222222"/>
          <w:sz w:val="20"/>
          <w:szCs w:val="20"/>
          <w:rtl w:val="0"/>
        </w:rPr>
        <w:t xml:space="preserve">; Food and Agriculture Organization of the United Nations: Rome, Italy, 2012. [</w:t>
      </w:r>
      <w:hyperlink r:id="rId8">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5">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FAO. </w:t>
      </w:r>
      <w:r w:rsidDel="00000000" w:rsidR="00000000" w:rsidRPr="00000000">
        <w:rPr>
          <w:rFonts w:ascii="Arial" w:cs="Arial" w:eastAsia="Arial" w:hAnsi="Arial"/>
          <w:i w:val="1"/>
          <w:color w:val="222222"/>
          <w:sz w:val="20"/>
          <w:szCs w:val="20"/>
          <w:rtl w:val="0"/>
        </w:rPr>
        <w:t xml:space="preserve">The State of the World’s Land and Water Resources for Food and Agriculture–Systems at Breaking Point (SOLAW 2021)</w:t>
      </w:r>
      <w:r w:rsidDel="00000000" w:rsidR="00000000" w:rsidRPr="00000000">
        <w:rPr>
          <w:rFonts w:ascii="Arial" w:cs="Arial" w:eastAsia="Arial" w:hAnsi="Arial"/>
          <w:color w:val="222222"/>
          <w:sz w:val="20"/>
          <w:szCs w:val="20"/>
          <w:rtl w:val="0"/>
        </w:rPr>
        <w:t xml:space="preserve">; Food and Agriculture Organization of the United Nations: Rome, Italy, 2021. [</w:t>
      </w:r>
      <w:hyperlink r:id="rId9">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6">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FAO. The Future of Food and Agriculture. In </w:t>
      </w:r>
      <w:r w:rsidDel="00000000" w:rsidR="00000000" w:rsidRPr="00000000">
        <w:rPr>
          <w:rFonts w:ascii="Arial" w:cs="Arial" w:eastAsia="Arial" w:hAnsi="Arial"/>
          <w:i w:val="1"/>
          <w:color w:val="222222"/>
          <w:sz w:val="20"/>
          <w:szCs w:val="20"/>
          <w:rtl w:val="0"/>
        </w:rPr>
        <w:t xml:space="preserve">Food Agric</w:t>
      </w:r>
      <w:r w:rsidDel="00000000" w:rsidR="00000000" w:rsidRPr="00000000">
        <w:rPr>
          <w:rFonts w:ascii="Arial" w:cs="Arial" w:eastAsia="Arial" w:hAnsi="Arial"/>
          <w:color w:val="222222"/>
          <w:sz w:val="20"/>
          <w:szCs w:val="20"/>
          <w:rtl w:val="0"/>
        </w:rPr>
        <w:t xml:space="preserve">; Food and Agriculture Organization of the United Nations: Rome, Italy, 2017; pp. 1–180. [</w:t>
      </w:r>
      <w:hyperlink r:id="rId10">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7">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FAO. </w:t>
      </w:r>
      <w:r w:rsidDel="00000000" w:rsidR="00000000" w:rsidRPr="00000000">
        <w:rPr>
          <w:rFonts w:ascii="Arial" w:cs="Arial" w:eastAsia="Arial" w:hAnsi="Arial"/>
          <w:i w:val="1"/>
          <w:color w:val="222222"/>
          <w:sz w:val="20"/>
          <w:szCs w:val="20"/>
          <w:rtl w:val="0"/>
        </w:rPr>
        <w:t xml:space="preserve">The State of Food and Agriculture 2017. Leveraging Food Systems for Inclusive Rural Transformation</w:t>
      </w:r>
      <w:r w:rsidDel="00000000" w:rsidR="00000000" w:rsidRPr="00000000">
        <w:rPr>
          <w:rFonts w:ascii="Arial" w:cs="Arial" w:eastAsia="Arial" w:hAnsi="Arial"/>
          <w:color w:val="222222"/>
          <w:sz w:val="20"/>
          <w:szCs w:val="20"/>
          <w:rtl w:val="0"/>
        </w:rPr>
        <w:t xml:space="preserve">; Food and Agriculture Organization of the United Nations: Rome, Italy, 2017. [</w:t>
      </w:r>
      <w:hyperlink r:id="rId11">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8">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Masson-Delmotte, V.; Zhai, P.; Pörtner, H.-O.; Roberts, D.; Skea, J.; Calvo, E.; Priyadarshi, B.; Shukla, R.; Slade, R.; Connors, S.; et al. </w:t>
      </w:r>
      <w:r w:rsidDel="00000000" w:rsidR="00000000" w:rsidRPr="00000000">
        <w:rPr>
          <w:rFonts w:ascii="Arial" w:cs="Arial" w:eastAsia="Arial" w:hAnsi="Arial"/>
          <w:i w:val="1"/>
          <w:color w:val="222222"/>
          <w:sz w:val="20"/>
          <w:szCs w:val="20"/>
          <w:rtl w:val="0"/>
        </w:rPr>
        <w:t xml:space="preserve">El Cambio Climático y La Tierra</w:t>
      </w:r>
      <w:r w:rsidDel="00000000" w:rsidR="00000000" w:rsidRPr="00000000">
        <w:rPr>
          <w:rFonts w:ascii="Arial" w:cs="Arial" w:eastAsia="Arial" w:hAnsi="Arial"/>
          <w:color w:val="222222"/>
          <w:sz w:val="20"/>
          <w:szCs w:val="20"/>
          <w:rtl w:val="0"/>
        </w:rPr>
        <w:t xml:space="preserve">; Intergovernmental Panel on Climate Change: Geneva, Switzerland, 2020. [</w:t>
      </w:r>
      <w:hyperlink r:id="rId12">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9">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CEPAL; FAO. </w:t>
      </w:r>
      <w:r w:rsidDel="00000000" w:rsidR="00000000" w:rsidRPr="00000000">
        <w:rPr>
          <w:rFonts w:ascii="Arial" w:cs="Arial" w:eastAsia="Arial" w:hAnsi="Arial"/>
          <w:i w:val="1"/>
          <w:color w:val="222222"/>
          <w:sz w:val="20"/>
          <w:szCs w:val="20"/>
          <w:rtl w:val="0"/>
        </w:rPr>
        <w:t xml:space="preserve">IICA Perspectivas de La Agricultura y Del Desarrollo Rural En Las Américas: Una Mirada Hacia América Latina y El Caribe 2021–2022</w:t>
      </w:r>
      <w:r w:rsidDel="00000000" w:rsidR="00000000" w:rsidRPr="00000000">
        <w:rPr>
          <w:rFonts w:ascii="Arial" w:cs="Arial" w:eastAsia="Arial" w:hAnsi="Arial"/>
          <w:color w:val="222222"/>
          <w:sz w:val="20"/>
          <w:szCs w:val="20"/>
          <w:rtl w:val="0"/>
        </w:rPr>
        <w:t xml:space="preserve">; Comisión Económica para América Latina y el Caribe: Santiago de Chile, Chile, 2021; ISBN 978-92-9248-089-9. [</w:t>
      </w:r>
      <w:hyperlink r:id="rId13">
        <w:r w:rsidDel="00000000" w:rsidR="00000000" w:rsidRPr="00000000">
          <w:rPr>
            <w:rFonts w:ascii="Arial" w:cs="Arial" w:eastAsia="Arial" w:hAnsi="Arial"/>
            <w:b w:val="1"/>
            <w:color w:val="4f5671"/>
            <w:sz w:val="20"/>
            <w:szCs w:val="20"/>
            <w:u w:val="single"/>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A">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Said Mohamed, E.; Belal, A.A.; Kotb Abd-Elmabod, S.; El-Shirbeny, M.A.; Gad, A.; Zahran, M.B. Smart Farming for Improving Agricultural Management. </w:t>
      </w:r>
      <w:r w:rsidDel="00000000" w:rsidR="00000000" w:rsidRPr="00000000">
        <w:rPr>
          <w:rFonts w:ascii="Arial" w:cs="Arial" w:eastAsia="Arial" w:hAnsi="Arial"/>
          <w:i w:val="1"/>
          <w:color w:val="222222"/>
          <w:sz w:val="20"/>
          <w:szCs w:val="20"/>
          <w:rtl w:val="0"/>
        </w:rPr>
        <w:t xml:space="preserve">Egypt. J. Remote Sens. Sp. Sci.</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b w:val="1"/>
          <w:color w:val="222222"/>
          <w:sz w:val="20"/>
          <w:szCs w:val="20"/>
          <w:rtl w:val="0"/>
        </w:rPr>
        <w:t xml:space="preserve">2021</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i w:val="1"/>
          <w:color w:val="222222"/>
          <w:sz w:val="20"/>
          <w:szCs w:val="20"/>
          <w:rtl w:val="0"/>
        </w:rPr>
        <w:t xml:space="preserve">24</w:t>
      </w:r>
      <w:r w:rsidDel="00000000" w:rsidR="00000000" w:rsidRPr="00000000">
        <w:rPr>
          <w:rFonts w:ascii="Arial" w:cs="Arial" w:eastAsia="Arial" w:hAnsi="Arial"/>
          <w:color w:val="222222"/>
          <w:sz w:val="20"/>
          <w:szCs w:val="20"/>
          <w:rtl w:val="0"/>
        </w:rPr>
        <w:t xml:space="preserve">, 971–981. [</w:t>
      </w:r>
      <w:hyperlink r:id="rId14">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 [</w:t>
      </w:r>
      <w:hyperlink r:id="rId15">
        <w:r w:rsidDel="00000000" w:rsidR="00000000" w:rsidRPr="00000000">
          <w:rPr>
            <w:rFonts w:ascii="Arial" w:cs="Arial" w:eastAsia="Arial" w:hAnsi="Arial"/>
            <w:b w:val="1"/>
            <w:color w:val="4f5671"/>
            <w:sz w:val="20"/>
            <w:szCs w:val="20"/>
            <w:rtl w:val="0"/>
          </w:rPr>
          <w:t xml:space="preserve">CrossRef</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B">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Doshi, J.; Patel, T.; Bharti, S.K. Smart Farming Using IoT, a Solution for Optimally Monitoring Farming Conditions. </w:t>
      </w:r>
      <w:r w:rsidDel="00000000" w:rsidR="00000000" w:rsidRPr="00000000">
        <w:rPr>
          <w:rFonts w:ascii="Arial" w:cs="Arial" w:eastAsia="Arial" w:hAnsi="Arial"/>
          <w:i w:val="1"/>
          <w:color w:val="222222"/>
          <w:sz w:val="20"/>
          <w:szCs w:val="20"/>
          <w:rtl w:val="0"/>
        </w:rPr>
        <w:t xml:space="preserve">Procedia Comput. Sci.</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b w:val="1"/>
          <w:color w:val="222222"/>
          <w:sz w:val="20"/>
          <w:szCs w:val="20"/>
          <w:rtl w:val="0"/>
        </w:rPr>
        <w:t xml:space="preserve">2019</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i w:val="1"/>
          <w:color w:val="222222"/>
          <w:sz w:val="20"/>
          <w:szCs w:val="20"/>
          <w:rtl w:val="0"/>
        </w:rPr>
        <w:t xml:space="preserve">160</w:t>
      </w:r>
      <w:r w:rsidDel="00000000" w:rsidR="00000000" w:rsidRPr="00000000">
        <w:rPr>
          <w:rFonts w:ascii="Arial" w:cs="Arial" w:eastAsia="Arial" w:hAnsi="Arial"/>
          <w:color w:val="222222"/>
          <w:sz w:val="20"/>
          <w:szCs w:val="20"/>
          <w:rtl w:val="0"/>
        </w:rPr>
        <w:t xml:space="preserve">, 746–751. [</w:t>
      </w:r>
      <w:hyperlink r:id="rId16">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 [</w:t>
      </w:r>
      <w:hyperlink r:id="rId17">
        <w:r w:rsidDel="00000000" w:rsidR="00000000" w:rsidRPr="00000000">
          <w:rPr>
            <w:rFonts w:ascii="Arial" w:cs="Arial" w:eastAsia="Arial" w:hAnsi="Arial"/>
            <w:b w:val="1"/>
            <w:color w:val="4f5671"/>
            <w:sz w:val="20"/>
            <w:szCs w:val="20"/>
            <w:rtl w:val="0"/>
          </w:rPr>
          <w:t xml:space="preserve">CrossRef</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C">
      <w:pPr>
        <w:numPr>
          <w:ilvl w:val="0"/>
          <w:numId w:val="1"/>
        </w:numPr>
        <w:shd w:fill="ffffff" w:val="clear"/>
        <w:spacing w:after="0" w:line="240" w:lineRule="auto"/>
        <w:ind w:left="0" w:hanging="456"/>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FAO. </w:t>
      </w:r>
      <w:r w:rsidDel="00000000" w:rsidR="00000000" w:rsidRPr="00000000">
        <w:rPr>
          <w:rFonts w:ascii="Arial" w:cs="Arial" w:eastAsia="Arial" w:hAnsi="Arial"/>
          <w:i w:val="1"/>
          <w:color w:val="222222"/>
          <w:sz w:val="20"/>
          <w:szCs w:val="20"/>
          <w:rtl w:val="0"/>
        </w:rPr>
        <w:t xml:space="preserve">The Future of Food and Agriculture: Trends and Challenges</w:t>
      </w:r>
      <w:r w:rsidDel="00000000" w:rsidR="00000000" w:rsidRPr="00000000">
        <w:rPr>
          <w:rFonts w:ascii="Arial" w:cs="Arial" w:eastAsia="Arial" w:hAnsi="Arial"/>
          <w:color w:val="222222"/>
          <w:sz w:val="20"/>
          <w:szCs w:val="20"/>
          <w:rtl w:val="0"/>
        </w:rPr>
        <w:t xml:space="preserve">; Food and Agriculture Organization of the United Nations: Rome, Italy, 2017. [</w:t>
      </w:r>
      <w:hyperlink r:id="rId18">
        <w:r w:rsidDel="00000000" w:rsidR="00000000" w:rsidRPr="00000000">
          <w:rPr>
            <w:rFonts w:ascii="Arial" w:cs="Arial" w:eastAsia="Arial" w:hAnsi="Arial"/>
            <w:b w:val="1"/>
            <w:color w:val="4f5671"/>
            <w:sz w:val="20"/>
            <w:szCs w:val="20"/>
            <w:rtl w:val="0"/>
          </w:rPr>
          <w:t xml:space="preserve">Google Scholar</w:t>
        </w:r>
      </w:hyperlink>
      <w:r w:rsidDel="00000000" w:rsidR="00000000" w:rsidRPr="00000000">
        <w:rPr>
          <w:rFonts w:ascii="Arial" w:cs="Arial" w:eastAsia="Arial" w:hAnsi="Arial"/>
          <w:color w:val="222222"/>
          <w:sz w:val="20"/>
          <w:szCs w:val="20"/>
          <w:rtl w:val="0"/>
        </w:rPr>
        <w:t xml:space="preserve">]</w:t>
      </w:r>
    </w:p>
    <w:p w:rsidR="00000000" w:rsidDel="00000000" w:rsidP="00000000" w:rsidRDefault="00000000" w:rsidRPr="00000000" w14:paraId="000000BD">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sectPr>
      <w:type w:val="nextPage"/>
      <w:pgSz w:h="1684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68" w:line="240" w:lineRule="auto"/>
      <w:ind w:left="219" w:right="60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lookup?title=The+State+of+Food+and+Agriculture+2017.+Leveraging+Food+Systems+for+Inclusive+Rural+Transformation&amp;author=FAO&amp;publication_year=2017" TargetMode="External"/><Relationship Id="rId10" Type="http://schemas.openxmlformats.org/officeDocument/2006/relationships/hyperlink" Target="https://scholar.google.com/scholar_lookup?title=The+Future+of+Food+and+Agriculture&amp;author=FAO&amp;publication_year=2017&amp;pages=1%E2%80%93180" TargetMode="External"/><Relationship Id="rId13" Type="http://schemas.openxmlformats.org/officeDocument/2006/relationships/hyperlink" Target="https://scholar.google.com/scholar_lookup?title=IICA+Perspectivas+de+La+Agricultura+y+Del+Desarrollo+Rural+En+Las+Am%C3%A9ricas:+Una+Mirada+Hacia+Am%C3%A9rica+Latina+y+El+Caribe+2021%E2%80%932022&amp;author=CEPAL&amp;author=FAO&amp;publication_year=2021" TargetMode="External"/><Relationship Id="rId12" Type="http://schemas.openxmlformats.org/officeDocument/2006/relationships/hyperlink" Target="https://scholar.google.com/scholar_lookup?title=El+Cambio+Clim%C3%A1tico+y+La+Tierra&amp;author=Masson-Delmotte,+V.&amp;author=Zhai,+P.&amp;author=P%C3%B6rtner,+H.-O.&amp;author=Roberts,+D.&amp;author=Skea,+J.&amp;author=Calvo,+E.&amp;author=Priyadarshi,+B.&amp;author=Shukla,+R.&amp;author=Slade,+R.&amp;author=Connors,+S.&amp;publication_year=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lookup?title=The+State+of+the+World%E2%80%99s+Land+and+Water+Resources+for+Food+and+Agriculture%E2%80%93Systems+at+Breaking+Point+(SOLAW+2021)&amp;author=FAO&amp;publication_year=2021" TargetMode="External"/><Relationship Id="rId15" Type="http://schemas.openxmlformats.org/officeDocument/2006/relationships/hyperlink" Target="https://doi.org/10.1016/j.ejrs.2021.08.007" TargetMode="External"/><Relationship Id="rId14" Type="http://schemas.openxmlformats.org/officeDocument/2006/relationships/hyperlink" Target="https://scholar.google.com/scholar_lookup?title=Smart+Farming+for+Improving+Agricultural+Management&amp;author=Said+Mohamed,+E.&amp;author=Belal,+A.A.&amp;author=Kotb+Abd-Elmabod,+S.&amp;author=El-Shirbeny,+M.A.&amp;author=Gad,+A.&amp;author=Zahran,+M.B.&amp;publication_year=2021&amp;journal=Egypt.+J.+Remote+Sens.+Sp.+Sci.&amp;volume=24&amp;pages=971%E2%80%93981&amp;doi=10.1016/j.ejrs.2021.08.007" TargetMode="External"/><Relationship Id="rId17" Type="http://schemas.openxmlformats.org/officeDocument/2006/relationships/hyperlink" Target="https://doi.org/10.1016/J.PROCS.2019.11.016" TargetMode="External"/><Relationship Id="rId16" Type="http://schemas.openxmlformats.org/officeDocument/2006/relationships/hyperlink" Target="https://scholar.google.com/scholar_lookup?title=Smart+Farming+Using+IoT,+a+Solution+for+Optimally+Monitoring+Farming+Conditions&amp;author=Doshi,+J.&amp;author=Patel,+T.&amp;author=Bharti,+S.K.&amp;publication_year=2019&amp;journal=Procedia+Comput.+Sci.&amp;volume=160&amp;pages=746%E2%80%93751&amp;doi=10.1016/J.PROCS.2019.11.016"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scholar.google.com/scholar_lookup?title=The+Future+of+Food+and+Agriculture:+Trends+and+Challenges&amp;author=FAO&amp;publication_year=2017" TargetMode="External"/><Relationship Id="rId7" Type="http://schemas.openxmlformats.org/officeDocument/2006/relationships/hyperlink" Target="https://scholar.google.com/scholar_lookup?title=The+State+of+the+World%E2%80%99s+Land+and+Water+Resources+for+Food+and+Agriculture-Managing+Systems+at+Risk&amp;author=FAO&amp;publication_year=2011" TargetMode="External"/><Relationship Id="rId8" Type="http://schemas.openxmlformats.org/officeDocument/2006/relationships/hyperlink" Target="https://scholar.google.com/scholar_lookup?title=World+Agriculture+towards+2030/2050:+The+2012+Revision&amp;author=Alexandratos,+N.&amp;author=Bruinsma,+J.&amp;publication_year=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