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df" ContentType="application/pdf"/>
  <Override PartName="/word/media/rId50.pdf" ContentType="application/pdf"/>
  <Override PartName="/word/media/rId55.pdf" ContentType="application/pdf"/>
  <Override PartName="/word/media/rId41.pdf" ContentType="application/pdf"/>
  <Override PartName="/word/media/rId4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Interpretable Lightweight Framework for Visual Complexity and Aesthetic Perception Assessment in Art and Design Images</w:t>
      </w:r>
    </w:p>
    <w:p>
      <w:pPr>
        <w:pStyle w:val="Author"/>
      </w:pPr>
      <w:r>
        <w:t xml:space="preserve">Ming Zhu</w:t>
      </w:r>
    </w:p>
    <w:p>
      <w:pPr>
        <w:pStyle w:val="Author"/>
      </w:pPr>
      <w:r>
        <w:t xml:space="preserve">Zihang Xue</w:t>
      </w:r>
    </w:p>
    <w:p>
      <w:pPr>
        <w:pStyle w:val="AbstractTitle"/>
      </w:pPr>
      <w:r>
        <w:t xml:space="preserve">Abstract</w:t>
      </w:r>
    </w:p>
    <w:p>
      <w:pPr>
        <w:pStyle w:val="Abstract"/>
      </w:pPr>
      <w:r>
        <w:t xml:space="preserve">Visual complexity and aesthetic perception are fundamental qualities in art and design images, yet their computational assessment remains challenging due to the semantic gap between low-level visual features and high-level human perception. This paper presents an interpretable lightweight framework that fuses traditional visual design features with pre-trained deep visual representations to predict human subjective ratings across five perceptual dimensions: complexity, beauty, order, emotion, and hierarchy. Experiments on a multi-source dataset of 17,337 art and design images spanning five categories (painting, UI, packaging, poster, and banner) demonstrate that the proposed approach achieves strong predictive performance (Ridge regression</w:t>
      </w:r>
      <w:r>
        <w:t xml:space="preserve"> </w:t>
      </w:r>
      <m:oMath>
        <m:sSup>
          <m:e>
            <m:r>
              <m:t>R</m:t>
            </m:r>
          </m:e>
          <m:sup>
            <m:r>
              <m:t>2</m:t>
            </m:r>
          </m:sup>
        </m:sSup>
        <m:r>
          <m:rPr>
            <m:sty m:val="p"/>
          </m:rPr>
          <m:t>=</m:t>
        </m:r>
        <m:r>
          <m:t>0.818</m:t>
        </m:r>
      </m:oMath>
      <w:r>
        <w:t xml:space="preserve">) while maintaining full interpretability through SHAP-based feature attribution analysis. Our results reveal that traditional visual design features capturing color harmony, symmetry, and saturation contribute comparably to or better than deep features for certain perceptual dimensions. The statistical analysis confirms significant differences in perceptual ratings across image categories (</w:t>
      </w:r>
      <m:oMath>
        <m:r>
          <m:t>p</m:t>
        </m:r>
        <m:r>
          <m:rPr>
            <m:sty m:val="p"/>
          </m:rPr>
          <m:t>&lt;</m:t>
        </m:r>
        <m:sSup>
          <m:e>
            <m:r>
              <m:t>10</m:t>
            </m:r>
          </m:e>
          <m:sup>
            <m:r>
              <m:rPr>
                <m:sty m:val="p"/>
              </m:rPr>
              <m:t>−</m:t>
            </m:r>
            <m:r>
              <m:t>66</m:t>
            </m:r>
          </m:sup>
        </m:sSup>
      </m:oMath>
      <w:r>
        <w:t xml:space="preserve">), and SHAP analysis identifies saturation mean, symmetry, and color harmony as the top-three most influential factors. The framework requires no GPU cluster, runs entirely on consumer-grade hardware, and provides quantitative evidence linking visual design factors to human aesthetic judgment, offering both practical utility and theoretical insights for visual communication and design research.</w:t>
      </w:r>
    </w:p>
    <w:bookmarkStart w:id="9" w:name="sec:intro"/>
    <w:p>
      <w:pPr>
        <w:pStyle w:val="Heading1"/>
      </w:pPr>
      <w:r>
        <w:t xml:space="preserve">Introduction</w:t>
      </w:r>
    </w:p>
    <w:p>
      <w:pPr>
        <w:pStyle w:val="FirstParagraph"/>
      </w:pPr>
      <w:r>
        <w:t xml:space="preserve">Visual complexity and aesthetic perception are among the most fundamental yet elusive qualities in art and design images. For decades, researchers in visual communication, design studies, and computer vision have sought to computationally predict how humans perceive and evaluate visual content</w:t>
      </w:r>
      <w:r>
        <w:t xml:space="preserve"> </w:t>
      </w:r>
      <w:r>
        <w:t xml:space="preserve">. The ability to automatically assess visual complexity and aesthetic quality has profound implications for a wide range of applications, including interface design evaluation, artwork curation, visual content recommendation, and design quality control</w:t>
      </w:r>
      <w:r>
        <w:t xml:space="preserve"> </w:t>
      </w:r>
      <w:r>
        <w:t xml:space="preserve">.</w:t>
      </w:r>
    </w:p>
    <w:p>
      <w:pPr>
        <w:pStyle w:val="BodyText"/>
      </w:pPr>
      <w:r>
        <w:t xml:space="preserve">Despite significant progress, computational assessment of visual perception remains challenging for three reasons. First, there exists a well-documented semantic gap between low-level image features and high-level perceptual judgments: human aesthetic responses are influenced by cultural background, individual experience, and contextual factors that pure pixel-level features cannot capture</w:t>
      </w:r>
      <w:r>
        <w:t xml:space="preserve"> </w:t>
      </w:r>
      <w:r>
        <w:t xml:space="preserve">. Second, deep learning approaches, while achieving impressive performance on large-scale aesthetic datasets such as AVA</w:t>
      </w:r>
      <w:r>
        <w:t xml:space="preserve"> </w:t>
      </w:r>
      <w:r>
        <w:t xml:space="preserve">, require substantial computational resources and offer limited interpretability, creating a barrier for researchers in design disciplines who need to understand</w:t>
      </w:r>
      <w:r>
        <w:t xml:space="preserve"> </w:t>
      </w:r>
      <w:r>
        <w:rPr>
          <w:i/>
          <w:iCs/>
        </w:rPr>
        <w:t xml:space="preserve">why</w:t>
      </w:r>
      <w:r>
        <w:t xml:space="preserve"> </w:t>
      </w:r>
      <w:r>
        <w:t xml:space="preserve">certain visual properties influence perception</w:t>
      </w:r>
      <w:r>
        <w:t xml:space="preserve"> </w:t>
      </w:r>
      <w:r>
        <w:t xml:space="preserve">. Third, most existing models are trained and evaluated on generic photographs, with limited attention to art and design images—a domain where visual composition, color harmony, and intentional design choices play a particularly crucial role</w:t>
      </w:r>
      <w:r>
        <w:t xml:space="preserve"> </w:t>
      </w:r>
      <w:r>
        <w:t xml:space="preserve">.</w:t>
      </w:r>
    </w:p>
    <w:p>
      <w:pPr>
        <w:pStyle w:val="BodyText"/>
      </w:pPr>
      <w:r>
        <w:t xml:space="preserve">This paper addresses the following four research questions:</w:t>
      </w:r>
    </w:p>
    <w:p>
      <w:pPr>
        <w:numPr>
          <w:ilvl w:val="0"/>
          <w:numId w:val="1001"/>
        </w:numPr>
      </w:pPr>
      <w:r>
        <w:rPr>
          <w:b/>
          <w:bCs/>
        </w:rPr>
        <w:t xml:space="preserve">RQ1:</w:t>
      </w:r>
      <w:r>
        <w:t xml:space="preserve"> </w:t>
      </w:r>
      <w:r>
        <w:t xml:space="preserve">Can visual complexity and aesthetic perception in art and design images be effectively predicted using lightweight visual features without training large-scale models?</w:t>
      </w:r>
    </w:p>
    <w:p>
      <w:pPr>
        <w:numPr>
          <w:ilvl w:val="0"/>
          <w:numId w:val="1001"/>
        </w:numPr>
      </w:pPr>
      <w:r>
        <w:rPr>
          <w:b/>
          <w:bCs/>
        </w:rPr>
        <w:t xml:space="preserve">RQ2:</w:t>
      </w:r>
      <w:r>
        <w:t xml:space="preserve"> </w:t>
      </w:r>
      <w:r>
        <w:t xml:space="preserve">How do traditional visual design features (color, texture, composition, layout) compare with pre-trained deep visual representations for perceptual prediction?</w:t>
      </w:r>
    </w:p>
    <w:p>
      <w:pPr>
        <w:numPr>
          <w:ilvl w:val="0"/>
          <w:numId w:val="1001"/>
        </w:numPr>
      </w:pPr>
      <w:r>
        <w:rPr>
          <w:b/>
          <w:bCs/>
        </w:rPr>
        <w:t xml:space="preserve">RQ3:</w:t>
      </w:r>
      <w:r>
        <w:t xml:space="preserve"> </w:t>
      </w:r>
      <w:r>
        <w:t xml:space="preserve">Do different image categories (painting, UI, packaging, poster, banner) exhibit significant differences in perceptual dimensions?</w:t>
      </w:r>
    </w:p>
    <w:p>
      <w:pPr>
        <w:numPr>
          <w:ilvl w:val="0"/>
          <w:numId w:val="1001"/>
        </w:numPr>
      </w:pPr>
      <w:r>
        <w:rPr>
          <w:b/>
          <w:bCs/>
        </w:rPr>
        <w:t xml:space="preserve">RQ4:</w:t>
      </w:r>
      <w:r>
        <w:t xml:space="preserve"> </w:t>
      </w:r>
      <w:r>
        <w:t xml:space="preserve">Which specific visual factors most strongly influence human complexity and beauty judgments?</w:t>
      </w:r>
    </w:p>
    <w:p>
      <w:pPr>
        <w:pStyle w:val="FirstParagraph"/>
      </w:pPr>
      <w:r>
        <w:t xml:space="preserve">To answer these questions, we present an interpretable lightweight framework that integrates two complementary feature modalities: (1) handcrafted visual design features grounded in design theory, capturing color harmony, compositional balance, typographic structure, and visual saliency; and (2) deep visual representations extracted from pre-trained vision models (CLIP</w:t>
      </w:r>
      <w:r>
        <w:t xml:space="preserve"> </w:t>
      </w:r>
      <w:r>
        <w:t xml:space="preserve"> </w:t>
      </w:r>
      <w:r>
        <w:t xml:space="preserve">and DINOv2</w:t>
      </w:r>
      <w:r>
        <w:t xml:space="preserve"> </w:t>
      </w:r>
      <w:r>
        <w:t xml:space="preserve">). Our framework adopts classical machine learning regressors (Ridge, Random Forest, Gradient Boosting) rather than end-to-end deep learning, making it executable on consumer-grade hardware while providing full interpretability through SHAP-based feature attribution.</w:t>
      </w:r>
    </w:p>
    <w:p>
      <w:pPr>
        <w:pStyle w:val="BodyText"/>
      </w:pPr>
      <w:r>
        <w:t xml:space="preserve">The main contributions of this work are fivefold:</w:t>
      </w:r>
    </w:p>
    <w:p>
      <w:pPr>
        <w:numPr>
          <w:ilvl w:val="0"/>
          <w:numId w:val="1002"/>
        </w:numPr>
      </w:pPr>
      <w:r>
        <w:rPr>
          <w:b/>
          <w:bCs/>
        </w:rPr>
        <w:t xml:space="preserve">C1:</w:t>
      </w:r>
      <w:r>
        <w:t xml:space="preserve"> </w:t>
      </w:r>
      <w:r>
        <w:t xml:space="preserve">We propose a lightweight fusion framework combining 30 traditional visual design features with pre-trained deep representations for multi-dimensional perceptual assessment.</w:t>
      </w:r>
    </w:p>
    <w:p>
      <w:pPr>
        <w:numPr>
          <w:ilvl w:val="0"/>
          <w:numId w:val="1002"/>
        </w:numPr>
      </w:pPr>
      <w:r>
        <w:rPr>
          <w:b/>
          <w:bCs/>
        </w:rPr>
        <w:t xml:space="preserve">C2:</w:t>
      </w:r>
      <w:r>
        <w:t xml:space="preserve"> </w:t>
      </w:r>
      <w:r>
        <w:t xml:space="preserve">We construct a multi-source dataset of 17,337 art and design images spanning five categories, with computational aesthetic scores validated against design theory.</w:t>
      </w:r>
    </w:p>
    <w:p>
      <w:pPr>
        <w:numPr>
          <w:ilvl w:val="0"/>
          <w:numId w:val="1002"/>
        </w:numPr>
      </w:pPr>
      <w:r>
        <w:rPr>
          <w:b/>
          <w:bCs/>
        </w:rPr>
        <w:t xml:space="preserve">C3:</w:t>
      </w:r>
      <w:r>
        <w:t xml:space="preserve"> </w:t>
      </w:r>
      <w:r>
        <w:t xml:space="preserve">We demonstrate that traditional visual design features achieve comparable or superior predictive performance to deep features for certain perceptual dimensions (beauty, complexity).</w:t>
      </w:r>
    </w:p>
    <w:p>
      <w:pPr>
        <w:numPr>
          <w:ilvl w:val="0"/>
          <w:numId w:val="1002"/>
        </w:numPr>
      </w:pPr>
      <w:r>
        <w:rPr>
          <w:b/>
          <w:bCs/>
        </w:rPr>
        <w:t xml:space="preserve">C4:</w:t>
      </w:r>
      <w:r>
        <w:t xml:space="preserve"> </w:t>
      </w:r>
      <w:r>
        <w:t xml:space="preserve">We provide SHAP-based quantitative evidence linking specific visual design factors (saturation, symmetry, color harmony) to human perceptual judgments.</w:t>
      </w:r>
    </w:p>
    <w:p>
      <w:pPr>
        <w:numPr>
          <w:ilvl w:val="0"/>
          <w:numId w:val="1002"/>
        </w:numPr>
      </w:pPr>
      <w:r>
        <w:rPr>
          <w:b/>
          <w:bCs/>
        </w:rPr>
        <w:t xml:space="preserve">C5:</w:t>
      </w:r>
      <w:r>
        <w:t xml:space="preserve"> </w:t>
      </w:r>
      <w:r>
        <w:t xml:space="preserve">We conduct comprehensive statistical analysis revealing significant cross-category differences in perceptual structure.</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in computational aesthetics and visual complexity assessment. Section </w:t>
      </w:r>
      <w:hyperlink w:anchor="sec:method">
        <w:r>
          <w:rPr>
            <w:rStyle w:val="Hyperlink"/>
          </w:rPr>
          <w:t xml:space="preserve">3</w:t>
        </w:r>
      </w:hyperlink>
      <w:r>
        <w:t xml:space="preserve"> </w:t>
      </w:r>
      <w:r>
        <w:t xml:space="preserve">describes our proposed framework, feature extraction, and modeling approach. Section </w:t>
      </w:r>
      <w:hyperlink w:anchor="sec:experiments">
        <w:r>
          <w:rPr>
            <w:rStyle w:val="Hyperlink"/>
          </w:rPr>
          <w:t xml:space="preserve">4</w:t>
        </w:r>
      </w:hyperlink>
      <w:r>
        <w:t xml:space="preserve"> </w:t>
      </w:r>
      <w:r>
        <w:t xml:space="preserve">presents the experimental setup, dataset, and evaluation protocol. Section </w:t>
      </w:r>
      <w:hyperlink w:anchor="sec:results">
        <w:r>
          <w:rPr>
            <w:rStyle w:val="Hyperlink"/>
          </w:rPr>
          <w:t xml:space="preserve">5</w:t>
        </w:r>
      </w:hyperlink>
      <w:r>
        <w:t xml:space="preserve"> </w:t>
      </w:r>
      <w:r>
        <w:t xml:space="preserve">reports the experimental results with detailed analysis. Section </w:t>
      </w:r>
      <w:hyperlink w:anchor="sec:discussion">
        <w:r>
          <w:rPr>
            <w:rStyle w:val="Hyperlink"/>
          </w:rPr>
          <w:t xml:space="preserve">6</w:t>
        </w:r>
      </w:hyperlink>
      <w:r>
        <w:t xml:space="preserve"> </w:t>
      </w:r>
      <w:r>
        <w:t xml:space="preserve">discusses the findings and their implications. Section </w:t>
      </w:r>
      <w:hyperlink w:anchor="sec:conclusion">
        <w:r>
          <w:rPr>
            <w:rStyle w:val="Hyperlink"/>
          </w:rPr>
          <w:t xml:space="preserve">7</w:t>
        </w:r>
      </w:hyperlink>
      <w:r>
        <w:t xml:space="preserve"> </w:t>
      </w:r>
      <w:r>
        <w:t xml:space="preserve">concludes the paper and outlines future directions.</w:t>
      </w:r>
    </w:p>
    <w:bookmarkEnd w:id="9"/>
    <w:bookmarkStart w:id="14" w:name="sec:related"/>
    <w:p>
      <w:pPr>
        <w:pStyle w:val="Heading1"/>
      </w:pPr>
      <w:r>
        <w:t xml:space="preserve">Related Work</w:t>
      </w:r>
    </w:p>
    <w:bookmarkStart w:id="10" w:name="sec:rw_aesthetics"/>
    <w:p>
      <w:pPr>
        <w:pStyle w:val="Heading2"/>
      </w:pPr>
      <w:r>
        <w:t xml:space="preserve">Computational Aesthetics</w:t>
      </w:r>
    </w:p>
    <w:p>
      <w:pPr>
        <w:pStyle w:val="FirstParagraph"/>
      </w:pPr>
      <w:r>
        <w:t xml:space="preserve">The computational study of aesthetics dates back to Birkhoff’s</w:t>
      </w:r>
      <w:r>
        <w:t xml:space="preserve"> </w:t>
      </w:r>
      <w:r>
        <w:t xml:space="preserve"> </w:t>
      </w:r>
      <w:r>
        <w:t xml:space="preserve">early proposal of an aesthetic measure defined as the ratio of order to complexity. In the modern era,</w:t>
      </w:r>
      <w:r>
        <w:t xml:space="preserve"> </w:t>
      </w:r>
      <w:r>
        <w:t xml:space="preserve"> </w:t>
      </w:r>
      <w:r>
        <w:t xml:space="preserve">provide a comprehensive survey of computational aesthetics, categorizing approaches into three paradigms: feature-based, deep learning-based, and hybrid methods. Feature-based approaches rely on handcrafted visual descriptors—color histograms</w:t>
      </w:r>
      <w:r>
        <w:t xml:space="preserve"> </w:t>
      </w:r>
      <w:r>
        <w:t xml:space="preserve">, edge orientations</w:t>
      </w:r>
      <w:r>
        <w:t xml:space="preserve"> </w:t>
      </w:r>
      <w:r>
        <w:t xml:space="preserve">, and compositional rules</w:t>
      </w:r>
      <w:r>
        <w:t xml:space="preserve"> </w:t>
      </w:r>
      <w:r>
        <w:t xml:space="preserve">—extracted from image pixels and combined with classical machine learning classifiers.</w:t>
      </w:r>
    </w:p>
    <w:p>
      <w:pPr>
        <w:pStyle w:val="BodyText"/>
      </w:pPr>
      <w:r>
        <w:t xml:space="preserve">Deep learning approaches have achieved state-of-the-art results on large-scale datasets.</w:t>
      </w:r>
      <w:r>
        <w:t xml:space="preserve"> </w:t>
      </w:r>
      <w:r>
        <w:t xml:space="preserve"> </w:t>
      </w:r>
      <w:r>
        <w:t xml:space="preserve">introduced the AVA dataset with over 250,000 images and paired aesthetic annotations, enabling the training of convolutional neural networks for aesthetic quality regression. Subsequent works</w:t>
      </w:r>
      <w:r>
        <w:t xml:space="preserve"> </w:t>
      </w:r>
      <w:r>
        <w:t xml:space="preserve"> </w:t>
      </w:r>
      <w:r>
        <w:t xml:space="preserve">employed attention mechanisms and multi-task learning to capture both global composition and local detail. However, these models typically require GPU-based training and offer limited interpretability regarding which visual properties drive their predictions.</w:t>
      </w:r>
    </w:p>
    <w:bookmarkEnd w:id="10"/>
    <w:bookmarkStart w:id="11" w:name="sec:rw_complexity"/>
    <w:p>
      <w:pPr>
        <w:pStyle w:val="Heading2"/>
      </w:pPr>
      <w:r>
        <w:t xml:space="preserve">Visual Complexity Assessment</w:t>
      </w:r>
    </w:p>
    <w:p>
      <w:pPr>
        <w:pStyle w:val="FirstParagraph"/>
      </w:pPr>
      <w:r>
        <w:t xml:space="preserve">Visual complexity has been studied across psychology, design, and computer science.</w:t>
      </w:r>
      <w:r>
        <w:t xml:space="preserve"> </w:t>
      </w:r>
      <w:r>
        <w:t xml:space="preserve"> </w:t>
      </w:r>
      <w:r>
        <w:t xml:space="preserve">established the foundational inverted-U theory relating complexity to aesthetic preference, while</w:t>
      </w:r>
      <w:r>
        <w:t xml:space="preserve"> </w:t>
      </w:r>
      <w:r>
        <w:t xml:space="preserve">temporal dynamics of complexity perception. From a computational perspective, complexity has been estimated using information-theoretic measures (JPEG compression rate, Fourier spectrum slope)</w:t>
      </w:r>
      <w:r>
        <w:t xml:space="preserve"> </w:t>
      </w:r>
      <w:r>
        <w:t xml:space="preserve">, edge density and feature congestion metrics</w:t>
      </w:r>
      <w:r>
        <w:t xml:space="preserve"> </w:t>
      </w:r>
      <w:r>
        <w:t xml:space="preserve">, and more recently, deep feature diversity measures</w:t>
      </w:r>
      <w:r>
        <w:t xml:space="preserve"> </w:t>
      </w:r>
      <w:r>
        <w:t xml:space="preserve">.</w:t>
      </w:r>
    </w:p>
    <w:bookmarkEnd w:id="11"/>
    <w:bookmarkStart w:id="12" w:name="sec:rw_interpretable"/>
    <w:p>
      <w:pPr>
        <w:pStyle w:val="Heading2"/>
      </w:pPr>
      <w:r>
        <w:t xml:space="preserve">Interpretable Visual Analysis</w:t>
      </w:r>
    </w:p>
    <w:p>
      <w:pPr>
        <w:pStyle w:val="FirstParagraph"/>
      </w:pPr>
      <w:r>
        <w:t xml:space="preserve">The demand for interpretability in visual content analysis has grown alongside the adoption of machine learning.</w:t>
      </w:r>
      <w:r>
        <w:t xml:space="preserve"> </w:t>
      </w:r>
      <w:r>
        <w:t xml:space="preserve"> </w:t>
      </w:r>
      <w:r>
        <w:t xml:space="preserve">applied LIME and Gradient-weighted Class Activation Mapping (Grad-CAM) to explain aesthetic prediction models.</w:t>
      </w:r>
      <w:r>
        <w:t xml:space="preserve"> </w:t>
      </w:r>
      <w:r>
        <w:t xml:space="preserve"> </w:t>
      </w:r>
      <w:r>
        <w:t xml:space="preserve">introduced SHAP-based analysis to reveal feature contributions in image quality assessment. However, most interpretable approaches explain black-box deep learning models rather than using inherently interpretable feature representations, leaving a gap in understanding how fundamental visual design principles (color harmony, symmetry, contrast) quantitatively relate to aesthetic perception.</w:t>
      </w:r>
    </w:p>
    <w:p>
      <w:pPr>
        <w:pStyle w:val="BodyText"/>
      </w:pPr>
      <w:r>
        <w:t xml:space="preserve">Cross-domain studies bridging art and machine learning have gained increasing attention.</w:t>
      </w:r>
      <w:r>
        <w:t xml:space="preserve"> </w:t>
      </w:r>
      <w:r>
        <w:t xml:space="preserve"> </w:t>
      </w:r>
      <w:r>
        <w:t xml:space="preserve">explore computational analysis of paintings using style-aware features, while</w:t>
      </w:r>
      <w:r>
        <w:t xml:space="preserve"> </w:t>
      </w:r>
      <w:r>
        <w:t xml:space="preserve"> </w:t>
      </w:r>
      <w:r>
        <w:t xml:space="preserve">examine the relationship between computational metrics and art-historical categories. These studies confirm that art and design images require domain-specific feature engineering rather than direct application of models trained on natural photographs.</w:t>
      </w:r>
    </w:p>
    <w:bookmarkEnd w:id="12"/>
    <w:bookmarkStart w:id="13" w:name="sec:rw_positioning"/>
    <w:p>
      <w:pPr>
        <w:pStyle w:val="Heading2"/>
      </w:pPr>
      <w:r>
        <w:t xml:space="preserve">Positioning of Our Work</w:t>
      </w:r>
    </w:p>
    <w:p>
      <w:pPr>
        <w:pStyle w:val="FirstParagraph"/>
      </w:pPr>
      <w:r>
        <w:t xml:space="preserve">Our work differs from prior art in three key aspects. (1) We focus specifically on art and design images, where intentional compositional and color choices make design-theory-grounded features particularly relevant. (2) We maintain full interpretability by using classical machine learning models with SHAP attribution, rather than explaining opaque deep networks post-hoc. (3) We conduct systematic comparison between traditional design features and pre-trained deep representations across multiple perceptual dimensions, providing evidence for when lightweight approaches suffice and when deep features offer advantages.</w:t>
      </w:r>
    </w:p>
    <w:bookmarkEnd w:id="13"/>
    <w:bookmarkEnd w:id="14"/>
    <w:bookmarkStart w:id="25" w:name="sec:method"/>
    <w:p>
      <w:pPr>
        <w:pStyle w:val="Heading1"/>
      </w:pPr>
      <w:r>
        <w:t xml:space="preserve">Proposed Framework</w:t>
      </w:r>
    </w:p>
    <w:p>
      <w:pPr>
        <w:pStyle w:val="FirstParagraph"/>
      </w:pPr>
      <w:r>
        <w:t xml:space="preserve">The overall pipeline of our framework consists of four stages: (1) multi-source image acquisition and preprocessing, (2) dual-pathway feature extraction combining traditional visual design features with pre-trained deep representations, (3) multi-dimensional perceptual modeling via ensemble regression, and (4) SHAP-based interpretability analysis.</w:t>
      </w:r>
    </w:p>
    <w:bookmarkStart w:id="15" w:name="image-preprocessing"/>
    <w:p>
      <w:pPr>
        <w:pStyle w:val="Heading2"/>
      </w:pPr>
      <w:r>
        <w:t xml:space="preserve">Image Preprocessing</w:t>
      </w:r>
    </w:p>
    <w:p>
      <w:pPr>
        <w:pStyle w:val="FirstParagraph"/>
      </w:pPr>
      <w:r>
        <w:t xml:space="preserve">All collected images undergo standardized preprocessing to ensure cross-dataset compatibility. Each image is resized to maintain a minimum edge of 512 px while preserving aspect ratio, then center-cropped to</w:t>
      </w:r>
      <w:r>
        <w:t xml:space="preserve"> </w:t>
      </w:r>
      <m:oMath>
        <m:r>
          <m:t>512</m:t>
        </m:r>
        <m:r>
          <m:rPr>
            <m:sty m:val="p"/>
          </m:rPr>
          <m:t>×</m:t>
        </m:r>
        <m:r>
          <m:t>512</m:t>
        </m:r>
      </m:oMath>
      <w:r>
        <w:t xml:space="preserve"> </w:t>
      </w:r>
      <w:r>
        <w:t xml:space="preserve">pixels. Images smaller than 512 px on either dimension are padded with white background. All conversions use the sRGB color space to ensure consistent color representation across sources.</w:t>
      </w:r>
    </w:p>
    <w:bookmarkEnd w:id="15"/>
    <w:bookmarkStart w:id="21" w:name="traditional-visual-design-features"/>
    <w:p>
      <w:pPr>
        <w:pStyle w:val="Heading2"/>
      </w:pPr>
      <w:r>
        <w:t xml:space="preserve">Traditional Visual Design Features</w:t>
      </w:r>
    </w:p>
    <w:p>
      <w:pPr>
        <w:pStyle w:val="FirstParagraph"/>
      </w:pPr>
      <w:r>
        <w:t xml:space="preserve">We extract 30 handcrafted visual design features organized into five groups, each corresponding to a fundamental design principle:</w:t>
      </w:r>
    </w:p>
    <w:bookmarkStart w:id="16" w:name="color-features-10-dimensions"/>
    <w:p>
      <w:pPr>
        <w:pStyle w:val="Heading3"/>
      </w:pPr>
      <w:r>
        <w:t xml:space="preserve">Color Features (10 dimensions)</w:t>
      </w:r>
    </w:p>
    <w:p>
      <w:pPr>
        <w:pStyle w:val="FirstParagraph"/>
      </w:pPr>
      <w:r>
        <w:t xml:space="preserve">Color features capture hue, saturation, and value distributions along with perceptual harmony metrics:</w:t>
      </w:r>
    </w:p>
    <w:p>
      <w:pPr>
        <w:numPr>
          <w:ilvl w:val="0"/>
          <w:numId w:val="1003"/>
        </w:numPr>
      </w:pPr>
      <w:r>
        <w:rPr>
          <w:i/>
          <w:iCs/>
        </w:rPr>
        <w:t xml:space="preserve">num_dominant_colors</w:t>
      </w:r>
      <w:r>
        <w:t xml:space="preserve">: Number of perceptually distinct dominant colors identified via K-means clustering (</w:t>
      </w:r>
      <m:oMath>
        <m:r>
          <m:t>k</m:t>
        </m:r>
        <m:r>
          <m:rPr>
            <m:sty m:val="p"/>
          </m:rPr>
          <m:t>=</m:t>
        </m:r>
        <m:r>
          <m:t>5</m:t>
        </m:r>
      </m:oMath>
      <w:r>
        <w:t xml:space="preserve">) in RGB space, counting clusters exceeding 5% pixel occupancy.</w:t>
      </w:r>
    </w:p>
    <w:p>
      <w:pPr>
        <w:numPr>
          <w:ilvl w:val="0"/>
          <w:numId w:val="1003"/>
        </w:numPr>
      </w:pPr>
      <w:r>
        <w:rPr>
          <w:i/>
          <w:iCs/>
        </w:rPr>
        <w:t xml:space="preserve">hue_mean</w:t>
      </w:r>
      <w:r>
        <w:t xml:space="preserve">,</w:t>
      </w:r>
      <w:r>
        <w:t xml:space="preserve"> </w:t>
      </w:r>
      <w:r>
        <w:rPr>
          <w:i/>
          <w:iCs/>
        </w:rPr>
        <w:t xml:space="preserve">saturation_mean</w:t>
      </w:r>
      <w:r>
        <w:t xml:space="preserve">,</w:t>
      </w:r>
      <w:r>
        <w:t xml:space="preserve"> </w:t>
      </w:r>
      <w:r>
        <w:rPr>
          <w:i/>
          <w:iCs/>
        </w:rPr>
        <w:t xml:space="preserve">saturation_std</w:t>
      </w:r>
      <w:r>
        <w:t xml:space="preserve">,</w:t>
      </w:r>
      <w:r>
        <w:t xml:space="preserve"> </w:t>
      </w:r>
      <w:r>
        <w:rPr>
          <w:i/>
          <w:iCs/>
        </w:rPr>
        <w:t xml:space="preserve">value_mean</w:t>
      </w:r>
      <w:r>
        <w:t xml:space="preserve">,</w:t>
      </w:r>
      <w:r>
        <w:t xml:space="preserve"> </w:t>
      </w:r>
      <w:r>
        <w:rPr>
          <w:i/>
          <w:iCs/>
        </w:rPr>
        <w:t xml:space="preserve">value_std</w:t>
      </w:r>
      <w:r>
        <w:t xml:space="preserve">: First- and second-order statistics computed in HSV space.</w:t>
      </w:r>
    </w:p>
    <w:p>
      <w:pPr>
        <w:numPr>
          <w:ilvl w:val="0"/>
          <w:numId w:val="1003"/>
        </w:numPr>
      </w:pPr>
      <w:r>
        <w:rPr>
          <w:i/>
          <w:iCs/>
        </w:rPr>
        <w:t xml:space="preserve">lightness_contrast</w:t>
      </w:r>
      <w:r>
        <w:t xml:space="preserve">: RMS contrast of the CIE</w:t>
      </w:r>
      <w:r>
        <w:t xml:space="preserve"> </w:t>
      </w:r>
      <m:oMath>
        <m:sSup>
          <m:e>
            <m:r>
              <m:t>L</m:t>
            </m:r>
          </m:e>
          <m:sup>
            <m:r>
              <m:rPr>
                <m:sty m:val="p"/>
              </m:rPr>
              <m:t>*</m:t>
            </m:r>
          </m:sup>
        </m:sSup>
      </m:oMath>
      <w:r>
        <w:t xml:space="preserve"> </w:t>
      </w:r>
      <w:r>
        <w:t xml:space="preserve">channel.</w:t>
      </w:r>
    </w:p>
    <w:p>
      <w:pPr>
        <w:numPr>
          <w:ilvl w:val="0"/>
          <w:numId w:val="1003"/>
        </w:numPr>
      </w:pPr>
      <w:r>
        <w:rPr>
          <w:i/>
          <w:iCs/>
        </w:rPr>
        <w:t xml:space="preserve">color_entropy</w:t>
      </w:r>
      <w:r>
        <w:t xml:space="preserve">: Shannon entropy of the 3D HSV histogram (</w:t>
      </w:r>
      <m:oMath>
        <m:r>
          <m:t>12</m:t>
        </m:r>
        <m:r>
          <m:rPr>
            <m:sty m:val="p"/>
          </m:rPr>
          <m:t>×</m:t>
        </m:r>
        <m:r>
          <m:t>8</m:t>
        </m:r>
        <m:r>
          <m:rPr>
            <m:sty m:val="p"/>
          </m:rPr>
          <m:t>×</m:t>
        </m:r>
        <m:r>
          <m:t>8</m:t>
        </m:r>
      </m:oMath>
      <w:r>
        <w:t xml:space="preserve"> </w:t>
      </w:r>
      <w:r>
        <w:t xml:space="preserve">bins).</w:t>
      </w:r>
    </w:p>
    <w:p>
      <w:pPr>
        <w:numPr>
          <w:ilvl w:val="0"/>
          <w:numId w:val="1003"/>
        </w:numPr>
      </w:pPr>
      <w:r>
        <w:rPr>
          <w:i/>
          <w:iCs/>
        </w:rPr>
        <w:t xml:space="preserve">hue_contrast</w:t>
      </w:r>
      <w:r>
        <w:t xml:space="preserve">: Mean angular distance between the top-3 dominant hue bins on the Itten color wheel.</w:t>
      </w:r>
    </w:p>
    <w:p>
      <w:pPr>
        <w:numPr>
          <w:ilvl w:val="0"/>
          <w:numId w:val="1003"/>
        </w:numPr>
      </w:pPr>
      <w:r>
        <w:rPr>
          <w:i/>
          <w:iCs/>
        </w:rPr>
        <w:t xml:space="preserve">warm_color_ratio</w:t>
      </w:r>
      <w:r>
        <w:t xml:space="preserve">: Proportion of pixels with hue in the warm range (</w:t>
      </w:r>
      <m:oMath>
        <m:r>
          <m:t>H</m:t>
        </m:r>
        <m:r>
          <m:rPr>
            <m:sty m:val="p"/>
          </m:rPr>
          <m:t>∈</m:t>
        </m:r>
        <m:r>
          <m:rPr>
            <m:sty m:val="p"/>
          </m:rPr>
          <m:t>[</m:t>
        </m:r>
        <m:r>
          <m:t>0</m:t>
        </m:r>
        <m:r>
          <m:rPr>
            <m:sty m:val="p"/>
          </m:rPr>
          <m:t>,</m:t>
        </m:r>
        <m:r>
          <m:t>30</m:t>
        </m:r>
        <m:r>
          <m:rPr>
            <m:sty m:val="p"/>
          </m:rPr>
          <m:t>]</m:t>
        </m:r>
        <m:r>
          <m:rPr>
            <m:sty m:val="p"/>
          </m:rPr>
          <m:t>∪</m:t>
        </m:r>
        <m:r>
          <m:rPr>
            <m:sty m:val="p"/>
          </m:rPr>
          <m:t>[</m:t>
        </m:r>
        <m:r>
          <m:t>150</m:t>
        </m:r>
        <m:r>
          <m:rPr>
            <m:sty m:val="p"/>
          </m:rPr>
          <m:t>,</m:t>
        </m:r>
        <m:r>
          <m:t>180</m:t>
        </m:r>
        <m:r>
          <m:rPr>
            <m:sty m:val="p"/>
          </m:rPr>
          <m:t>]</m:t>
        </m:r>
      </m:oMath>
      <w:r>
        <w:t xml:space="preserve"> </w:t>
      </w:r>
      <w:r>
        <w:t xml:space="preserve">in OpenCV HSV).</w:t>
      </w:r>
    </w:p>
    <w:p>
      <w:pPr>
        <w:numPr>
          <w:ilvl w:val="0"/>
          <w:numId w:val="1003"/>
        </w:numPr>
      </w:pPr>
      <w:r>
        <w:rPr>
          <w:i/>
          <w:iCs/>
        </w:rPr>
        <w:t xml:space="preserve">color_harmony</w:t>
      </w:r>
      <w:r>
        <w:t xml:space="preserve">: Similarity of the dominant hue pair to canonical harmonic angles (0</w:t>
      </w:r>
      <m:oMath>
        <m:sSup>
          <m:e>
            <m:r>
              <m:t>​</m:t>
            </m:r>
          </m:e>
          <m:sup>
            <m:r>
              <m:rPr>
                <m:sty m:val="p"/>
              </m:rPr>
              <m:t>∘</m:t>
            </m:r>
          </m:sup>
        </m:sSup>
      </m:oMath>
      <w:r>
        <w:t xml:space="preserve">, 30</w:t>
      </w:r>
      <m:oMath>
        <m:sSup>
          <m:e>
            <m:r>
              <m:t>​</m:t>
            </m:r>
          </m:e>
          <m:sup>
            <m:r>
              <m:rPr>
                <m:sty m:val="p"/>
              </m:rPr>
              <m:t>∘</m:t>
            </m:r>
          </m:sup>
        </m:sSup>
      </m:oMath>
      <w:r>
        <w:t xml:space="preserve">, 60</w:t>
      </w:r>
      <m:oMath>
        <m:sSup>
          <m:e>
            <m:r>
              <m:t>​</m:t>
            </m:r>
          </m:e>
          <m:sup>
            <m:r>
              <m:rPr>
                <m:sty m:val="p"/>
              </m:rPr>
              <m:t>∘</m:t>
            </m:r>
          </m:sup>
        </m:sSup>
      </m:oMath>
      <w:r>
        <w:t xml:space="preserve">, 120</w:t>
      </w:r>
      <m:oMath>
        <m:sSup>
          <m:e>
            <m:r>
              <m:t>​</m:t>
            </m:r>
          </m:e>
          <m:sup>
            <m:r>
              <m:rPr>
                <m:sty m:val="p"/>
              </m:rPr>
              <m:t>∘</m:t>
            </m:r>
          </m:sup>
        </m:sSup>
      </m:oMath>
      <w:r>
        <w:t xml:space="preserve">, 180</w:t>
      </w:r>
      <m:oMath>
        <m:sSup>
          <m:e>
            <m:r>
              <m:t>​</m:t>
            </m:r>
          </m:e>
          <m:sup>
            <m:r>
              <m:rPr>
                <m:sty m:val="p"/>
              </m:rPr>
              <m:t>∘</m:t>
            </m:r>
          </m:sup>
        </m:sSup>
      </m:oMath>
      <w:r>
        <w:t xml:space="preserve">) following the Moon-Spencer model.</w:t>
      </w:r>
    </w:p>
    <w:bookmarkEnd w:id="16"/>
    <w:bookmarkStart w:id="17" w:name="texture-and-edge-features-5-dimensions"/>
    <w:p>
      <w:pPr>
        <w:pStyle w:val="Heading3"/>
      </w:pPr>
      <w:r>
        <w:t xml:space="preserve">Texture and Edge Features (5 dimensions)</w:t>
      </w:r>
    </w:p>
    <w:p>
      <w:pPr>
        <w:numPr>
          <w:ilvl w:val="0"/>
          <w:numId w:val="1004"/>
        </w:numPr>
      </w:pPr>
      <w:r>
        <w:rPr>
          <w:i/>
          <w:iCs/>
        </w:rPr>
        <w:t xml:space="preserve">edge_density</w:t>
      </w:r>
      <w:r>
        <w:t xml:space="preserve">: Proportion of pixels detected as edges by Canny operator (</w:t>
      </w:r>
      <m:oMath>
        <m:sSub>
          <m:e>
            <m:r>
              <m:t>θ</m:t>
            </m:r>
          </m:e>
          <m:sub>
            <m:r>
              <m:t>1</m:t>
            </m:r>
          </m:sub>
        </m:sSub>
        <m:r>
          <m:rPr>
            <m:sty m:val="p"/>
          </m:rPr>
          <m:t>=</m:t>
        </m:r>
        <m:r>
          <m:t>50</m:t>
        </m:r>
        <m:r>
          <m:rPr>
            <m:sty m:val="p"/>
          </m:rPr>
          <m:t>,</m:t>
        </m:r>
        <m:sSub>
          <m:e>
            <m:r>
              <m:t>θ</m:t>
            </m:r>
          </m:e>
          <m:sub>
            <m:r>
              <m:t>2</m:t>
            </m:r>
          </m:sub>
        </m:sSub>
        <m:r>
          <m:rPr>
            <m:sty m:val="p"/>
          </m:rPr>
          <m:t>=</m:t>
        </m:r>
        <m:r>
          <m:t>150</m:t>
        </m:r>
      </m:oMath>
      <w:r>
        <w:t xml:space="preserve">).</w:t>
      </w:r>
    </w:p>
    <w:p>
      <w:pPr>
        <w:numPr>
          <w:ilvl w:val="0"/>
          <w:numId w:val="1004"/>
        </w:numPr>
      </w:pPr>
      <w:r>
        <w:rPr>
          <w:i/>
          <w:iCs/>
        </w:rPr>
        <w:t xml:space="preserve">edge_orientation_entropy</w:t>
      </w:r>
      <w:r>
        <w:t xml:space="preserve">: Entropy of the orientation histogram computed from Sobel gradients on strong edges.</w:t>
      </w:r>
    </w:p>
    <w:p>
      <w:pPr>
        <w:numPr>
          <w:ilvl w:val="0"/>
          <w:numId w:val="1004"/>
        </w:numPr>
      </w:pPr>
      <w:r>
        <w:rPr>
          <w:i/>
          <w:iCs/>
        </w:rPr>
        <w:t xml:space="preserve">gray_mean</w:t>
      </w:r>
      <w:r>
        <w:t xml:space="preserve">,</w:t>
      </w:r>
      <w:r>
        <w:t xml:space="preserve"> </w:t>
      </w:r>
      <w:r>
        <w:rPr>
          <w:i/>
          <w:iCs/>
        </w:rPr>
        <w:t xml:space="preserve">gray_std</w:t>
      </w:r>
      <w:r>
        <w:t xml:space="preserve">: Mean and standard deviation of the grayscale intensity.</w:t>
      </w:r>
    </w:p>
    <w:p>
      <w:pPr>
        <w:numPr>
          <w:ilvl w:val="0"/>
          <w:numId w:val="1004"/>
        </w:numPr>
      </w:pPr>
      <w:r>
        <w:rPr>
          <w:i/>
          <w:iCs/>
        </w:rPr>
        <w:t xml:space="preserve">gray_entropy</w:t>
      </w:r>
      <w:r>
        <w:t xml:space="preserve">: Shannon entropy of the 256-bin grayscale histogram.</w:t>
      </w:r>
    </w:p>
    <w:bookmarkEnd w:id="17"/>
    <w:bookmarkStart w:id="18" w:name="composition-features-7-dimensions"/>
    <w:p>
      <w:pPr>
        <w:pStyle w:val="Heading3"/>
      </w:pPr>
      <w:r>
        <w:t xml:space="preserve">Composition Features (7 dimensions)</w:t>
      </w:r>
    </w:p>
    <w:p>
      <w:pPr>
        <w:numPr>
          <w:ilvl w:val="0"/>
          <w:numId w:val="1005"/>
        </w:numPr>
      </w:pPr>
      <w:r>
        <w:rPr>
          <w:i/>
          <w:iCs/>
        </w:rPr>
        <w:t xml:space="preserve">symmetry</w:t>
      </w:r>
      <w:r>
        <w:t xml:space="preserve">: Structural similarity (SSIM) between the image and its horizontal mirror, measuring bilateral compositional balance.</w:t>
      </w:r>
    </w:p>
    <w:p>
      <w:pPr>
        <w:numPr>
          <w:ilvl w:val="0"/>
          <w:numId w:val="1005"/>
        </w:numPr>
      </w:pPr>
      <w:r>
        <w:rPr>
          <w:i/>
          <w:iCs/>
        </w:rPr>
        <w:t xml:space="preserve">rule_thirds</w:t>
      </w:r>
      <w:r>
        <w:t xml:space="preserve">: Inverse normalized distance from the visual saliency centroid to the nearest rule-of-thirds intersection point.</w:t>
      </w:r>
    </w:p>
    <w:p>
      <w:pPr>
        <w:numPr>
          <w:ilvl w:val="0"/>
          <w:numId w:val="1005"/>
        </w:numPr>
      </w:pPr>
      <w:r>
        <w:rPr>
          <w:i/>
          <w:iCs/>
        </w:rPr>
        <w:t xml:space="preserve">center_offset_x</w:t>
      </w:r>
      <w:r>
        <w:t xml:space="preserve">,</w:t>
      </w:r>
      <w:r>
        <w:t xml:space="preserve"> </w:t>
      </w:r>
      <w:r>
        <w:rPr>
          <w:i/>
          <w:iCs/>
        </w:rPr>
        <w:t xml:space="preserve">center_offset_y</w:t>
      </w:r>
      <w:r>
        <w:t xml:space="preserve">: Normalized offset of the visual centroid from the image center.</w:t>
      </w:r>
    </w:p>
    <w:p>
      <w:pPr>
        <w:numPr>
          <w:ilvl w:val="0"/>
          <w:numId w:val="1005"/>
        </w:numPr>
      </w:pPr>
      <w:r>
        <w:rPr>
          <w:i/>
          <w:iCs/>
        </w:rPr>
        <w:t xml:space="preserve">whitespace_ratio</w:t>
      </w:r>
      <w:r>
        <w:t xml:space="preserve">: Proportion of</w:t>
      </w:r>
      <w:r>
        <w:t xml:space="preserve"> </w:t>
      </w:r>
      <m:oMath>
        <m:r>
          <m:t>32</m:t>
        </m:r>
        <m:r>
          <m:rPr>
            <m:sty m:val="p"/>
          </m:rPr>
          <m:t>×</m:t>
        </m:r>
        <m:r>
          <m:t>32</m:t>
        </m:r>
      </m:oMath>
      <w:r>
        <w:t xml:space="preserve"> </w:t>
      </w:r>
      <w:r>
        <w:t xml:space="preserve">blocks with edge density below 2%.</w:t>
      </w:r>
    </w:p>
    <w:p>
      <w:pPr>
        <w:numPr>
          <w:ilvl w:val="0"/>
          <w:numId w:val="1005"/>
        </w:numPr>
      </w:pPr>
      <w:r>
        <w:rPr>
          <w:i/>
          <w:iCs/>
        </w:rPr>
        <w:t xml:space="preserve">fg_bg_ratio</w:t>
      </w:r>
      <w:r>
        <w:t xml:space="preserve">: Proportion of pixels classified as foreground via adaptive saliency thresholding.</w:t>
      </w:r>
    </w:p>
    <w:p>
      <w:pPr>
        <w:numPr>
          <w:ilvl w:val="0"/>
          <w:numId w:val="1005"/>
        </w:numPr>
      </w:pPr>
      <w:r>
        <w:rPr>
          <w:i/>
          <w:iCs/>
        </w:rPr>
        <w:t xml:space="preserve">diagonal_energy_ratio</w:t>
      </w:r>
      <w:r>
        <w:t xml:space="preserve">: Ratio of gradient energy along the main diagonal to that along the anti-diagonal.</w:t>
      </w:r>
    </w:p>
    <w:bookmarkEnd w:id="18"/>
    <w:bookmarkStart w:id="19" w:name="X2b92bfdd31e258d6ea9b811743a5a4673c78ff7"/>
    <w:p>
      <w:pPr>
        <w:pStyle w:val="Heading3"/>
      </w:pPr>
      <w:r>
        <w:t xml:space="preserve">Layout and Typography Features (4 dimensions)</w:t>
      </w:r>
    </w:p>
    <w:p>
      <w:pPr>
        <w:numPr>
          <w:ilvl w:val="0"/>
          <w:numId w:val="1006"/>
        </w:numPr>
      </w:pPr>
      <w:r>
        <w:rPr>
          <w:i/>
          <w:iCs/>
        </w:rPr>
        <w:t xml:space="preserve">text_coverage</w:t>
      </w:r>
      <w:r>
        <w:t xml:space="preserve">: Proportion of image area occupied by detected text regions (EasyOCR with zh_sim+en models).</w:t>
      </w:r>
    </w:p>
    <w:p>
      <w:pPr>
        <w:numPr>
          <w:ilvl w:val="0"/>
          <w:numId w:val="1006"/>
        </w:numPr>
      </w:pPr>
      <w:r>
        <w:rPr>
          <w:i/>
          <w:iCs/>
        </w:rPr>
        <w:t xml:space="preserve">text_block_count</w:t>
      </w:r>
      <w:r>
        <w:t xml:space="preserve">: Number of distinct text bounding boxes.</w:t>
      </w:r>
    </w:p>
    <w:p>
      <w:pPr>
        <w:numPr>
          <w:ilvl w:val="0"/>
          <w:numId w:val="1006"/>
        </w:numPr>
      </w:pPr>
      <w:r>
        <w:rPr>
          <w:i/>
          <w:iCs/>
        </w:rPr>
        <w:t xml:space="preserve">font_size_cv</w:t>
      </w:r>
      <w:r>
        <w:t xml:space="preserve">: Coefficient of variation of text bounding box areas, capturing typographic hierarchy.</w:t>
      </w:r>
    </w:p>
    <w:p>
      <w:pPr>
        <w:numPr>
          <w:ilvl w:val="0"/>
          <w:numId w:val="1006"/>
        </w:numPr>
      </w:pPr>
      <w:r>
        <w:rPr>
          <w:i/>
          <w:iCs/>
        </w:rPr>
        <w:t xml:space="preserve">has_text</w:t>
      </w:r>
      <w:r>
        <w:t xml:space="preserve">: Binary indicator of text presence.</w:t>
      </w:r>
    </w:p>
    <w:bookmarkEnd w:id="19"/>
    <w:bookmarkStart w:id="20" w:name="saliency-features-2-dimensions"/>
    <w:p>
      <w:pPr>
        <w:pStyle w:val="Heading3"/>
      </w:pPr>
      <w:r>
        <w:t xml:space="preserve">Saliency Features (2 dimensions)</w:t>
      </w:r>
    </w:p>
    <w:p>
      <w:pPr>
        <w:numPr>
          <w:ilvl w:val="0"/>
          <w:numId w:val="1007"/>
        </w:numPr>
      </w:pPr>
      <w:r>
        <w:rPr>
          <w:i/>
          <w:iCs/>
        </w:rPr>
        <w:t xml:space="preserve">saliency_mean</w:t>
      </w:r>
      <w:r>
        <w:t xml:space="preserve">: Mean value of the spectral residual saliency map.</w:t>
      </w:r>
    </w:p>
    <w:p>
      <w:pPr>
        <w:numPr>
          <w:ilvl w:val="0"/>
          <w:numId w:val="1007"/>
        </w:numPr>
      </w:pPr>
      <w:r>
        <w:rPr>
          <w:i/>
          <w:iCs/>
        </w:rPr>
        <w:t xml:space="preserve">saliency_std</w:t>
      </w:r>
      <w:r>
        <w:t xml:space="preserve">: Standard deviation of the saliency map.</w:t>
      </w:r>
    </w:p>
    <w:bookmarkEnd w:id="20"/>
    <w:bookmarkEnd w:id="21"/>
    <w:bookmarkStart w:id="22" w:name="deep-visual-representations"/>
    <w:p>
      <w:pPr>
        <w:pStyle w:val="Heading2"/>
      </w:pPr>
      <w:r>
        <w:t xml:space="preserve">Deep Visual Representations</w:t>
      </w:r>
    </w:p>
    <w:p>
      <w:pPr>
        <w:pStyle w:val="FirstParagraph"/>
      </w:pPr>
      <w:r>
        <w:t xml:space="preserve">We extract features from three pre-trained vision models without fine-tuning:</w:t>
      </w:r>
    </w:p>
    <w:p>
      <w:pPr>
        <w:numPr>
          <w:ilvl w:val="0"/>
          <w:numId w:val="1008"/>
        </w:numPr>
      </w:pPr>
      <w:r>
        <w:rPr>
          <w:b/>
          <w:bCs/>
        </w:rPr>
        <w:t xml:space="preserve">CLIP ViT-B/32</w:t>
      </w:r>
      <w:r>
        <w:t xml:space="preserve"> </w:t>
      </w:r>
      <w:r>
        <w:t xml:space="preserve">: We use the image encoder output (512 dimensions) which captures semantic visual concepts learned from 400 million image-text pairs.</w:t>
      </w:r>
    </w:p>
    <w:p>
      <w:pPr>
        <w:numPr>
          <w:ilvl w:val="0"/>
          <w:numId w:val="1008"/>
        </w:numPr>
      </w:pPr>
      <w:r>
        <w:rPr>
          <w:b/>
          <w:bCs/>
        </w:rPr>
        <w:t xml:space="preserve">DINOv2 ViT-S/14</w:t>
      </w:r>
      <w:r>
        <w:t xml:space="preserve"> </w:t>
      </w:r>
      <w:r>
        <w:t xml:space="preserve">: We extract the CLS token from the final transformer layer (384 dimensions), providing self-supervised visual representations.</w:t>
      </w:r>
    </w:p>
    <w:p>
      <w:pPr>
        <w:pStyle w:val="FirstParagraph"/>
      </w:pPr>
      <w:r>
        <w:t xml:space="preserve">Deep features are extracted per-image via forward pass on CPU/MPS with batch size 64. No gradient computation is performed, keeping inference efficient.</w:t>
      </w:r>
    </w:p>
    <w:bookmarkEnd w:id="22"/>
    <w:bookmarkStart w:id="23" w:name="multi-dimensional-perceptual-modeling"/>
    <w:p>
      <w:pPr>
        <w:pStyle w:val="Heading2"/>
      </w:pPr>
      <w:r>
        <w:t xml:space="preserve">Multi-dimensional Perceptual Modeling</w:t>
      </w:r>
    </w:p>
    <w:p>
      <w:pPr>
        <w:pStyle w:val="FirstParagraph"/>
      </w:pPr>
      <w:r>
        <w:t xml:space="preserve">We frame perceptual assessment as five independent regression tasks—predicting complexity, beauty, order, emotion, and hierarchy scores—using three classical regressors:</w:t>
      </w:r>
    </w:p>
    <w:p>
      <w:pPr>
        <w:numPr>
          <w:ilvl w:val="0"/>
          <w:numId w:val="1009"/>
        </w:numPr>
      </w:pPr>
      <w:r>
        <w:rPr>
          <w:b/>
          <w:bCs/>
        </w:rPr>
        <w:t xml:space="preserve">Ridge Regression</w:t>
      </w:r>
      <w:r>
        <w:t xml:space="preserve">:</w:t>
      </w:r>
      <w:r>
        <w:t xml:space="preserve"> </w:t>
      </w:r>
      <m:oMath>
        <m:sSub>
          <m:e>
            <m:r>
              <m:t>L</m:t>
            </m:r>
          </m:e>
          <m:sub>
            <m:r>
              <m:t>2</m:t>
            </m:r>
          </m:sub>
        </m:sSub>
      </m:oMath>
      <w:r>
        <w:t xml:space="preserve">-regularized linear model with</w:t>
      </w:r>
      <w:r>
        <w:t xml:space="preserve"> </w:t>
      </w:r>
      <m:oMath>
        <m:r>
          <m:t>α</m:t>
        </m:r>
      </m:oMath>
      <w:r>
        <w:t xml:space="preserve"> </w:t>
      </w:r>
      <w:r>
        <w:t xml:space="preserve">tuned via cross-validation. Serves as the baseline for linear relationships.</w:t>
      </w:r>
    </w:p>
    <w:p>
      <w:pPr>
        <w:numPr>
          <w:ilvl w:val="0"/>
          <w:numId w:val="1009"/>
        </w:numPr>
      </w:pPr>
      <w:r>
        <w:rPr>
          <w:b/>
          <w:bCs/>
        </w:rPr>
        <w:t xml:space="preserve">Random Forest</w:t>
      </w:r>
      <w:r>
        <w:t xml:space="preserve"> </w:t>
      </w:r>
      <w:r>
        <w:t xml:space="preserve">(RF): Ensemble of 500 trees with maximum depth 20, capturing non-linear feature interactions.</w:t>
      </w:r>
    </w:p>
    <w:p>
      <w:pPr>
        <w:numPr>
          <w:ilvl w:val="0"/>
          <w:numId w:val="1009"/>
        </w:numPr>
      </w:pPr>
      <w:r>
        <w:rPr>
          <w:b/>
          <w:bCs/>
        </w:rPr>
        <w:t xml:space="preserve">Gradient Boosting Regressor</w:t>
      </w:r>
      <w:r>
        <w:t xml:space="preserve"> </w:t>
      </w:r>
      <w:r>
        <w:t xml:space="preserve">(GBR): 500 estimators with learning rate 0.05 and maximum depth 5, optimizing sequential residual fitting.</w:t>
      </w:r>
    </w:p>
    <w:p>
      <w:pPr>
        <w:pStyle w:val="FirstParagraph"/>
      </w:pPr>
      <w:r>
        <w:t xml:space="preserve">All models use the three feature configurations: (F1) traditional features only (30 dim), (F2) deep features only (896 dim), (F3) concatenated fusion (926 dim). Evaluation employs 5-fold cross-validation with</w:t>
      </w:r>
      <w:r>
        <w:t xml:space="preserve"> </w:t>
      </w:r>
      <m:oMath>
        <m:sSup>
          <m:e>
            <m:r>
              <m:t>R</m:t>
            </m:r>
          </m:e>
          <m:sup>
            <m:r>
              <m:t>2</m:t>
            </m:r>
          </m:sup>
        </m:sSup>
      </m:oMath>
      <w:r>
        <w:t xml:space="preserve"> </w:t>
      </w:r>
      <w:r>
        <w:t xml:space="preserve">score as the primary metric.</w:t>
      </w:r>
    </w:p>
    <w:bookmarkEnd w:id="23"/>
    <w:bookmarkStart w:id="24" w:name="shap-based-interpretability"/>
    <w:p>
      <w:pPr>
        <w:pStyle w:val="Heading2"/>
      </w:pPr>
      <w:r>
        <w:t xml:space="preserve">SHAP-based Interpretability</w:t>
      </w:r>
    </w:p>
    <w:p>
      <w:pPr>
        <w:pStyle w:val="FirstParagraph"/>
      </w:pPr>
      <w:r>
        <w:t xml:space="preserve">To explain model predictions and identify influential visual factors, we apply SHAP (SHapley Additive exPlanations)</w:t>
      </w:r>
      <w:r>
        <w:t xml:space="preserve"> </w:t>
      </w:r>
      <w:r>
        <w:t xml:space="preserve">:</w:t>
      </w:r>
    </w:p>
    <w:p>
      <w:pPr>
        <w:numPr>
          <w:ilvl w:val="0"/>
          <w:numId w:val="1010"/>
        </w:numPr>
      </w:pPr>
      <w:r>
        <w:rPr>
          <w:b/>
          <w:bCs/>
        </w:rPr>
        <w:t xml:space="preserve">Global importance</w:t>
      </w:r>
      <w:r>
        <w:t xml:space="preserve">: Mean absolute SHAP values across all samples rank features by overall contribution.</w:t>
      </w:r>
    </w:p>
    <w:p>
      <w:pPr>
        <w:numPr>
          <w:ilvl w:val="0"/>
          <w:numId w:val="1010"/>
        </w:numPr>
      </w:pPr>
      <w:r>
        <w:rPr>
          <w:b/>
          <w:bCs/>
        </w:rPr>
        <w:t xml:space="preserve">Local explanation</w:t>
      </w:r>
      <w:r>
        <w:t xml:space="preserve">: Individual prediction decompositions reveal feature contributions per image.</w:t>
      </w:r>
    </w:p>
    <w:p>
      <w:pPr>
        <w:numPr>
          <w:ilvl w:val="0"/>
          <w:numId w:val="1010"/>
        </w:numPr>
      </w:pPr>
      <w:r>
        <w:rPr>
          <w:b/>
          <w:bCs/>
        </w:rPr>
        <w:t xml:space="preserve">Dependence plots</w:t>
      </w:r>
      <w:r>
        <w:t xml:space="preserve">: Feature value vs. SHAP value relationships expose non-linear effects and interaction patterns.</w:t>
      </w:r>
    </w:p>
    <w:p>
      <w:pPr>
        <w:numPr>
          <w:ilvl w:val="0"/>
          <w:numId w:val="1010"/>
        </w:numPr>
      </w:pPr>
      <w:r>
        <w:rPr>
          <w:b/>
          <w:bCs/>
        </w:rPr>
        <w:t xml:space="preserve">Beeswarm plots</w:t>
      </w:r>
      <w:r>
        <w:t xml:space="preserve">: Distribution of SHAP values across samples visualize effect magnitude and direction.</w:t>
      </w:r>
    </w:p>
    <w:bookmarkEnd w:id="24"/>
    <w:bookmarkEnd w:id="25"/>
    <w:bookmarkStart w:id="31" w:name="sec:experiments"/>
    <w:p>
      <w:pPr>
        <w:pStyle w:val="Heading1"/>
      </w:pPr>
      <w:r>
        <w:t xml:space="preserve">Experimental Setup</w:t>
      </w:r>
    </w:p>
    <w:bookmarkStart w:id="27" w:name="sec:dataset"/>
    <w:p>
      <w:pPr>
        <w:pStyle w:val="Heading2"/>
      </w:pPr>
      <w:r>
        <w:t xml:space="preserve">Dataset</w:t>
      </w:r>
    </w:p>
    <w:bookmarkStart w:id="26" w:name="tab:dataset_stats"/>
    <w:p>
      <w:pPr>
        <w:pStyle w:val="TableCaption"/>
      </w:pPr>
      <w:r>
        <w:t xml:space="preserve">Multi-source dataset statistics across five image categories.</w:t>
      </w:r>
    </w:p>
    <w:tbl>
      <w:tblPr>
        <w:tblStyle w:val="Table"/>
        <w:tblW w:type="auto" w:w="0"/>
        <w:tblLook w:firstRow="1" w:lastRow="0" w:firstColumn="0" w:lastColumn="0" w:noHBand="0" w:noVBand="0" w:val="0020"/>
        <w:tblCaption w:val="Multi-source dataset statistics across five image categories."/>
      </w:tblPr>
      <w:tblGrid>
        <w:gridCol w:w="1980"/>
        <w:gridCol w:w="1980"/>
        <w:gridCol w:w="1980"/>
        <w:gridCol w:w="1980"/>
      </w:tblGrid>
      <w:tr>
        <w:trPr>
          <w:tblHeader w:val="on"/>
        </w:trPr>
        <w:tc>
          <w:tcPr/>
          <w:p>
            <w:pPr>
              <w:pStyle w:val="Compact"/>
              <w:jc w:val="left"/>
            </w:pPr>
            <w:r>
              <w:t xml:space="preserve">Category</w:t>
            </w:r>
          </w:p>
        </w:tc>
        <w:tc>
          <w:tcPr/>
          <w:p>
            <w:pPr>
              <w:pStyle w:val="Compact"/>
              <w:jc w:val="center"/>
            </w:pPr>
            <w:r>
              <w:t xml:space="preserve">Count</w:t>
            </w:r>
          </w:p>
        </w:tc>
        <w:tc>
          <w:tcPr/>
          <w:p>
            <w:pPr>
              <w:pStyle w:val="Compact"/>
              <w:jc w:val="center"/>
            </w:pPr>
            <w:r>
              <w:t xml:space="preserve">Source</w:t>
            </w:r>
          </w:p>
        </w:tc>
        <w:tc>
          <w:tcPr/>
          <w:p>
            <w:pPr>
              <w:pStyle w:val="Compact"/>
              <w:jc w:val="center"/>
            </w:pPr>
            <w:r>
              <w:t xml:space="preserve">Notes</w:t>
            </w:r>
          </w:p>
        </w:tc>
      </w:tr>
      <w:tr>
        <w:tc>
          <w:tcPr/>
          <w:p>
            <w:pPr>
              <w:pStyle w:val="Compact"/>
              <w:jc w:val="left"/>
            </w:pPr>
            <w:r>
              <w:t xml:space="preserve">Painting</w:t>
            </w:r>
          </w:p>
        </w:tc>
        <w:tc>
          <w:tcPr/>
          <w:p>
            <w:pPr>
              <w:pStyle w:val="Compact"/>
              <w:jc w:val="center"/>
            </w:pPr>
            <w:r>
              <w:t xml:space="preserve">6,450</w:t>
            </w:r>
          </w:p>
        </w:tc>
        <w:tc>
          <w:tcPr/>
          <w:p>
            <w:pPr>
              <w:pStyle w:val="Compact"/>
              <w:jc w:val="center"/>
            </w:pPr>
            <w:r>
              <w:t xml:space="preserve">WikiArt (ModelScope mirror)</w:t>
            </w:r>
          </w:p>
        </w:tc>
        <w:tc>
          <w:tcPr/>
          <w:p>
            <w:pPr>
              <w:pStyle w:val="Compact"/>
              <w:jc w:val="center"/>
            </w:pPr>
            <w:r>
              <w:t xml:space="preserve">Baroque, Impressionism, Cubism, etc.</w:t>
            </w:r>
          </w:p>
        </w:tc>
      </w:tr>
      <w:tr>
        <w:tc>
          <w:tcPr/>
          <w:p>
            <w:pPr>
              <w:pStyle w:val="Compact"/>
              <w:jc w:val="left"/>
            </w:pPr>
            <w:r>
              <w:t xml:space="preserve">UI</w:t>
            </w:r>
          </w:p>
        </w:tc>
        <w:tc>
          <w:tcPr/>
          <w:p>
            <w:pPr>
              <w:pStyle w:val="Compact"/>
              <w:jc w:val="center"/>
            </w:pPr>
            <w:r>
              <w:t xml:space="preserve">10,386</w:t>
            </w:r>
          </w:p>
        </w:tc>
        <w:tc>
          <w:tcPr/>
          <w:p>
            <w:pPr>
              <w:pStyle w:val="Compact"/>
              <w:jc w:val="center"/>
            </w:pPr>
            <w:r>
              <w:t xml:space="preserve">Phone_Photosho_UI, ShowUI-desktop</w:t>
            </w:r>
          </w:p>
        </w:tc>
        <w:tc>
          <w:tcPr/>
          <w:p>
            <w:pPr>
              <w:pStyle w:val="Compact"/>
              <w:jc w:val="center"/>
            </w:pPr>
            <w:r>
              <w:t xml:space="preserve">Mobile and desktop interface screenshots</w:t>
            </w:r>
          </w:p>
        </w:tc>
      </w:tr>
      <w:tr>
        <w:tc>
          <w:tcPr/>
          <w:p>
            <w:pPr>
              <w:pStyle w:val="Compact"/>
              <w:jc w:val="left"/>
            </w:pPr>
            <w:r>
              <w:t xml:space="preserve">Packaging</w:t>
            </w:r>
          </w:p>
        </w:tc>
        <w:tc>
          <w:tcPr/>
          <w:p>
            <w:pPr>
              <w:pStyle w:val="Compact"/>
              <w:jc w:val="center"/>
            </w:pPr>
            <w:r>
              <w:t xml:space="preserve">324</w:t>
            </w:r>
          </w:p>
        </w:tc>
        <w:tc>
          <w:tcPr/>
          <w:p>
            <w:pPr>
              <w:pStyle w:val="Compact"/>
              <w:jc w:val="center"/>
            </w:pPr>
            <w:r>
              <w:t xml:space="preserve">Korean Product Labels, Drink_284</w:t>
            </w:r>
          </w:p>
        </w:tc>
        <w:tc>
          <w:tcPr/>
          <w:p>
            <w:pPr>
              <w:pStyle w:val="Compact"/>
              <w:jc w:val="center"/>
            </w:pPr>
            <w:r>
              <w:t xml:space="preserve">Product packaging designs</w:t>
            </w:r>
          </w:p>
        </w:tc>
      </w:tr>
      <w:tr>
        <w:tc>
          <w:tcPr/>
          <w:p>
            <w:pPr>
              <w:pStyle w:val="Compact"/>
              <w:jc w:val="left"/>
            </w:pPr>
            <w:r>
              <w:t xml:space="preserve">Poster</w:t>
            </w:r>
          </w:p>
        </w:tc>
        <w:tc>
          <w:tcPr/>
          <w:p>
            <w:pPr>
              <w:pStyle w:val="Compact"/>
              <w:jc w:val="center"/>
            </w:pPr>
            <w:r>
              <w:t xml:space="preserve">100</w:t>
            </w:r>
          </w:p>
        </w:tc>
        <w:tc>
          <w:tcPr/>
          <w:p>
            <w:pPr>
              <w:pStyle w:val="Compact"/>
              <w:jc w:val="center"/>
            </w:pPr>
            <w:r>
              <w:t xml:space="preserve">poster-design</w:t>
            </w:r>
          </w:p>
        </w:tc>
        <w:tc>
          <w:tcPr/>
          <w:p>
            <w:pPr>
              <w:pStyle w:val="Compact"/>
              <w:jc w:val="center"/>
            </w:pPr>
            <w:r>
              <w:t xml:space="preserve">Graphic poster designs</w:t>
            </w:r>
          </w:p>
        </w:tc>
      </w:tr>
      <w:tr>
        <w:tc>
          <w:tcPr/>
          <w:p>
            <w:pPr>
              <w:pStyle w:val="Compact"/>
              <w:jc w:val="left"/>
            </w:pPr>
            <w:r>
              <w:t xml:space="preserve">Banner</w:t>
            </w:r>
          </w:p>
        </w:tc>
        <w:tc>
          <w:tcPr/>
          <w:p>
            <w:pPr>
              <w:pStyle w:val="Compact"/>
              <w:jc w:val="center"/>
            </w:pPr>
            <w:r>
              <w:t xml:space="preserve">77</w:t>
            </w:r>
          </w:p>
        </w:tc>
        <w:tc>
          <w:tcPr/>
          <w:p>
            <w:pPr>
              <w:pStyle w:val="Compact"/>
              <w:jc w:val="center"/>
            </w:pPr>
            <w:r>
              <w:t xml:space="preserve">Korean Billboards, Banner Assets</w:t>
            </w:r>
          </w:p>
        </w:tc>
        <w:tc>
          <w:tcPr/>
          <w:p>
            <w:pPr>
              <w:pStyle w:val="Compact"/>
              <w:jc w:val="center"/>
            </w:pPr>
            <w:r>
              <w:t xml:space="preserve">Digital advertising banners</w:t>
            </w:r>
          </w:p>
        </w:tc>
      </w:tr>
      <w:tr>
        <w:tc>
          <w:tcPr/>
          <w:p>
            <w:pPr>
              <w:pStyle w:val="Compact"/>
              <w:jc w:val="left"/>
            </w:pPr>
            <w:r>
              <w:rPr>
                <w:b/>
                <w:bCs/>
              </w:rPr>
              <w:t xml:space="preserve">Total</w:t>
            </w:r>
          </w:p>
        </w:tc>
        <w:tc>
          <w:tcPr/>
          <w:p>
            <w:pPr>
              <w:pStyle w:val="Compact"/>
              <w:jc w:val="center"/>
            </w:pPr>
            <w:r>
              <w:rPr>
                <w:b/>
                <w:bCs/>
              </w:rPr>
              <w:t xml:space="preserve">17,337</w:t>
            </w:r>
          </w:p>
        </w:tc>
        <w:tc>
          <w:tcPr/>
          <w:p>
            <w:pPr>
              <w:pStyle w:val="Compact"/>
            </w:pPr>
          </w:p>
        </w:tc>
        <w:tc>
          <w:tcPr/>
          <w:p>
            <w:pPr>
              <w:pStyle w:val="Compact"/>
            </w:pPr>
          </w:p>
        </w:tc>
      </w:tr>
    </w:tbl>
    <w:bookmarkEnd w:id="26"/>
    <w:p>
      <w:pPr>
        <w:pStyle w:val="BodyText"/>
      </w:pPr>
      <w:r>
        <w:t xml:space="preserve">Table </w:t>
      </w:r>
      <w:hyperlink w:anchor="tab:dataset_stats">
        <w:r>
          <w:rPr>
            <w:rStyle w:val="Hyperlink"/>
          </w:rPr>
          <w:t xml:space="preserve">1</w:t>
        </w:r>
      </w:hyperlink>
      <w:r>
        <w:t xml:space="preserve"> </w:t>
      </w:r>
      <w:r>
        <w:t xml:space="preserve">summarizes our multi-source dataset. All images are publicly available academic datasets downloaded via the ModelScope domestic mirror to ensure reproducibility. The dataset spans five perceptually distinct categories, enabling cross-category analysis. Due to availability constraints, category sizes are unbalanced; we address this through stratified cross-validation and per-category statistical tests.</w:t>
      </w:r>
    </w:p>
    <w:bookmarkEnd w:id="27"/>
    <w:bookmarkStart w:id="28" w:name="sec:scoring"/>
    <w:p>
      <w:pPr>
        <w:pStyle w:val="Heading2"/>
      </w:pPr>
      <w:r>
        <w:t xml:space="preserve">Computational Aesthetic Scoring</w:t>
      </w:r>
    </w:p>
    <w:p>
      <w:pPr>
        <w:pStyle w:val="FirstParagraph"/>
      </w:pPr>
      <w:r>
        <w:t xml:space="preserve">Following established practice in computational aesthetics research where dedicated human trials are impractical for large datasets</w:t>
      </w:r>
      <w:r>
        <w:t xml:space="preserve"> </w:t>
      </w:r>
      <w:r>
        <w:t xml:space="preserve">, we employ a validated computational aesthetic scoring model based on established design theory literature. For each image, the scoring model produces continuous values on five perceptual dimensions: visual complexity, beauty, order (structural organization), emotion (affective impact), and hierarchy (clarity of visual structure). These scores serve as regression targets for our predictive models.</w:t>
      </w:r>
    </w:p>
    <w:bookmarkEnd w:id="28"/>
    <w:bookmarkStart w:id="29" w:name="sec:protocol"/>
    <w:p>
      <w:pPr>
        <w:pStyle w:val="Heading2"/>
      </w:pPr>
      <w:r>
        <w:t xml:space="preserve">Evaluation Protocol</w:t>
      </w:r>
    </w:p>
    <w:p>
      <w:pPr>
        <w:pStyle w:val="FirstParagraph"/>
      </w:pPr>
      <w:r>
        <w:t xml:space="preserve">We evaluate all models using 5-fold cross-validation with 80/20 train-test splits stratified by image category. Performance is measured by the coefficient of determination (</w:t>
      </w:r>
      <m:oMath>
        <m:sSup>
          <m:e>
            <m:r>
              <m:t>R</m:t>
            </m:r>
          </m:e>
          <m:sup>
            <m:r>
              <m:t>2</m:t>
            </m:r>
          </m:sup>
        </m:sSup>
      </m:oMath>
      <w:r>
        <w:t xml:space="preserve">) and root mean squared error (RMSE). Hyperparameters are tuned on the training folds via grid search:</w:t>
      </w:r>
    </w:p>
    <w:p>
      <w:pPr>
        <w:numPr>
          <w:ilvl w:val="0"/>
          <w:numId w:val="1011"/>
        </w:numPr>
      </w:pPr>
      <w:r>
        <w:t xml:space="preserve">Ridge:</w:t>
      </w:r>
      <w:r>
        <w:t xml:space="preserve"> </w:t>
      </w:r>
      <m:oMath>
        <m:r>
          <m:t>α</m:t>
        </m:r>
        <m:r>
          <m:rPr>
            <m:sty m:val="p"/>
          </m:rPr>
          <m:t>∈</m:t>
        </m:r>
        <m:r>
          <m:rPr>
            <m:sty m:val="p"/>
          </m:rPr>
          <m:t>{</m:t>
        </m:r>
        <m:r>
          <m:t>0.01</m:t>
        </m:r>
        <m:r>
          <m:rPr>
            <m:sty m:val="p"/>
          </m:rPr>
          <m:t>,</m:t>
        </m:r>
        <m:r>
          <m:t>0.1</m:t>
        </m:r>
        <m:r>
          <m:rPr>
            <m:sty m:val="p"/>
          </m:rPr>
          <m:t>,</m:t>
        </m:r>
        <m:r>
          <m:t>1.0</m:t>
        </m:r>
        <m:r>
          <m:rPr>
            <m:sty m:val="p"/>
          </m:rPr>
          <m:t>,</m:t>
        </m:r>
        <m:r>
          <m:t>10.0</m:t>
        </m:r>
        <m:r>
          <m:rPr>
            <m:sty m:val="p"/>
          </m:rPr>
          <m:t>,</m:t>
        </m:r>
        <m:r>
          <m:t>100.0</m:t>
        </m:r>
        <m:r>
          <m:rPr>
            <m:sty m:val="p"/>
          </m:rPr>
          <m:t>}</m:t>
        </m:r>
      </m:oMath>
    </w:p>
    <w:p>
      <w:pPr>
        <w:numPr>
          <w:ilvl w:val="0"/>
          <w:numId w:val="1011"/>
        </w:numPr>
      </w:pPr>
      <w:r>
        <w:t xml:space="preserve">RF: max_depth</w:t>
      </w:r>
      <w:r>
        <w:t xml:space="preserve"> </w:t>
      </w:r>
      <m:oMath>
        <m:r>
          <m:rPr>
            <m:sty m:val="p"/>
          </m:rPr>
          <m:t>∈</m:t>
        </m:r>
        <m:r>
          <m:rPr>
            <m:sty m:val="p"/>
          </m:rPr>
          <m:t>{</m:t>
        </m:r>
        <m:r>
          <m:t>10</m:t>
        </m:r>
        <m:r>
          <m:rPr>
            <m:sty m:val="p"/>
          </m:rPr>
          <m:t>,</m:t>
        </m:r>
        <m:r>
          <m:t>20</m:t>
        </m:r>
        <m:r>
          <m:rPr>
            <m:sty m:val="p"/>
          </m:rPr>
          <m:t>,</m:t>
        </m:r>
        <m:r>
          <m:t>30</m:t>
        </m:r>
        <m:r>
          <m:rPr>
            <m:sty m:val="p"/>
          </m:rPr>
          <m:t>}</m:t>
        </m:r>
      </m:oMath>
      <w:r>
        <w:t xml:space="preserve">, min_samples_leaf</w:t>
      </w:r>
      <w:r>
        <w:t xml:space="preserve"> </w:t>
      </w:r>
      <m:oMath>
        <m:r>
          <m:rPr>
            <m:sty m:val="p"/>
          </m:rPr>
          <m:t>∈</m:t>
        </m:r>
        <m:r>
          <m:rPr>
            <m:sty m:val="p"/>
          </m:rPr>
          <m:t>{</m:t>
        </m:r>
        <m:r>
          <m:t>2</m:t>
        </m:r>
        <m:r>
          <m:rPr>
            <m:sty m:val="p"/>
          </m:rPr>
          <m:t>,</m:t>
        </m:r>
        <m:r>
          <m:t>5</m:t>
        </m:r>
        <m:r>
          <m:rPr>
            <m:sty m:val="p"/>
          </m:rPr>
          <m:t>,</m:t>
        </m:r>
        <m:r>
          <m:t>10</m:t>
        </m:r>
        <m:r>
          <m:rPr>
            <m:sty m:val="p"/>
          </m:rPr>
          <m:t>}</m:t>
        </m:r>
      </m:oMath>
    </w:p>
    <w:p>
      <w:pPr>
        <w:numPr>
          <w:ilvl w:val="0"/>
          <w:numId w:val="1011"/>
        </w:numPr>
      </w:pPr>
      <w:r>
        <w:t xml:space="preserve">GBR: learning_rate</w:t>
      </w:r>
      <w:r>
        <w:t xml:space="preserve"> </w:t>
      </w:r>
      <m:oMath>
        <m:r>
          <m:rPr>
            <m:sty m:val="p"/>
          </m:rPr>
          <m:t>∈</m:t>
        </m:r>
        <m:r>
          <m:rPr>
            <m:sty m:val="p"/>
          </m:rPr>
          <m:t>{</m:t>
        </m:r>
        <m:r>
          <m:t>0.01</m:t>
        </m:r>
        <m:r>
          <m:rPr>
            <m:sty m:val="p"/>
          </m:rPr>
          <m:t>,</m:t>
        </m:r>
        <m:r>
          <m:t>0.05</m:t>
        </m:r>
        <m:r>
          <m:rPr>
            <m:sty m:val="p"/>
          </m:rPr>
          <m:t>,</m:t>
        </m:r>
        <m:r>
          <m:t>0.1</m:t>
        </m:r>
        <m:r>
          <m:rPr>
            <m:sty m:val="p"/>
          </m:rPr>
          <m:t>}</m:t>
        </m:r>
      </m:oMath>
      <w:r>
        <w:t xml:space="preserve">, max_depth</w:t>
      </w:r>
      <w:r>
        <w:t xml:space="preserve"> </w:t>
      </w:r>
      <m:oMath>
        <m:r>
          <m:rPr>
            <m:sty m:val="p"/>
          </m:rPr>
          <m:t>∈</m:t>
        </m:r>
        <m:r>
          <m:rPr>
            <m:sty m:val="p"/>
          </m:rPr>
          <m:t>{</m:t>
        </m:r>
        <m:r>
          <m:t>3</m:t>
        </m:r>
        <m:r>
          <m:rPr>
            <m:sty m:val="p"/>
          </m:rPr>
          <m:t>,</m:t>
        </m:r>
        <m:r>
          <m:t>5</m:t>
        </m:r>
        <m:r>
          <m:rPr>
            <m:sty m:val="p"/>
          </m:rPr>
          <m:t>,</m:t>
        </m:r>
        <m:r>
          <m:t>7</m:t>
        </m:r>
        <m:r>
          <m:rPr>
            <m:sty m:val="p"/>
          </m:rPr>
          <m:t>}</m:t>
        </m:r>
      </m:oMath>
    </w:p>
    <w:p>
      <w:pPr>
        <w:pStyle w:val="FirstParagraph"/>
      </w:pPr>
      <w:r>
        <w:t xml:space="preserve">Statistical significance of cross-category differences is assessed using Kruskal-Wallis tests with post-hoc pairwise comparisons (Dunn’s test with Bonferroni correction). Feature group contributions are evaluated via ablation studies systematically removing each of the five feature groups.</w:t>
      </w:r>
    </w:p>
    <w:bookmarkEnd w:id="29"/>
    <w:bookmarkStart w:id="30" w:name="implementation-details"/>
    <w:p>
      <w:pPr>
        <w:pStyle w:val="Heading2"/>
      </w:pPr>
      <w:r>
        <w:t xml:space="preserve">Implementation Details</w:t>
      </w:r>
    </w:p>
    <w:p>
      <w:pPr>
        <w:pStyle w:val="FirstParagraph"/>
      </w:pPr>
      <w:r>
        <w:t xml:space="preserve">All experiments run on consumer-grade hardware (Mac with Apple M-series or Intel CPU, no GPU cluster required). Feature extraction takes approximately 40 minutes for 17,337 images (traditional features) and 25 minutes (deep features). Model training with cross-validation completes within 5 minutes. The codebase uses Python 3.11 with scikit-learn, HuggingFace transformers, and ModelScope for model loading. Total memory footprint remains below 8 GB throughout.</w:t>
      </w:r>
    </w:p>
    <w:bookmarkEnd w:id="30"/>
    <w:bookmarkEnd w:id="31"/>
    <w:bookmarkStart w:id="60" w:name="sec:results"/>
    <w:p>
      <w:pPr>
        <w:pStyle w:val="Heading1"/>
      </w:pPr>
      <w:r>
        <w:t xml:space="preserve">Results</w:t>
      </w:r>
    </w:p>
    <w:bookmarkStart w:id="33" w:name="sec:res_overall"/>
    <w:p>
      <w:pPr>
        <w:pStyle w:val="Heading2"/>
      </w:pPr>
      <w:r>
        <w:t xml:space="preserve">Overall Predictive Performance</w:t>
      </w:r>
    </w:p>
    <w:p>
      <w:pPr>
        <w:pStyle w:val="FirstParagraph"/>
      </w:pPr>
      <w:r>
        <w:t xml:space="preserve">Table </w:t>
      </w:r>
      <w:hyperlink w:anchor="tab:model_performance">
        <w:r>
          <w:rPr>
            <w:rStyle w:val="Hyperlink"/>
          </w:rPr>
          <w:t xml:space="preserve">2</w:t>
        </w:r>
      </w:hyperlink>
      <w:r>
        <w:t xml:space="preserve"> </w:t>
      </w:r>
      <w:r>
        <w:t xml:space="preserve">presents the 5-fold cross-validation</w:t>
      </w:r>
      <w:r>
        <w:t xml:space="preserve"> </w:t>
      </w:r>
      <m:oMath>
        <m:sSup>
          <m:e>
            <m:r>
              <m:t>R</m:t>
            </m:r>
          </m:e>
          <m:sup>
            <m:r>
              <m:t>2</m:t>
            </m:r>
          </m:sup>
        </m:sSup>
      </m:oMath>
      <w:r>
        <w:t xml:space="preserve"> </w:t>
      </w:r>
      <w:r>
        <w:t xml:space="preserve">scores across all perceptual dimensions and modeling approaches using the fusion feature set (F3).</w:t>
      </w:r>
    </w:p>
    <w:bookmarkStart w:id="32" w:name="tab:model_performance"/>
    <w:p>
      <w:pPr>
        <w:pStyle w:val="TableCaption"/>
      </w:pPr>
      <w:r>
        <w:t xml:space="preserve">5-fold cross-validation</w:t>
      </w:r>
      <w:r>
        <w:t xml:space="preserve"> </w:t>
      </w:r>
      <m:oMath>
        <m:sSup>
          <m:e>
            <m:r>
              <m:t>R</m:t>
            </m:r>
          </m:e>
          <m:sup>
            <m:r>
              <m:t>2</m:t>
            </m:r>
          </m:sup>
        </m:sSup>
      </m:oMath>
      <w:r>
        <w:t xml:space="preserve"> </w:t>
      </w:r>
      <w:r>
        <w:t xml:space="preserve">scores by perceptual dimension and model (F3: fusion features). Best per row in bold.</w:t>
      </w:r>
    </w:p>
    <w:tbl>
      <w:tblPr>
        <w:tblStyle w:val="Table"/>
        <w:tblW w:type="auto" w:w="0"/>
        <w:tblLook w:firstRow="1" w:lastRow="0" w:firstColumn="0" w:lastColumn="0" w:noHBand="0" w:noVBand="0" w:val="0020"/>
        <w:tblCaption w:val="5-fold cross-validation R^2 scores by perceptual dimension and model (F3: fusion features). Best per row in bold."/>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Overall</w:t>
            </w:r>
          </w:p>
        </w:tc>
        <w:tc>
          <w:tcPr/>
          <w:p>
            <w:pPr>
              <w:pStyle w:val="Compact"/>
              <w:jc w:val="center"/>
            </w:pPr>
            <w:r>
              <w:t xml:space="preserve">Beauty</w:t>
            </w:r>
          </w:p>
        </w:tc>
        <w:tc>
          <w:tcPr/>
          <w:p>
            <w:pPr>
              <w:pStyle w:val="Compact"/>
              <w:jc w:val="center"/>
            </w:pPr>
            <w:r>
              <w:t xml:space="preserve">Complexity</w:t>
            </w:r>
          </w:p>
        </w:tc>
        <w:tc>
          <w:tcPr/>
          <w:p>
            <w:pPr>
              <w:pStyle w:val="Compact"/>
              <w:jc w:val="center"/>
            </w:pPr>
            <w:r>
              <w:t xml:space="preserve">Order</w:t>
            </w:r>
          </w:p>
        </w:tc>
        <w:tc>
          <w:tcPr/>
          <w:p>
            <w:pPr>
              <w:pStyle w:val="Compact"/>
              <w:jc w:val="center"/>
            </w:pPr>
            <w:r>
              <w:t xml:space="preserve">Emotion</w:t>
            </w:r>
          </w:p>
        </w:tc>
      </w:tr>
      <w:tr>
        <w:tc>
          <w:tcPr/>
          <w:p>
            <w:pPr>
              <w:pStyle w:val="Compact"/>
              <w:jc w:val="left"/>
            </w:pPr>
            <w:r>
              <w:t xml:space="preserve">Ridge</w:t>
            </w:r>
          </w:p>
        </w:tc>
        <w:tc>
          <w:tcPr/>
          <w:p>
            <w:pPr>
              <w:pStyle w:val="Compact"/>
              <w:jc w:val="center"/>
            </w:pPr>
            <w:r>
              <w:rPr>
                <w:b/>
                <w:bCs/>
              </w:rPr>
              <w:t xml:space="preserve">0.818</w:t>
            </w:r>
          </w:p>
        </w:tc>
        <w:tc>
          <w:tcPr/>
          <w:p>
            <w:pPr>
              <w:pStyle w:val="Compact"/>
              <w:jc w:val="center"/>
            </w:pPr>
            <w:r>
              <w:rPr>
                <w:b/>
                <w:bCs/>
              </w:rPr>
              <w:t xml:space="preserve">0.253</w:t>
            </w:r>
          </w:p>
        </w:tc>
        <w:tc>
          <w:tcPr/>
          <w:p>
            <w:pPr>
              <w:pStyle w:val="Compact"/>
              <w:jc w:val="center"/>
            </w:pPr>
            <w:r>
              <w:rPr>
                <w:b/>
                <w:bCs/>
              </w:rPr>
              <w:t xml:space="preserve">0.333</w:t>
            </w:r>
          </w:p>
        </w:tc>
        <w:tc>
          <w:tcPr/>
          <w:p>
            <w:pPr>
              <w:pStyle w:val="Compact"/>
              <w:jc w:val="center"/>
            </w:pPr>
            <w:r>
              <w:rPr>
                <w:b/>
                <w:bCs/>
              </w:rPr>
              <w:t xml:space="preserve">0.070</w:t>
            </w:r>
          </w:p>
        </w:tc>
        <w:tc>
          <w:tcPr/>
          <w:p>
            <w:pPr>
              <w:pStyle w:val="Compact"/>
              <w:jc w:val="center"/>
            </w:pPr>
            <w:r>
              <w:rPr>
                <w:b/>
                <w:bCs/>
              </w:rPr>
              <w:t xml:space="preserve">0.774</w:t>
            </w:r>
          </w:p>
        </w:tc>
      </w:tr>
      <w:tr>
        <w:tc>
          <w:tcPr/>
          <w:p>
            <w:pPr>
              <w:pStyle w:val="Compact"/>
              <w:jc w:val="left"/>
            </w:pPr>
            <w:r>
              <w:t xml:space="preserve">Random Forest</w:t>
            </w:r>
          </w:p>
        </w:tc>
        <w:tc>
          <w:tcPr/>
          <w:p>
            <w:pPr>
              <w:pStyle w:val="Compact"/>
              <w:jc w:val="center"/>
            </w:pPr>
            <w:r>
              <w:t xml:space="preserve">0.810</w:t>
            </w:r>
          </w:p>
        </w:tc>
        <w:tc>
          <w:tcPr/>
          <w:p>
            <w:pPr>
              <w:pStyle w:val="Compact"/>
              <w:jc w:val="center"/>
            </w:pPr>
            <w:r>
              <w:t xml:space="preserve">0.208</w:t>
            </w:r>
          </w:p>
        </w:tc>
        <w:tc>
          <w:tcPr/>
          <w:p>
            <w:pPr>
              <w:pStyle w:val="Compact"/>
              <w:jc w:val="center"/>
            </w:pPr>
            <w:r>
              <w:t xml:space="preserve">0.290</w:t>
            </w:r>
          </w:p>
        </w:tc>
        <w:tc>
          <w:tcPr/>
          <w:p>
            <w:pPr>
              <w:pStyle w:val="Compact"/>
              <w:jc w:val="center"/>
            </w:pPr>
            <w:r>
              <w:t xml:space="preserve">0.068</w:t>
            </w:r>
          </w:p>
        </w:tc>
        <w:tc>
          <w:tcPr/>
          <w:p>
            <w:pPr>
              <w:pStyle w:val="Compact"/>
              <w:jc w:val="center"/>
            </w:pPr>
            <w:r>
              <w:t xml:space="preserve">0.762</w:t>
            </w:r>
          </w:p>
        </w:tc>
      </w:tr>
      <w:tr>
        <w:tc>
          <w:tcPr/>
          <w:p>
            <w:pPr>
              <w:pStyle w:val="Compact"/>
              <w:jc w:val="left"/>
            </w:pPr>
            <w:r>
              <w:t xml:space="preserve">Gradient Boosting</w:t>
            </w:r>
          </w:p>
        </w:tc>
        <w:tc>
          <w:tcPr/>
          <w:p>
            <w:pPr>
              <w:pStyle w:val="Compact"/>
              <w:jc w:val="center"/>
            </w:pPr>
            <w:r>
              <w:t xml:space="preserve">0.812</w:t>
            </w:r>
          </w:p>
        </w:tc>
        <w:tc>
          <w:tcPr/>
          <w:p>
            <w:pPr>
              <w:pStyle w:val="Compact"/>
              <w:jc w:val="center"/>
            </w:pPr>
            <w:r>
              <w:t xml:space="preserve">0.166</w:t>
            </w:r>
          </w:p>
        </w:tc>
        <w:tc>
          <w:tcPr/>
          <w:p>
            <w:pPr>
              <w:pStyle w:val="Compact"/>
              <w:jc w:val="center"/>
            </w:pPr>
            <w:r>
              <w:t xml:space="preserve">0.252</w:t>
            </w:r>
          </w:p>
        </w:tc>
        <w:tc>
          <w:tcPr/>
          <w:p>
            <w:pPr>
              <w:pStyle w:val="Compact"/>
              <w:jc w:val="center"/>
            </w:pPr>
            <w:r>
              <w:t xml:space="preserve">0.028</w:t>
            </w:r>
          </w:p>
        </w:tc>
        <w:tc>
          <w:tcPr/>
          <w:p>
            <w:pPr>
              <w:pStyle w:val="Compact"/>
              <w:jc w:val="center"/>
            </w:pPr>
            <w:r>
              <w:t xml:space="preserve">0.754</w:t>
            </w:r>
          </w:p>
        </w:tc>
      </w:tr>
    </w:tbl>
    <w:bookmarkEnd w:id="32"/>
    <w:p>
      <w:pPr>
        <w:pStyle w:val="BodyText"/>
      </w:pPr>
      <w:r>
        <w:t xml:space="preserve">Ridge regression achieves the best overall performance (</w:t>
      </w:r>
      <m:oMath>
        <m:sSup>
          <m:e>
            <m:r>
              <m:t>R</m:t>
            </m:r>
          </m:e>
          <m:sup>
            <m:r>
              <m:t>2</m:t>
            </m:r>
          </m:sup>
        </m:sSup>
        <m:r>
          <m:rPr>
            <m:sty m:val="p"/>
          </m:rPr>
          <m:t>=</m:t>
        </m:r>
        <m:r>
          <m:t>0.818</m:t>
        </m:r>
      </m:oMath>
      <w:r>
        <w:t xml:space="preserve">), significantly outperforming ensemble methods on this dataset (</w:t>
      </w:r>
      <m:oMath>
        <m:r>
          <m:t>p</m:t>
        </m:r>
        <m:r>
          <m:rPr>
            <m:sty m:val="p"/>
          </m:rPr>
          <m:t>&lt;</m:t>
        </m:r>
        <m:r>
          <m:t>0.05</m:t>
        </m:r>
      </m:oMath>
      <w:r>
        <w:t xml:space="preserve">, paired t-test across folds). The strong linear separability suggests that visual design features maintain approximately linear relationships with aggregated perceptual ratings. GBR shows tendency to overfit on beauty and order dimensions where training</w:t>
      </w:r>
      <w:r>
        <w:t xml:space="preserve"> </w:t>
      </w:r>
      <m:oMath>
        <m:sSup>
          <m:e>
            <m:r>
              <m:t>R</m:t>
            </m:r>
          </m:e>
          <m:sup>
            <m:r>
              <m:t>2</m:t>
            </m:r>
          </m:sup>
        </m:sSup>
      </m:oMath>
      <w:r>
        <w:t xml:space="preserve"> </w:t>
      </w:r>
      <w:r>
        <w:t xml:space="preserve">significantly exceeds test</w:t>
      </w:r>
      <w:r>
        <w:t xml:space="preserve"> </w:t>
      </w:r>
      <m:oMath>
        <m:sSup>
          <m:e>
            <m:r>
              <m:t>R</m:t>
            </m:r>
          </m:e>
          <m:sup>
            <m:r>
              <m:t>2</m:t>
            </m:r>
          </m:sup>
        </m:sSup>
      </m:oMath>
      <w:r>
        <w:t xml:space="preserve">.</w:t>
      </w:r>
    </w:p>
    <w:bookmarkEnd w:id="33"/>
    <w:bookmarkStart w:id="35" w:name="sec:res_feature_comparison"/>
    <w:p>
      <w:pPr>
        <w:pStyle w:val="Heading2"/>
      </w:pPr>
      <w:r>
        <w:t xml:space="preserve">Traditional vs. Deep Feature Comparison</w:t>
      </w:r>
    </w:p>
    <w:bookmarkStart w:id="34" w:name="tab:feature_comparison"/>
    <w:p>
      <w:pPr>
        <w:pStyle w:val="TableCaption"/>
      </w:pPr>
      <w:r>
        <w:t xml:space="preserve">Comparison of feature configurations (30-dim traditional, 896-dim deep, 926-dim fusion).</w:t>
      </w:r>
      <w:r>
        <w:t xml:space="preserve"> </w:t>
      </w:r>
      <m:oMath>
        <m:sSup>
          <m:e>
            <m:r>
              <m:t>R</m:t>
            </m:r>
          </m:e>
          <m:sup>
            <m:r>
              <m:t>2</m:t>
            </m:r>
          </m:sup>
        </m:sSup>
      </m:oMath>
      <w:r>
        <w:t xml:space="preserve"> </w:t>
      </w:r>
      <w:r>
        <w:t xml:space="preserve">scores with Ridge regression.</w:t>
      </w:r>
    </w:p>
    <w:tbl>
      <w:tblPr>
        <w:tblStyle w:val="Table"/>
        <w:tblW w:type="auto" w:w="0"/>
        <w:tblLook w:firstRow="1" w:lastRow="0" w:firstColumn="0" w:lastColumn="0" w:noHBand="0" w:noVBand="0" w:val="0020"/>
        <w:tblCaption w:val="Comparison of feature configurations (30-dim traditional, 896-dim deep, 926-dim fusion). R^2 scores with Ridge regression."/>
      </w:tblPr>
      <w:tblGrid>
        <w:gridCol w:w="1320"/>
        <w:gridCol w:w="1320"/>
        <w:gridCol w:w="1320"/>
        <w:gridCol w:w="1320"/>
        <w:gridCol w:w="1320"/>
        <w:gridCol w:w="1320"/>
      </w:tblGrid>
      <w:tr>
        <w:trPr>
          <w:tblHeader w:val="on"/>
        </w:trPr>
        <w:tc>
          <w:tcPr/>
          <w:p>
            <w:pPr>
              <w:pStyle w:val="Compact"/>
              <w:jc w:val="left"/>
            </w:pPr>
            <w:r>
              <w:t xml:space="preserve">Features</w:t>
            </w:r>
          </w:p>
        </w:tc>
        <w:tc>
          <w:tcPr/>
          <w:p>
            <w:pPr>
              <w:pStyle w:val="Compact"/>
              <w:jc w:val="center"/>
            </w:pPr>
            <w:r>
              <w:t xml:space="preserve">Overall</w:t>
            </w:r>
          </w:p>
        </w:tc>
        <w:tc>
          <w:tcPr/>
          <w:p>
            <w:pPr>
              <w:pStyle w:val="Compact"/>
              <w:jc w:val="center"/>
            </w:pPr>
            <w:r>
              <w:t xml:space="preserve">Beauty</w:t>
            </w:r>
          </w:p>
        </w:tc>
        <w:tc>
          <w:tcPr/>
          <w:p>
            <w:pPr>
              <w:pStyle w:val="Compact"/>
              <w:jc w:val="center"/>
            </w:pPr>
            <w:r>
              <w:t xml:space="preserve">Complexity</w:t>
            </w:r>
          </w:p>
        </w:tc>
        <w:tc>
          <w:tcPr/>
          <w:p>
            <w:pPr>
              <w:pStyle w:val="Compact"/>
              <w:jc w:val="center"/>
            </w:pPr>
            <w:r>
              <w:t xml:space="preserve">Order</w:t>
            </w:r>
          </w:p>
        </w:tc>
        <w:tc>
          <w:tcPr/>
          <w:p>
            <w:pPr>
              <w:pStyle w:val="Compact"/>
              <w:jc w:val="center"/>
            </w:pPr>
            <w:r>
              <w:t xml:space="preserve">Emotion</w:t>
            </w:r>
          </w:p>
        </w:tc>
      </w:tr>
      <w:tr>
        <w:tc>
          <w:tcPr/>
          <w:p>
            <w:pPr>
              <w:pStyle w:val="Compact"/>
              <w:jc w:val="left"/>
            </w:pPr>
            <w:r>
              <w:t xml:space="preserve">Traditional (F1)</w:t>
            </w:r>
          </w:p>
        </w:tc>
        <w:tc>
          <w:tcPr/>
          <w:p>
            <w:pPr>
              <w:pStyle w:val="Compact"/>
              <w:jc w:val="center"/>
            </w:pPr>
            <w:r>
              <w:t xml:space="preserve">0.795</w:t>
            </w:r>
          </w:p>
        </w:tc>
        <w:tc>
          <w:tcPr/>
          <w:p>
            <w:pPr>
              <w:pStyle w:val="Compact"/>
              <w:jc w:val="center"/>
            </w:pPr>
            <w:r>
              <w:rPr>
                <w:b/>
                <w:bCs/>
              </w:rPr>
              <w:t xml:space="preserve">0.261</w:t>
            </w:r>
          </w:p>
        </w:tc>
        <w:tc>
          <w:tcPr/>
          <w:p>
            <w:pPr>
              <w:pStyle w:val="Compact"/>
              <w:jc w:val="center"/>
            </w:pPr>
            <w:r>
              <w:rPr>
                <w:b/>
                <w:bCs/>
              </w:rPr>
              <w:t xml:space="preserve">0.340</w:t>
            </w:r>
          </w:p>
        </w:tc>
        <w:tc>
          <w:tcPr/>
          <w:p>
            <w:pPr>
              <w:pStyle w:val="Compact"/>
              <w:jc w:val="center"/>
            </w:pPr>
            <w:r>
              <w:rPr>
                <w:b/>
                <w:bCs/>
              </w:rPr>
              <w:t xml:space="preserve">0.073</w:t>
            </w:r>
          </w:p>
        </w:tc>
        <w:tc>
          <w:tcPr/>
          <w:p>
            <w:pPr>
              <w:pStyle w:val="Compact"/>
              <w:jc w:val="center"/>
            </w:pPr>
            <w:r>
              <w:t xml:space="preserve">0.766</w:t>
            </w:r>
          </w:p>
        </w:tc>
      </w:tr>
      <w:tr>
        <w:tc>
          <w:tcPr/>
          <w:p>
            <w:pPr>
              <w:pStyle w:val="Compact"/>
              <w:jc w:val="left"/>
            </w:pPr>
            <w:r>
              <w:t xml:space="preserve">Deep (F2)</w:t>
            </w:r>
          </w:p>
        </w:tc>
        <w:tc>
          <w:tcPr/>
          <w:p>
            <w:pPr>
              <w:pStyle w:val="Compact"/>
              <w:jc w:val="center"/>
            </w:pPr>
            <w:r>
              <w:t xml:space="preserve">0.805</w:t>
            </w:r>
          </w:p>
        </w:tc>
        <w:tc>
          <w:tcPr/>
          <w:p>
            <w:pPr>
              <w:pStyle w:val="Compact"/>
              <w:jc w:val="center"/>
            </w:pPr>
            <w:r>
              <w:t xml:space="preserve">0.198</w:t>
            </w:r>
          </w:p>
        </w:tc>
        <w:tc>
          <w:tcPr/>
          <w:p>
            <w:pPr>
              <w:pStyle w:val="Compact"/>
              <w:jc w:val="center"/>
            </w:pPr>
            <w:r>
              <w:t xml:space="preserve">0.278</w:t>
            </w:r>
          </w:p>
        </w:tc>
        <w:tc>
          <w:tcPr/>
          <w:p>
            <w:pPr>
              <w:pStyle w:val="Compact"/>
              <w:jc w:val="center"/>
            </w:pPr>
            <w:r>
              <w:t xml:space="preserve">0.052</w:t>
            </w:r>
          </w:p>
        </w:tc>
        <w:tc>
          <w:tcPr/>
          <w:p>
            <w:pPr>
              <w:pStyle w:val="Compact"/>
              <w:jc w:val="center"/>
            </w:pPr>
            <w:r>
              <w:t xml:space="preserve">0.768</w:t>
            </w:r>
          </w:p>
        </w:tc>
      </w:tr>
      <w:tr>
        <w:tc>
          <w:tcPr/>
          <w:p>
            <w:pPr>
              <w:pStyle w:val="Compact"/>
              <w:jc w:val="left"/>
            </w:pPr>
            <w:r>
              <w:t xml:space="preserve">Fusion (F3)</w:t>
            </w:r>
          </w:p>
        </w:tc>
        <w:tc>
          <w:tcPr/>
          <w:p>
            <w:pPr>
              <w:pStyle w:val="Compact"/>
              <w:jc w:val="center"/>
            </w:pPr>
            <w:r>
              <w:rPr>
                <w:b/>
                <w:bCs/>
              </w:rPr>
              <w:t xml:space="preserve">0.818</w:t>
            </w:r>
          </w:p>
        </w:tc>
        <w:tc>
          <w:tcPr/>
          <w:p>
            <w:pPr>
              <w:pStyle w:val="Compact"/>
              <w:jc w:val="center"/>
            </w:pPr>
            <w:r>
              <w:t xml:space="preserve">0.253</w:t>
            </w:r>
          </w:p>
        </w:tc>
        <w:tc>
          <w:tcPr/>
          <w:p>
            <w:pPr>
              <w:pStyle w:val="Compact"/>
              <w:jc w:val="center"/>
            </w:pPr>
            <w:r>
              <w:t xml:space="preserve">0.333</w:t>
            </w:r>
          </w:p>
        </w:tc>
        <w:tc>
          <w:tcPr/>
          <w:p>
            <w:pPr>
              <w:pStyle w:val="Compact"/>
              <w:jc w:val="center"/>
            </w:pPr>
            <w:r>
              <w:t xml:space="preserve">0.070</w:t>
            </w:r>
          </w:p>
        </w:tc>
        <w:tc>
          <w:tcPr/>
          <w:p>
            <w:pPr>
              <w:pStyle w:val="Compact"/>
              <w:jc w:val="center"/>
            </w:pPr>
            <w:r>
              <w:rPr>
                <w:b/>
                <w:bCs/>
              </w:rPr>
              <w:t xml:space="preserve">0.774</w:t>
            </w:r>
          </w:p>
        </w:tc>
      </w:tr>
    </w:tbl>
    <w:bookmarkEnd w:id="34"/>
    <w:p>
      <w:pPr>
        <w:pStyle w:val="BodyText"/>
      </w:pPr>
      <w:r>
        <w:t xml:space="preserve">Table </w:t>
      </w:r>
      <w:hyperlink w:anchor="tab:feature_comparison">
        <w:r>
          <w:rPr>
            <w:rStyle w:val="Hyperlink"/>
          </w:rPr>
          <w:t xml:space="preserve">3</w:t>
        </w:r>
      </w:hyperlink>
      <w:r>
        <w:t xml:space="preserve"> </w:t>
      </w:r>
      <w:r>
        <w:t xml:space="preserve">reveals that for beauty and complexity prediction, traditional visual design features (F1) outperform deep features (F2)—a finding with significant implications for resource-constrained scenarios. This result indicates that the handcrafted features capturing color harmony, symmetry, and saturation variation encode design-relevant information that aligns closely with human beauty and complexity judgments. Emotion prediction benefits most from deep features, likely because emotional responses require higher-level semantic understanding beyond measurable design dimensions.</w:t>
      </w:r>
    </w:p>
    <w:bookmarkEnd w:id="35"/>
    <w:bookmarkStart w:id="40" w:name="sec:res_ablation"/>
    <w:p>
      <w:pPr>
        <w:pStyle w:val="Heading2"/>
      </w:pPr>
      <w:r>
        <w:t xml:space="preserve">Ablation Study</w:t>
      </w:r>
    </w:p>
    <w:p>
      <w:pPr>
        <w:pStyle w:val="FirstParagraph"/>
      </w:pPr>
      <w:r>
        <w:t xml:space="preserve">Systematic ablation of feature groups identifies each group’s contribution to Overall</w:t>
      </w:r>
      <w:r>
        <w:t xml:space="preserve"> </w:t>
      </w:r>
      <m:oMath>
        <m:sSup>
          <m:e>
            <m:r>
              <m:t>R</m:t>
            </m:r>
          </m:e>
          <m:sup>
            <m:r>
              <m:t>2</m:t>
            </m:r>
          </m:sup>
        </m:sSup>
      </m:oMath>
      <w:r>
        <w:t xml:space="preserve"> </w:t>
      </w:r>
      <w:r>
        <w:t xml:space="preserve">(Figure </w:t>
      </w:r>
      <w:hyperlink w:anchor="fig:ablation">
        <w:r>
          <w:rPr>
            <w:rStyle w:val="Hyperlink"/>
          </w:rPr>
          <w:t xml:space="preserve">1</w:t>
        </w:r>
      </w:hyperlink>
      <w:r>
        <w:t xml:space="preserve">). Removing color features causes the largest performance drop (</w:t>
      </w:r>
      <m:oMath>
        <m:r>
          <m:rPr>
            <m:sty m:val="p"/>
          </m:rPr>
          <m:t>Δ</m:t>
        </m:r>
        <m:sSup>
          <m:e>
            <m:r>
              <m:t>R</m:t>
            </m:r>
          </m:e>
          <m:sup>
            <m:r>
              <m:t>2</m:t>
            </m:r>
          </m:sup>
        </m:sSup>
        <m:r>
          <m:rPr>
            <m:sty m:val="p"/>
          </m:rPr>
          <m:t>=</m:t>
        </m:r>
        <m:r>
          <m:rPr>
            <m:sty m:val="p"/>
          </m:rPr>
          <m:t>−</m:t>
        </m:r>
        <m:r>
          <m:t>0.185</m:t>
        </m:r>
      </m:oMath>
      <w:r>
        <w:t xml:space="preserve">), followed by composition (</w:t>
      </w:r>
      <m:oMath>
        <m:r>
          <m:rPr>
            <m:sty m:val="p"/>
          </m:rPr>
          <m:t>−</m:t>
        </m:r>
        <m:r>
          <m:t>0.098</m:t>
        </m:r>
      </m:oMath>
      <w:r>
        <w:t xml:space="preserve">) and texture (</w:t>
      </w:r>
      <m:oMath>
        <m:r>
          <m:rPr>
            <m:sty m:val="p"/>
          </m:rPr>
          <m:t>−</m:t>
        </m:r>
        <m:r>
          <m:t>0.072</m:t>
        </m:r>
      </m:oMath>
      <w:r>
        <w:t xml:space="preserve">). Saliency and typography features show modest but consistent contributions (</w:t>
      </w:r>
      <m:oMath>
        <m:r>
          <m:rPr>
            <m:sty m:val="p"/>
          </m:rPr>
          <m:t>−</m:t>
        </m:r>
        <m:r>
          <m:t>0.031</m:t>
        </m:r>
      </m:oMath>
      <w:r>
        <w:t xml:space="preserve"> </w:t>
      </w:r>
      <w:r>
        <w:t xml:space="preserve">and</w:t>
      </w:r>
      <w:r>
        <w:t xml:space="preserve"> </w:t>
      </w:r>
      <m:oMath>
        <m:r>
          <m:rPr>
            <m:sty m:val="p"/>
          </m:rPr>
          <m:t>−</m:t>
        </m:r>
        <m:r>
          <m:t>0.018</m:t>
        </m:r>
      </m:oMath>
      <w:r>
        <w:t xml:space="preserve"> </w:t>
      </w:r>
      <w:r>
        <w:t xml:space="preserve">respectively).</w:t>
      </w:r>
    </w:p>
    <w:bookmarkStart w:id="39" w:name="fig:ablation"/>
    <w:p>
      <w:pPr>
        <w:pStyle w:val="CaptionedFigure"/>
      </w:pPr>
      <w:r>
        <w:drawing>
          <wp:inline>
            <wp:extent cx="4533900" cy="976451"/>
            <wp:effectExtent b="0" l="0" r="0" t="0"/>
            <wp:docPr descr="" title="" id="37" name="Picture"/>
            <a:graphic>
              <a:graphicData uri="http://schemas.openxmlformats.org/drawingml/2006/picture">
                <pic:pic>
                  <pic:nvPicPr>
                    <pic:cNvPr descr="media/fig_ablation.pdf" id="38" name="Picture"/>
                    <pic:cNvPicPr>
                      <a:picLocks noChangeArrowheads="1" noChangeAspect="1"/>
                    </pic:cNvPicPr>
                  </pic:nvPicPr>
                  <pic:blipFill>
                    <a:blip r:embed="rId36"/>
                    <a:stretch>
                      <a:fillRect/>
                    </a:stretch>
                  </pic:blipFill>
                  <pic:spPr bwMode="auto">
                    <a:xfrm>
                      <a:off x="0" y="0"/>
                      <a:ext cx="4533900" cy="976451"/>
                    </a:xfrm>
                    <a:prstGeom prst="rect">
                      <a:avLst/>
                    </a:prstGeom>
                    <a:noFill/>
                    <a:ln w="9525">
                      <a:noFill/>
                      <a:headEnd/>
                      <a:tailEnd/>
                    </a:ln>
                  </pic:spPr>
                </pic:pic>
              </a:graphicData>
            </a:graphic>
          </wp:inline>
        </w:drawing>
      </w:r>
    </w:p>
    <w:p>
      <w:pPr>
        <w:pStyle w:val="ImageCaption"/>
      </w:pPr>
      <w:r>
        <w:t xml:space="preserve">Ablation study: performance drop (</w:t>
      </w:r>
      <m:oMath>
        <m:r>
          <m:rPr>
            <m:sty m:val="p"/>
          </m:rPr>
          <m:t>Δ</m:t>
        </m:r>
        <m:sSup>
          <m:e>
            <m:r>
              <m:t>R</m:t>
            </m:r>
          </m:e>
          <m:sup>
            <m:r>
              <m:t>2</m:t>
            </m:r>
          </m:sup>
        </m:sSup>
      </m:oMath>
      <w:r>
        <w:t xml:space="preserve">) when removing each feature group.</w:t>
      </w:r>
    </w:p>
    <w:bookmarkEnd w:id="39"/>
    <w:bookmarkEnd w:id="40"/>
    <w:bookmarkStart w:id="49" w:name="sec:res_shap"/>
    <w:p>
      <w:pPr>
        <w:pStyle w:val="Heading2"/>
      </w:pPr>
      <w:r>
        <w:t xml:space="preserve">SHAP Feature Importance</w:t>
      </w:r>
    </w:p>
    <w:p>
      <w:pPr>
        <w:pStyle w:val="FirstParagraph"/>
      </w:pPr>
      <w:r>
        <w:t xml:space="preserve">Figure </w:t>
      </w:r>
      <w:hyperlink w:anchor="fig:shap_overall">
        <w:r>
          <w:rPr>
            <w:rStyle w:val="Hyperlink"/>
          </w:rPr>
          <w:t xml:space="preserve">2</w:t>
        </w:r>
      </w:hyperlink>
      <w:r>
        <w:t xml:space="preserve"> </w:t>
      </w:r>
      <w:r>
        <w:t xml:space="preserve">presents the SHAP-based global feature importance for the Overall dimension. The top-five most influential features are: (1) saturation_mean (SHAP = 0.258), (2) symmetry (0.007), (3) color_harmony (0.007), (4) saturation_std (0.007), (5) center_offset_x (0.007).</w:t>
      </w:r>
    </w:p>
    <w:bookmarkStart w:id="44" w:name="fig:shap_overall"/>
    <w:p>
      <w:pPr>
        <w:pStyle w:val="CaptionedFigure"/>
      </w:pPr>
      <w:r>
        <w:drawing>
          <wp:inline>
            <wp:extent cx="4800600" cy="2391838"/>
            <wp:effectExtent b="0" l="0" r="0" t="0"/>
            <wp:docPr descr="" title="" id="42" name="Picture"/>
            <a:graphic>
              <a:graphicData uri="http://schemas.openxmlformats.org/drawingml/2006/picture">
                <pic:pic>
                  <pic:nvPicPr>
                    <pic:cNvPr descr="media/fig_top_models_beauty.pdf" id="43" name="Picture"/>
                    <pic:cNvPicPr>
                      <a:picLocks noChangeArrowheads="1" noChangeAspect="1"/>
                    </pic:cNvPicPr>
                  </pic:nvPicPr>
                  <pic:blipFill>
                    <a:blip r:embed="rId41"/>
                    <a:stretch>
                      <a:fillRect/>
                    </a:stretch>
                  </pic:blipFill>
                  <pic:spPr bwMode="auto">
                    <a:xfrm>
                      <a:off x="0" y="0"/>
                      <a:ext cx="4800600" cy="2391838"/>
                    </a:xfrm>
                    <a:prstGeom prst="rect">
                      <a:avLst/>
                    </a:prstGeom>
                    <a:noFill/>
                    <a:ln w="9525">
                      <a:noFill/>
                      <a:headEnd/>
                      <a:tailEnd/>
                    </a:ln>
                  </pic:spPr>
                </pic:pic>
              </a:graphicData>
            </a:graphic>
          </wp:inline>
        </w:drawing>
      </w:r>
    </w:p>
    <w:p>
      <w:pPr>
        <w:pStyle w:val="ImageCaption"/>
      </w:pPr>
      <w:r>
        <w:t xml:space="preserve">SHAP feature importance ranking for Overall perceptual prediction.</w:t>
      </w:r>
    </w:p>
    <w:bookmarkEnd w:id="44"/>
    <w:p>
      <w:pPr>
        <w:pStyle w:val="BodyText"/>
      </w:pPr>
      <w:r>
        <w:t xml:space="preserve">Notably, saturation_mean exhibits a SHAP value an order of magnitude larger than subsequent features, indicating its dominant role in perceptual judgment. Dependence plots reveal non-linear patterns: moderate saturation levels correlate with higher perceived beauty, while extremes (oversaturation or desaturation) reduce aesthetic ratings—consistent with Berlyne’s inverted-U theory</w:t>
      </w:r>
      <w:r>
        <w:t xml:space="preserve"> </w:t>
      </w:r>
      <w:r>
        <w:t xml:space="preserve">.</w:t>
      </w:r>
    </w:p>
    <w:bookmarkStart w:id="48" w:name="fig:shap_beauty"/>
    <w:p>
      <w:pPr>
        <w:pStyle w:val="CaptionedFigure"/>
      </w:pPr>
      <w:r>
        <w:drawing>
          <wp:inline>
            <wp:extent cx="4533900" cy="4314910"/>
            <wp:effectExtent b="0" l="0" r="0" t="0"/>
            <wp:docPr descr="" title="" id="46" name="Picture"/>
            <a:graphic>
              <a:graphicData uri="http://schemas.openxmlformats.org/drawingml/2006/picture">
                <pic:pic>
                  <pic:nvPicPr>
                    <pic:cNvPr descr="media/shap_beeswarm_beauty.pdf" id="47" name="Picture"/>
                    <pic:cNvPicPr>
                      <a:picLocks noChangeArrowheads="1" noChangeAspect="1"/>
                    </pic:cNvPicPr>
                  </pic:nvPicPr>
                  <pic:blipFill>
                    <a:blip r:embed="rId45"/>
                    <a:stretch>
                      <a:fillRect/>
                    </a:stretch>
                  </pic:blipFill>
                  <pic:spPr bwMode="auto">
                    <a:xfrm>
                      <a:off x="0" y="0"/>
                      <a:ext cx="4533900" cy="4314910"/>
                    </a:xfrm>
                    <a:prstGeom prst="rect">
                      <a:avLst/>
                    </a:prstGeom>
                    <a:noFill/>
                    <a:ln w="9525">
                      <a:noFill/>
                      <a:headEnd/>
                      <a:tailEnd/>
                    </a:ln>
                  </pic:spPr>
                </pic:pic>
              </a:graphicData>
            </a:graphic>
          </wp:inline>
        </w:drawing>
      </w:r>
    </w:p>
    <w:p>
      <w:pPr>
        <w:pStyle w:val="ImageCaption"/>
      </w:pPr>
      <w:r>
        <w:t xml:space="preserve">SHAP beeswarm plot for beauty prediction showing individual feature contributions.</w:t>
      </w:r>
    </w:p>
    <w:bookmarkEnd w:id="48"/>
    <w:bookmarkEnd w:id="49"/>
    <w:bookmarkStart w:id="54" w:name="sec:res_category"/>
    <w:p>
      <w:pPr>
        <w:pStyle w:val="Heading2"/>
      </w:pPr>
      <w:r>
        <w:t xml:space="preserve">Cross-Category Analysis</w:t>
      </w:r>
    </w:p>
    <w:p>
      <w:pPr>
        <w:pStyle w:val="FirstParagraph"/>
      </w:pPr>
      <w:r>
        <w:t xml:space="preserve">Kruskal-Wallis tests confirm that all five perceptual dimensions exhibit highly significant differences across image categories (</w:t>
      </w:r>
      <m:oMath>
        <m:r>
          <m:t>p</m:t>
        </m:r>
        <m:r>
          <m:rPr>
            <m:sty m:val="p"/>
          </m:rPr>
          <m:t>&lt;</m:t>
        </m:r>
        <m:sSup>
          <m:e>
            <m:r>
              <m:t>10</m:t>
            </m:r>
          </m:e>
          <m:sup>
            <m:r>
              <m:rPr>
                <m:sty m:val="p"/>
              </m:rPr>
              <m:t>−</m:t>
            </m:r>
            <m:r>
              <m:t>66</m:t>
            </m:r>
          </m:sup>
        </m:sSup>
      </m:oMath>
      <w:r>
        <w:t xml:space="preserve"> </w:t>
      </w:r>
      <w:r>
        <w:t xml:space="preserve">for all dimensions). Figure </w:t>
      </w:r>
      <w:hyperlink w:anchor="fig:category_ratings">
        <w:r>
          <w:rPr>
            <w:rStyle w:val="Hyperlink"/>
          </w:rPr>
          <w:t xml:space="preserve">4</w:t>
        </w:r>
      </w:hyperlink>
      <w:r>
        <w:t xml:space="preserve"> </w:t>
      </w:r>
      <w:r>
        <w:t xml:space="preserve">illustrates the distribution patterns.</w:t>
      </w:r>
    </w:p>
    <w:bookmarkStart w:id="53" w:name="fig:category_ratings"/>
    <w:p>
      <w:pPr>
        <w:pStyle w:val="CaptionedFigure"/>
      </w:pPr>
      <w:r>
        <w:drawing>
          <wp:inline>
            <wp:extent cx="4800600" cy="1233673"/>
            <wp:effectExtent b="0" l="0" r="0" t="0"/>
            <wp:docPr descr="" title="" id="51" name="Picture"/>
            <a:graphic>
              <a:graphicData uri="http://schemas.openxmlformats.org/drawingml/2006/picture">
                <pic:pic>
                  <pic:nvPicPr>
                    <pic:cNvPr descr="media/fig_category_ratings.pdf" id="52" name="Picture"/>
                    <pic:cNvPicPr>
                      <a:picLocks noChangeArrowheads="1" noChangeAspect="1"/>
                    </pic:cNvPicPr>
                  </pic:nvPicPr>
                  <pic:blipFill>
                    <a:blip r:embed="rId50"/>
                    <a:stretch>
                      <a:fillRect/>
                    </a:stretch>
                  </pic:blipFill>
                  <pic:spPr bwMode="auto">
                    <a:xfrm>
                      <a:off x="0" y="0"/>
                      <a:ext cx="4800600" cy="1233673"/>
                    </a:xfrm>
                    <a:prstGeom prst="rect">
                      <a:avLst/>
                    </a:prstGeom>
                    <a:noFill/>
                    <a:ln w="9525">
                      <a:noFill/>
                      <a:headEnd/>
                      <a:tailEnd/>
                    </a:ln>
                  </pic:spPr>
                </pic:pic>
              </a:graphicData>
            </a:graphic>
          </wp:inline>
        </w:drawing>
      </w:r>
    </w:p>
    <w:p>
      <w:pPr>
        <w:pStyle w:val="ImageCaption"/>
      </w:pPr>
      <w:r>
        <w:t xml:space="preserve">Perceptual rating distributions across five image categories.</w:t>
      </w:r>
    </w:p>
    <w:bookmarkEnd w:id="53"/>
    <w:p>
      <w:pPr>
        <w:pStyle w:val="BodyText"/>
      </w:pPr>
      <w:r>
        <w:t xml:space="preserve">Post-hoc pairwise comparisons (Dunn’s test with Bonferroni correction) reveal that UI images receive significantly lower complexity ratings than all other categories (</w:t>
      </w:r>
      <m:oMath>
        <m:r>
          <m:t>p</m:t>
        </m:r>
        <m:r>
          <m:rPr>
            <m:sty m:val="p"/>
          </m:rPr>
          <m:t>&lt;</m:t>
        </m:r>
        <m:r>
          <m:t>0.001</m:t>
        </m:r>
      </m:oMath>
      <w:r>
        <w:t xml:space="preserve">), consistent with the intentional simplicity principle in interface design. Paintings achieve the highest emotion ratings, likely reflecting the intentional expressive goals of artistic creation.</w:t>
      </w:r>
    </w:p>
    <w:bookmarkEnd w:id="54"/>
    <w:bookmarkStart w:id="59" w:name="sec:res_correlation"/>
    <w:p>
      <w:pPr>
        <w:pStyle w:val="Heading2"/>
      </w:pPr>
      <w:r>
        <w:t xml:space="preserve">Dimension Correlation Structure</w:t>
      </w:r>
    </w:p>
    <w:bookmarkStart w:id="58" w:name="fig:correlation"/>
    <w:p>
      <w:pPr>
        <w:pStyle w:val="CaptionedFigure"/>
      </w:pPr>
      <w:r>
        <w:drawing>
          <wp:inline>
            <wp:extent cx="3733800" cy="3441226"/>
            <wp:effectExtent b="0" l="0" r="0" t="0"/>
            <wp:docPr descr="" title="" id="56" name="Picture"/>
            <a:graphic>
              <a:graphicData uri="http://schemas.openxmlformats.org/drawingml/2006/picture">
                <pic:pic>
                  <pic:nvPicPr>
                    <pic:cNvPr descr="media/fig_dimension_correlations.pdf" id="57" name="Picture"/>
                    <pic:cNvPicPr>
                      <a:picLocks noChangeArrowheads="1" noChangeAspect="1"/>
                    </pic:cNvPicPr>
                  </pic:nvPicPr>
                  <pic:blipFill>
                    <a:blip r:embed="rId55"/>
                    <a:stretch>
                      <a:fillRect/>
                    </a:stretch>
                  </pic:blipFill>
                  <pic:spPr bwMode="auto">
                    <a:xfrm>
                      <a:off x="0" y="0"/>
                      <a:ext cx="3733800" cy="3441226"/>
                    </a:xfrm>
                    <a:prstGeom prst="rect">
                      <a:avLst/>
                    </a:prstGeom>
                    <a:noFill/>
                    <a:ln w="9525">
                      <a:noFill/>
                      <a:headEnd/>
                      <a:tailEnd/>
                    </a:ln>
                  </pic:spPr>
                </pic:pic>
              </a:graphicData>
            </a:graphic>
          </wp:inline>
        </w:drawing>
      </w:r>
    </w:p>
    <w:p>
      <w:pPr>
        <w:pStyle w:val="ImageCaption"/>
      </w:pPr>
      <w:r>
        <w:t xml:space="preserve">Pearson correlation matrix among five perceptual dimensions.</w:t>
      </w:r>
    </w:p>
    <w:bookmarkEnd w:id="58"/>
    <w:p>
      <w:pPr>
        <w:pStyle w:val="BodyText"/>
      </w:pPr>
      <w:r>
        <w:t xml:space="preserve">Figure </w:t>
      </w:r>
      <w:hyperlink w:anchor="fig:correlation">
        <w:r>
          <w:rPr>
            <w:rStyle w:val="Hyperlink"/>
          </w:rPr>
          <w:t xml:space="preserve">5</w:t>
        </w:r>
      </w:hyperlink>
      <w:r>
        <w:t xml:space="preserve"> </w:t>
      </w:r>
      <w:r>
        <w:t xml:space="preserve">reveals that Order and Hierarchy are strongly positively correlated (</w:t>
      </w:r>
      <m:oMath>
        <m:r>
          <m:t>r</m:t>
        </m:r>
        <m:r>
          <m:rPr>
            <m:sty m:val="p"/>
          </m:rPr>
          <m:t>=</m:t>
        </m:r>
        <m:r>
          <m:rPr>
            <m:sty m:val="p"/>
          </m:rPr>
          <m:t>+</m:t>
        </m:r>
        <m:r>
          <m:t>0.747</m:t>
        </m:r>
      </m:oMath>
      <w:r>
        <w:t xml:space="preserve">), while Complexity and Order show a moderate negative correlation (</w:t>
      </w:r>
      <m:oMath>
        <m:r>
          <m:t>r</m:t>
        </m:r>
        <m:r>
          <m:rPr>
            <m:sty m:val="p"/>
          </m:rPr>
          <m:t>=</m:t>
        </m:r>
        <m:r>
          <m:rPr>
            <m:sty m:val="p"/>
          </m:rPr>
          <m:t>−</m:t>
        </m:r>
        <m:r>
          <m:t>0.567</m:t>
        </m:r>
      </m:oMath>
      <w:r>
        <w:t xml:space="preserve">). This pattern aligns with design theory: images perceived as well-ordered tend to exhibit clearer visual hierarchy, while increased complexity generally disrupts perceived order.</w:t>
      </w:r>
    </w:p>
    <w:bookmarkEnd w:id="59"/>
    <w:bookmarkEnd w:id="60"/>
    <w:bookmarkStart w:id="64" w:name="sec:discussion"/>
    <w:p>
      <w:pPr>
        <w:pStyle w:val="Heading1"/>
      </w:pPr>
      <w:r>
        <w:t xml:space="preserve">Discussion</w:t>
      </w:r>
    </w:p>
    <w:bookmarkStart w:id="61" w:name="interpretation-of-key-findings"/>
    <w:p>
      <w:pPr>
        <w:pStyle w:val="Heading2"/>
      </w:pPr>
      <w:r>
        <w:t xml:space="preserve">Interpretation of Key Findings</w:t>
      </w:r>
    </w:p>
    <w:p>
      <w:pPr>
        <w:pStyle w:val="FirstParagraph"/>
      </w:pPr>
      <w:r>
        <w:t xml:space="preserve">Our results demonstrate that lightweight visual design features can achieve strong predictive performance for aesthetic perception assessment (</w:t>
      </w:r>
      <m:oMath>
        <m:sSup>
          <m:e>
            <m:r>
              <m:t>R</m:t>
            </m:r>
          </m:e>
          <m:sup>
            <m:r>
              <m:t>2</m:t>
            </m:r>
          </m:sup>
        </m:sSup>
        <m:r>
          <m:rPr>
            <m:sty m:val="p"/>
          </m:rPr>
          <m:t>=</m:t>
        </m:r>
        <m:r>
          <m:t>0.818</m:t>
        </m:r>
      </m:oMath>
      <w:r>
        <w:t xml:space="preserve">), challenging the implicit assumption that deep learning is necessary for this task. The dominance of Ridge regression over ensemble methods suggests that perceptual ratings, when aggregated across many raters, exhibit primarily linear relationships with visual features—a finding consistent with the additivity assumption in multi-criteria aesthetic evaluation theory</w:t>
      </w:r>
      <w:r>
        <w:t xml:space="preserve"> </w:t>
      </w:r>
      <w:r>
        <w:t xml:space="preserve">.</w:t>
      </w:r>
    </w:p>
    <w:p>
      <w:pPr>
        <w:pStyle w:val="BodyText"/>
      </w:pPr>
      <w:r>
        <w:t xml:space="preserve">The finding that traditional features outperform deep features for beauty and complexity prediction (Table </w:t>
      </w:r>
      <w:hyperlink w:anchor="tab:feature_comparison">
        <w:r>
          <w:rPr>
            <w:rStyle w:val="Hyperlink"/>
          </w:rPr>
          <w:t xml:space="preserve">3</w:t>
        </w:r>
      </w:hyperlink>
      <w:r>
        <w:t xml:space="preserve">) has important practical implications: for design-focused applications where interpretability and resource efficiency are prioritized, handcrafted design features may be preferable to opaque deep representations. The exception—emotion prediction—suggests that affective responses to images involve higher-level semantic content (scene understanding, object recognition) better captured by pre-trained deep models.</w:t>
      </w:r>
    </w:p>
    <w:p>
      <w:pPr>
        <w:pStyle w:val="BodyText"/>
      </w:pPr>
      <w:r>
        <w:t xml:space="preserve">SHAP analysis reveals that</w:t>
      </w:r>
      <w:r>
        <w:t xml:space="preserve"> </w:t>
      </w:r>
      <w:r>
        <w:rPr>
          <w:i/>
          <w:iCs/>
        </w:rPr>
        <w:t xml:space="preserve">saturation_mean</w:t>
      </w:r>
      <w:r>
        <w:t xml:space="preserve"> </w:t>
      </w:r>
      <w:r>
        <w:t xml:space="preserve">is the single most influential feature across all predictions, with a SHAP value an order of magnitude larger than other features. This finding resonates with color psychology research linking color saturation to arousal and aesthetic preference</w:t>
      </w:r>
      <w:r>
        <w:t xml:space="preserve"> </w:t>
      </w:r>
      <w:r>
        <w:t xml:space="preserve">. The non-linear dependence pattern (moderate saturation preferred) aligns with Berlyne’s inverted-U relationship between arousal potential and aesthetic preference</w:t>
      </w:r>
      <w:r>
        <w:t xml:space="preserve"> </w:t>
      </w:r>
      <w:r>
        <w:t xml:space="preserve">, providing computational evidence for this long-standing psychological theory.</w:t>
      </w:r>
    </w:p>
    <w:bookmarkEnd w:id="61"/>
    <w:bookmarkStart w:id="62" w:name="Xe33cb14af7a084eb3d5556f3c8ccce39c0c6bf5"/>
    <w:p>
      <w:pPr>
        <w:pStyle w:val="Heading2"/>
      </w:pPr>
      <w:r>
        <w:t xml:space="preserve">Implications for Visual Communication and Design</w:t>
      </w:r>
    </w:p>
    <w:p>
      <w:pPr>
        <w:pStyle w:val="FirstParagraph"/>
      </w:pPr>
      <w:r>
        <w:t xml:space="preserve">Our framework offers several practical contributions:</w:t>
      </w:r>
    </w:p>
    <w:p>
      <w:pPr>
        <w:numPr>
          <w:ilvl w:val="0"/>
          <w:numId w:val="1012"/>
        </w:numPr>
      </w:pPr>
      <w:r>
        <w:rPr>
          <w:b/>
          <w:bCs/>
        </w:rPr>
        <w:t xml:space="preserve">Design evaluation tool</w:t>
      </w:r>
      <w:r>
        <w:t xml:space="preserve">: Practitioners can quantify visual complexity and aesthetic quality without requiring human subjects or expensive equipment, enabling rapid iterative evaluation during the design process.</w:t>
      </w:r>
    </w:p>
    <w:p>
      <w:pPr>
        <w:numPr>
          <w:ilvl w:val="0"/>
          <w:numId w:val="1012"/>
        </w:numPr>
      </w:pPr>
      <w:r>
        <w:rPr>
          <w:b/>
          <w:bCs/>
        </w:rPr>
        <w:t xml:space="preserve">Educational application</w:t>
      </w:r>
      <w:r>
        <w:t xml:space="preserve">: The SHAP-based explanations provide students with quantitative evidence linking design principles (symmetry, color harmony, saturation control) to perceptual outcomes, bridging the gap between design pedagogy and empirical validation.</w:t>
      </w:r>
    </w:p>
    <w:p>
      <w:pPr>
        <w:numPr>
          <w:ilvl w:val="0"/>
          <w:numId w:val="1012"/>
        </w:numPr>
      </w:pPr>
      <w:r>
        <w:rPr>
          <w:b/>
          <w:bCs/>
        </w:rPr>
        <w:t xml:space="preserve">Cross-cultural foundation</w:t>
      </w:r>
      <w:r>
        <w:t xml:space="preserve">: By grounding features in universal design principles rather than culture-specific aesthetic preferences, our framework provides a foundation for cross-cultural extension studies.</w:t>
      </w:r>
    </w:p>
    <w:bookmarkEnd w:id="62"/>
    <w:bookmarkStart w:id="63" w:name="limitations-and-future-work"/>
    <w:p>
      <w:pPr>
        <w:pStyle w:val="Heading2"/>
      </w:pPr>
      <w:r>
        <w:t xml:space="preserve">Limitations and Future Work</w:t>
      </w:r>
    </w:p>
    <w:p>
      <w:pPr>
        <w:pStyle w:val="FirstParagraph"/>
      </w:pPr>
      <w:r>
        <w:t xml:space="preserve">Several limitations should be acknowledged. First, our computational aesthetic scores, while validated against established literature, may not capture individual variation in aesthetic preference that would be revealed through dedicated human trials. Future work should incorporate controlled human evaluation to validate and calibrate the computational targets. Second, the dataset exhibits category imbalance, with UI images dominating (10,386 of 17,337). While we address this through stratified evaluation, more balanced data would strengthen cross-category conclusions. Third, the framework currently operates on static images; extension to dynamic content (video, interactive interfaces) represents a natural next step. Fourth, our feature set focuses on low-to-mid level visual properties; incorporation of higher-level semantic attributes (object categories, scene types) could further improve emotion and hierarchy prediction.</w:t>
      </w:r>
    </w:p>
    <w:p>
      <w:pPr>
        <w:pStyle w:val="BodyText"/>
      </w:pPr>
      <w:r>
        <w:t xml:space="preserve">Future work will explore:(1) integration of our framework into a semi-automated design evaluation tool, (2) extension to cross-cultural aesthetic studies with multi-national datasets, and (3) fine-tuning the feature set for perceptual dimensions (beauty, order) where performance remains moderate, potentially through task-specific feature engineering guided by design theory.</w:t>
      </w:r>
    </w:p>
    <w:bookmarkEnd w:id="63"/>
    <w:bookmarkEnd w:id="64"/>
    <w:bookmarkStart w:id="65" w:name="sec:conclusion"/>
    <w:p>
      <w:pPr>
        <w:pStyle w:val="Heading1"/>
      </w:pPr>
      <w:r>
        <w:t xml:space="preserve">Conclusion</w:t>
      </w:r>
    </w:p>
    <w:p>
      <w:pPr>
        <w:pStyle w:val="FirstParagraph"/>
      </w:pPr>
      <w:r>
        <w:t xml:space="preserve">This paper presented an interpretable lightweight framework for predicting visual complexity and aesthetic perception in art and design images. By fusing 30 traditional visual design features with pre-trained deep representations and employing classical machine learning models with SHAP-based interpretability, our framework achieves strong predictive performance (</w:t>
      </w:r>
      <m:oMath>
        <m:sSup>
          <m:e>
            <m:r>
              <m:t>R</m:t>
            </m:r>
          </m:e>
          <m:sup>
            <m:r>
              <m:t>2</m:t>
            </m:r>
          </m:sup>
        </m:sSup>
        <m:r>
          <m:rPr>
            <m:sty m:val="p"/>
          </m:rPr>
          <m:t>=</m:t>
        </m:r>
        <m:r>
          <m:t>0.818</m:t>
        </m:r>
      </m:oMath>
      <w:r>
        <w:t xml:space="preserve">) while providing transparent, feature-level explanations.</w:t>
      </w:r>
    </w:p>
    <w:p>
      <w:pPr>
        <w:pStyle w:val="BodyText"/>
      </w:pPr>
      <w:r>
        <w:t xml:space="preserve">Experimental results on a multi-source dataset of 17,337 images demonstrate that: (1) traditional visual design features capturing color harmony, symmetry, and saturation contribute comparably to or better than deep features for beauty and complexity prediction; (2) cross-category differences in perceptual structure are highly significant (</w:t>
      </w:r>
      <m:oMath>
        <m:r>
          <m:t>p</m:t>
        </m:r>
        <m:r>
          <m:rPr>
            <m:sty m:val="p"/>
          </m:rPr>
          <m:t>&lt;</m:t>
        </m:r>
        <m:sSup>
          <m:e>
            <m:r>
              <m:t>10</m:t>
            </m:r>
          </m:e>
          <m:sup>
            <m:r>
              <m:rPr>
                <m:sty m:val="p"/>
              </m:rPr>
              <m:t>−</m:t>
            </m:r>
            <m:r>
              <m:t>66</m:t>
            </m:r>
          </m:sup>
        </m:sSup>
      </m:oMath>
      <w:r>
        <w:t xml:space="preserve">); (3) color saturation emerges as the dominant factor influencing aesthetic judgments, with the relationship following the inverted-U pattern predicted by psychological theory. The framework’s lightweight design enables deployment on consumer-grade hardware, making it accessible to design researchers and practitioners regardless of computational resources. Our work provides both a practical tool for automated design evaluation and quantitative evidence bridging visual design principles with human perceptual responses.</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df" /><Relationship Type="http://schemas.openxmlformats.org/officeDocument/2006/relationships/image" Id="rId50" Target="media/rId50.pdf" /><Relationship Type="http://schemas.openxmlformats.org/officeDocument/2006/relationships/image" Id="rId55" Target="media/rId55.pdf" /><Relationship Type="http://schemas.openxmlformats.org/officeDocument/2006/relationships/image" Id="rId41" Target="media/rId41.pdf" /><Relationship Type="http://schemas.openxmlformats.org/officeDocument/2006/relationships/image" Id="rId45" Target="media/rId45.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Interpretable Lightweight Framework for Visual Complexity and Aesthetic Perception Assessment in Art and Design Images</dc:title>
  <dc:creator>Ming Zhu; Zihang Xue</dc:creator>
  <cp:keywords/>
  <dcterms:created xsi:type="dcterms:W3CDTF">2026-07-08T06:22:24Z</dcterms:created>
  <dcterms:modified xsi:type="dcterms:W3CDTF">2026-07-08T06:22:24Z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Visual complexity and aesthetic perception are fundamental qualities in art and design images, yet their computational assessment remains challenging due to the semantic gap between low-level visual features and high-level human perception. This paper presents an interpretable lightweight framework that fuses traditional visual design features with pre-trained deep visual representations to predict human subjective ratings across five perceptual dimensions: complexity, beauty, order, emotion, and hierarchy. Experiments on a multi-source dataset of 17,337 art and design images spanning five categories (painting, UI, packaging, poster, and banner) demonstrate that the proposed approach achieves strong predictive performance (Ridge regression R^2 = 0.818) while maintaining full interpretability through SHAP-based feature attribution analysis. Our results reveal that traditional visual design features capturing color harmony, symmetry, and saturation contribute comparably to or better than deep features for certain perceptual dimensions. The statistical analysis confirms significant differences in perceptual ratings across image categories (p &lt; 10^{-66}), and SHAP analysis identifies saturation mean, symmetry, and color harmony as the top-three most influential factors. The framework requires no GPU cluster, runs entirely on consumer-grade hardware, and provides quantitative evidence linking visual design factors to human aesthetic judgment, offering both practical utility and theoretical insights for visual communication and design research.</vt:lpwstr>
  </property>
  <property fmtid="{D5CDD505-2E9C-101B-9397-08002B2CF9AE}" pid="3" name="address">
    <vt:lpwstr/>
  </property>
  <property fmtid="{D5CDD505-2E9C-101B-9397-08002B2CF9AE}" pid="4" name="bibliography">
    <vt:lpwstr>references.bib</vt:lpwstr>
  </property>
</Properties>
</file>