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CO4 – AT3: Comparative Analysis — Answers</w:t>
      </w:r>
    </w:p>
    <w:p>
      <w:pPr>
        <w:pStyle w:val="Heading1"/>
        <w:spacing w:after="150" w:before="300"/>
      </w:pPr>
      <w:r>
        <w:t xml:space="preserve">1. Object Detection Performance Comparison</w:t>
      </w:r>
    </w:p>
    <w:p>
      <w:pPr>
        <w:pStyle w:val="Heading2"/>
        <w:spacing w:after="100" w:before="200"/>
      </w:pPr>
      <w:r>
        <w:t xml:space="preserve">(a) Precision and Recall Calculation</w:t>
      </w:r>
    </w:p>
    <w:p>
      <w:pPr>
        <w:spacing w:after="150"/>
      </w:pPr>
      <w:r>
        <w:t xml:space="preserve">Formulas used:</w:t>
      </w:r>
    </w:p>
    <w:p>
      <w:pPr>
        <w:spacing w:after="80"/>
      </w:pPr>
      <w:r>
        <w:rPr>
          <w:rFonts w:ascii="Consolas" w:cs="Consolas" w:eastAsia="Consolas" w:hAnsi="Consolas"/>
        </w:rPr>
        <w:t xml:space="preserve">Precision = TP / (TP + FP)</w:t>
      </w:r>
    </w:p>
    <w:p>
      <w:pPr>
        <w:spacing w:after="80"/>
      </w:pPr>
      <w:r>
        <w:rPr>
          <w:rFonts w:ascii="Consolas" w:cs="Consolas" w:eastAsia="Consolas" w:hAnsi="Consolas"/>
        </w:rPr>
        <w:t xml:space="preserve">Recall = TP / (TP + FN)</w:t>
      </w:r>
    </w:p>
    <w:p>
      <w:pPr>
        <w:spacing w:after="150"/>
      </w:pPr>
      <w:r>
        <w:t xml:space="preserve">Model A (TP = 80, FP = 20, FN = 30):</w:t>
      </w:r>
    </w:p>
    <w:p>
      <w:pPr>
        <w:spacing w:after="80"/>
      </w:pPr>
      <w:r>
        <w:rPr>
          <w:rFonts w:ascii="Consolas" w:cs="Consolas" w:eastAsia="Consolas" w:hAnsi="Consolas"/>
        </w:rPr>
        <w:t xml:space="preserve">Precision A = 80 / (80 + 20) = 80 / 100 = 0.80 = 80%</w:t>
      </w:r>
    </w:p>
    <w:p>
      <w:pPr>
        <w:spacing w:after="80"/>
      </w:pPr>
      <w:r>
        <w:rPr>
          <w:rFonts w:ascii="Consolas" w:cs="Consolas" w:eastAsia="Consolas" w:hAnsi="Consolas"/>
        </w:rPr>
        <w:t xml:space="preserve">Recall A = 80 / (80 + 30) = 80 / 110 = 0.727 = 72.7%</w:t>
      </w:r>
    </w:p>
    <w:p>
      <w:pPr>
        <w:spacing w:after="150"/>
      </w:pPr>
      <w:r>
        <w:t xml:space="preserve">Model B (TP = 90, FP = 15, FN = 20):</w:t>
      </w:r>
    </w:p>
    <w:p>
      <w:pPr>
        <w:spacing w:after="80"/>
      </w:pPr>
      <w:r>
        <w:rPr>
          <w:rFonts w:ascii="Consolas" w:cs="Consolas" w:eastAsia="Consolas" w:hAnsi="Consolas"/>
        </w:rPr>
        <w:t xml:space="preserve">Precision B = 90 / (90 + 15) = 90 / 105 = 0.857 = 85.7%</w:t>
      </w:r>
    </w:p>
    <w:p>
      <w:pPr>
        <w:spacing w:after="80"/>
      </w:pPr>
      <w:r>
        <w:rPr>
          <w:rFonts w:ascii="Consolas" w:cs="Consolas" w:eastAsia="Consolas" w:hAnsi="Consolas"/>
        </w:rPr>
        <w:t xml:space="preserve">Recall B = 90 / (90 + 20) = 90 / 110 = 0.818 = 81.8%</w:t>
      </w:r>
    </w:p>
    <w:p>
      <w:pPr>
        <w:pStyle w:val="Heading2"/>
        <w:spacing w:after="100" w:before="200"/>
      </w:pPr>
      <w:r>
        <w:t xml:space="preserve">Summary Table (including F1-Score)</w:t>
      </w:r>
    </w:p>
    <w:p>
      <w:pPr>
        <w:spacing w:after="150"/>
      </w:pPr>
      <w:r>
        <w:t xml:space="preserve">F1-Score = 2 × (Precision × Recall) / (Precision + Recall) is also calculated below to support a combined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D9E2F3" w:color="auto" w:val="clear"/>
          </w:tcPr>
          <w:p>
            <w:r>
              <w:rPr>
                <w:b/>
                <w:bCs/>
              </w:rPr>
              <w:t xml:space="preserve">Model</w:t>
            </w:r>
          </w:p>
        </w:tc>
        <w:tc>
          <w:tcPr>
            <w:tcW w:type="dxa" w:w="2500"/>
            <w:shd w:fill="D9E2F3" w:color="auto" w:val="clear"/>
          </w:tcPr>
          <w:p>
            <w:r>
              <w:rPr>
                <w:b/>
                <w:bCs/>
              </w:rPr>
              <w:t xml:space="preserve">Precision</w:t>
            </w:r>
          </w:p>
        </w:tc>
        <w:tc>
          <w:tcPr>
            <w:tcW w:type="dxa" w:w="2500"/>
            <w:shd w:fill="D9E2F3" w:color="auto" w:val="clear"/>
          </w:tcPr>
          <w:p>
            <w:r>
              <w:rPr>
                <w:b/>
                <w:bCs/>
              </w:rPr>
              <w:t xml:space="preserve">Recall</w:t>
            </w:r>
          </w:p>
        </w:tc>
        <w:tc>
          <w:tcPr>
            <w:tcW w:type="dxa" w:w="2500"/>
            <w:shd w:fill="D9E2F3" w:color="auto" w:val="clear"/>
          </w:tcPr>
          <w:p>
            <w:r>
              <w:rPr>
                <w:b/>
                <w:bCs/>
              </w:rPr>
              <w:t xml:space="preserve">F1-Score</w:t>
            </w:r>
          </w:p>
        </w:tc>
      </w:tr>
      <w:tr>
        <w:tc>
          <w:tcPr>
            <w:tcW w:type="dxa" w:w="2500"/>
          </w:tcPr>
          <w:p>
            <w:r>
              <w:t xml:space="preserve">Model A</w:t>
            </w:r>
          </w:p>
        </w:tc>
        <w:tc>
          <w:tcPr>
            <w:tcW w:type="dxa" w:w="2500"/>
          </w:tcPr>
          <w:p>
            <w:r>
              <w:t xml:space="preserve">80.0%</w:t>
            </w:r>
          </w:p>
        </w:tc>
        <w:tc>
          <w:tcPr>
            <w:tcW w:type="dxa" w:w="2500"/>
          </w:tcPr>
          <w:p>
            <w:r>
              <w:t xml:space="preserve">72.7%</w:t>
            </w:r>
          </w:p>
        </w:tc>
        <w:tc>
          <w:tcPr>
            <w:tcW w:type="dxa" w:w="2500"/>
          </w:tcPr>
          <w:p>
            <w:r>
              <w:t xml:space="preserve">76.2%</w:t>
            </w:r>
          </w:p>
        </w:tc>
      </w:tr>
      <w:tr>
        <w:tc>
          <w:tcPr>
            <w:tcW w:type="dxa" w:w="2500"/>
          </w:tcPr>
          <w:p>
            <w:r>
              <w:t xml:space="preserve">Model B</w:t>
            </w:r>
          </w:p>
        </w:tc>
        <w:tc>
          <w:tcPr>
            <w:tcW w:type="dxa" w:w="2500"/>
          </w:tcPr>
          <w:p>
            <w:r>
              <w:t xml:space="preserve">85.7%</w:t>
            </w:r>
          </w:p>
        </w:tc>
        <w:tc>
          <w:tcPr>
            <w:tcW w:type="dxa" w:w="2500"/>
          </w:tcPr>
          <w:p>
            <w:r>
              <w:t xml:space="preserve">81.8%</w:t>
            </w:r>
          </w:p>
        </w:tc>
        <w:tc>
          <w:tcPr>
            <w:tcW w:type="dxa" w:w="2500"/>
          </w:tcPr>
          <w:p>
            <w:r>
              <w:t xml:space="preserve">83.7%</w:t>
            </w:r>
          </w:p>
        </w:tc>
      </w:tr>
    </w:tbl>
    <w:p>
      <w:pPr>
        <w:pStyle w:val="Heading2"/>
        <w:spacing w:after="100" w:before="200"/>
      </w:pPr>
      <w:r>
        <w:t xml:space="preserve">(b) Comparison and Justification</w:t>
      </w:r>
    </w:p>
    <w:p>
      <w:pPr>
        <w:spacing w:after="150"/>
      </w:pPr>
      <w:r>
        <w:t xml:space="preserve">Model B outperforms Model A on every metric: it has higher precision (85.7% vs 80.0%), meaning a smaller proportion of its detections are false alarms; higher recall (81.8% vs 72.7%), meaning it misses fewer actual objects; and a higher F1-score (83.7% vs 76.2%), confirming a better overall balance between precision and recall.</w:t>
      </w:r>
    </w:p>
    <w:p>
      <w:pPr>
        <w:spacing w:after="150"/>
      </w:pPr>
      <w:r>
        <w:t xml:space="preserve">Conclusion: Model B provides better overall object detection performance. It simultaneously produces more true positives, fewer false positives, and fewer false negatives than Model A, making it more reliable both at avoiding false detections and at not missing real objects.</w:t>
      </w:r>
    </w:p>
    <w:p>
      <w:pPr>
        <w:pStyle w:val="Heading1"/>
        <w:spacing w:after="150" w:before="300"/>
      </w:pPr>
      <w:r>
        <w:t xml:space="preserve">2. Motion Estimation Error Analysis</w:t>
      </w:r>
    </w:p>
    <w:p>
      <w:pPr>
        <w:pStyle w:val="Heading2"/>
        <w:spacing w:after="100" w:before="200"/>
      </w:pPr>
      <w:r>
        <w:t xml:space="preserve">(a) Average Displacement Error Calculation</w:t>
      </w:r>
    </w:p>
    <w:p>
      <w:pPr>
        <w:spacing w:after="150"/>
      </w:pPr>
      <w:r>
        <w:t xml:space="preserve">Method A errors (pixels): 2, 3, 2</w:t>
      </w:r>
    </w:p>
    <w:p>
      <w:pPr>
        <w:spacing w:after="80"/>
      </w:pPr>
      <w:r>
        <w:rPr>
          <w:rFonts w:ascii="Consolas" w:cs="Consolas" w:eastAsia="Consolas" w:hAnsi="Consolas"/>
        </w:rPr>
        <w:t xml:space="preserve">Average Error A = (2 + 3 + 2) / 3 = 7 / 3 = 2.33 pixels</w:t>
      </w:r>
    </w:p>
    <w:p>
      <w:pPr>
        <w:spacing w:after="150"/>
      </w:pPr>
      <w:r>
        <w:t xml:space="preserve">Method B errors (pixels): 3, 5, 4</w:t>
      </w:r>
    </w:p>
    <w:p>
      <w:pPr>
        <w:spacing w:after="80"/>
      </w:pPr>
      <w:r>
        <w:rPr>
          <w:rFonts w:ascii="Consolas" w:cs="Consolas" w:eastAsia="Consolas" w:hAnsi="Consolas"/>
        </w:rPr>
        <w:t xml:space="preserve">Average Error B = (3 + 5 + 4) / 3 = 12 / 3 = 4.00 pixels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400"/>
      </w:tblGrid>
      <w:tr>
        <w:tc>
          <w:tcPr>
            <w:tcW w:type="dxa" w:w="2200"/>
            <w:shd w:fill="D9E2F3" w:color="auto" w:val="clear"/>
          </w:tcPr>
          <w:p>
            <w:r>
              <w:rPr>
                <w:b/>
                <w:bCs/>
              </w:rPr>
              <w:t xml:space="preserve">Method</w:t>
            </w:r>
          </w:p>
        </w:tc>
        <w:tc>
          <w:tcPr>
            <w:tcW w:type="dxa" w:w="1800"/>
            <w:shd w:fill="D9E2F3" w:color="auto" w:val="clear"/>
          </w:tcPr>
          <w:p>
            <w:r>
              <w:rPr>
                <w:b/>
                <w:bCs/>
              </w:rPr>
              <w:t xml:space="preserve">Frame 1</w:t>
            </w:r>
          </w:p>
        </w:tc>
        <w:tc>
          <w:tcPr>
            <w:tcW w:type="dxa" w:w="1800"/>
            <w:shd w:fill="D9E2F3" w:color="auto" w:val="clear"/>
          </w:tcPr>
          <w:p>
            <w:r>
              <w:rPr>
                <w:b/>
                <w:bCs/>
              </w:rPr>
              <w:t xml:space="preserve">Frame 2</w:t>
            </w:r>
          </w:p>
        </w:tc>
        <w:tc>
          <w:tcPr>
            <w:tcW w:type="dxa" w:w="1800"/>
            <w:shd w:fill="D9E2F3" w:color="auto" w:val="clear"/>
          </w:tcPr>
          <w:p>
            <w:r>
              <w:rPr>
                <w:b/>
                <w:bCs/>
              </w:rPr>
              <w:t xml:space="preserve">Frame 3</w:t>
            </w:r>
          </w:p>
        </w:tc>
        <w:tc>
          <w:tcPr>
            <w:tcW w:type="dxa" w:w="2400"/>
            <w:shd w:fill="D9E2F3" w:color="auto" w:val="clear"/>
          </w:tcPr>
          <w:p>
            <w:r>
              <w:rPr>
                <w:b/>
                <w:bCs/>
              </w:rPr>
              <w:t xml:space="preserve">Average Error</w:t>
            </w:r>
          </w:p>
        </w:tc>
      </w:tr>
      <w:tr>
        <w:tc>
          <w:tcPr>
            <w:tcW w:type="dxa" w:w="2200"/>
          </w:tcPr>
          <w:p>
            <w:r>
              <w:t xml:space="preserve">Method A</w:t>
            </w:r>
          </w:p>
        </w:tc>
        <w:tc>
          <w:tcPr>
            <w:tcW w:type="dxa" w:w="1800"/>
          </w:tcPr>
          <w:p>
            <w:r>
              <w:t xml:space="preserve">2 px</w:t>
            </w:r>
          </w:p>
        </w:tc>
        <w:tc>
          <w:tcPr>
            <w:tcW w:type="dxa" w:w="1800"/>
          </w:tcPr>
          <w:p>
            <w:r>
              <w:t xml:space="preserve">3 px</w:t>
            </w:r>
          </w:p>
        </w:tc>
        <w:tc>
          <w:tcPr>
            <w:tcW w:type="dxa" w:w="1800"/>
          </w:tcPr>
          <w:p>
            <w:r>
              <w:t xml:space="preserve">2 px</w:t>
            </w:r>
          </w:p>
        </w:tc>
        <w:tc>
          <w:tcPr>
            <w:tcW w:type="dxa" w:w="2400"/>
          </w:tcPr>
          <w:p>
            <w:r>
              <w:t xml:space="preserve">2.33 px</w:t>
            </w:r>
          </w:p>
        </w:tc>
      </w:tr>
      <w:tr>
        <w:tc>
          <w:tcPr>
            <w:tcW w:type="dxa" w:w="2200"/>
          </w:tcPr>
          <w:p>
            <w:r>
              <w:t xml:space="preserve">Method B</w:t>
            </w:r>
          </w:p>
        </w:tc>
        <w:tc>
          <w:tcPr>
            <w:tcW w:type="dxa" w:w="1800"/>
          </w:tcPr>
          <w:p>
            <w:r>
              <w:t xml:space="preserve">3 px</w:t>
            </w:r>
          </w:p>
        </w:tc>
        <w:tc>
          <w:tcPr>
            <w:tcW w:type="dxa" w:w="1800"/>
          </w:tcPr>
          <w:p>
            <w:r>
              <w:t xml:space="preserve">5 px</w:t>
            </w:r>
          </w:p>
        </w:tc>
        <w:tc>
          <w:tcPr>
            <w:tcW w:type="dxa" w:w="1800"/>
          </w:tcPr>
          <w:p>
            <w:r>
              <w:t xml:space="preserve">4 px</w:t>
            </w:r>
          </w:p>
        </w:tc>
        <w:tc>
          <w:tcPr>
            <w:tcW w:type="dxa" w:w="2400"/>
          </w:tcPr>
          <w:p>
            <w:r>
              <w:t xml:space="preserve">4.00 px</w:t>
            </w:r>
          </w:p>
        </w:tc>
      </w:tr>
    </w:tbl>
    <w:p>
      <w:pPr>
        <w:pStyle w:val="Heading2"/>
        <w:spacing w:after="100" w:before="200"/>
      </w:pPr>
      <w:r>
        <w:t xml:space="preserve">(b) Comparison</w:t>
      </w:r>
    </w:p>
    <w:p>
      <w:pPr>
        <w:spacing w:after="150"/>
      </w:pPr>
      <w:r>
        <w:t xml:space="preserve">Method A has a consistently lower displacement error across all three frames (2, 3, 2) compared to Method B (3, 5, 4). Method A's average error (2.33 px) is significantly lower than Method B's (4.00 px), a difference of about 1.67 pixels.</w:t>
      </w:r>
    </w:p>
    <w:p>
      <w:pPr>
        <w:pStyle w:val="Heading2"/>
        <w:spacing w:after="100" w:before="200"/>
      </w:pPr>
      <w:r>
        <w:t xml:space="preserve">(c) Justification</w:t>
      </w:r>
    </w:p>
    <w:p>
      <w:pPr>
        <w:pStyle w:val="ListParagraph"/>
        <w:numPr>
          <w:ilvl w:val="0"/>
          <w:numId w:val="1"/>
        </w:numPr>
        <w:spacing w:after="80"/>
      </w:pPr>
      <w:r>
        <w:t xml:space="preserve">Lower average error: Method A's average error is about 42% lower than Method B's, indicating consistently more precise motion vector estimation.</w:t>
      </w:r>
    </w:p>
    <w:p>
      <w:pPr>
        <w:pStyle w:val="ListParagraph"/>
        <w:numPr>
          <w:ilvl w:val="0"/>
          <w:numId w:val="1"/>
        </w:numPr>
        <w:spacing w:after="80"/>
      </w:pPr>
      <w:r>
        <w:t xml:space="preserve">Consistency: Method A's errors (2, 3, 2) vary less across frames than Method B's (3, 5, 4), suggesting more stable and predictable performance.</w:t>
      </w:r>
    </w:p>
    <w:p>
      <w:pPr>
        <w:pStyle w:val="ListParagraph"/>
        <w:numPr>
          <w:ilvl w:val="0"/>
          <w:numId w:val="1"/>
        </w:numPr>
        <w:spacing w:after="80"/>
      </w:pPr>
      <w:r>
        <w:t xml:space="preserve">Practical impact: In motion tracking applications, lower and more consistent displacement error translates directly to smoother, more accurate object trajectories with less jitter.</w:t>
      </w:r>
    </w:p>
    <w:p>
      <w:pPr>
        <w:spacing w:after="150"/>
      </w:pPr>
      <w:r>
        <w:t xml:space="preserve">Conclusion: Method A provides more accurate motion estimation, as it has both the lower average displacement error and greater consistency across frames.</w:t>
      </w:r>
    </w:p>
    <w:p>
      <w:pPr>
        <w:pStyle w:val="Heading1"/>
        <w:spacing w:after="150" w:before="300"/>
      </w:pPr>
      <w:r>
        <w:t xml:space="preserve">3. Depth Estimation Comparison</w:t>
      </w:r>
    </w:p>
    <w:p>
      <w:pPr>
        <w:pStyle w:val="Heading2"/>
        <w:spacing w:after="100" w:before="200"/>
      </w:pPr>
      <w:r>
        <w:t xml:space="preserve">(a) Absolute Error for Each Object</w:t>
      </w:r>
    </w:p>
    <w:p>
      <w:pPr>
        <w:spacing w:after="150"/>
      </w:pPr>
      <w:r>
        <w:t xml:space="preserve">Formula used:</w:t>
      </w:r>
    </w:p>
    <w:p>
      <w:pPr>
        <w:spacing w:after="80"/>
      </w:pPr>
      <w:r>
        <w:rPr>
          <w:rFonts w:ascii="Consolas" w:cs="Consolas" w:eastAsia="Consolas" w:hAnsi="Consolas"/>
        </w:rPr>
        <w:t xml:space="preserve">Absolute Error = |Estimated Depth − Actual Depth|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1700"/>
        <w:gridCol w:w="1500"/>
        <w:gridCol w:w="1500"/>
      </w:tblGrid>
      <w:tr>
        <w:tc>
          <w:tcPr>
            <w:tcW w:type="dxa" w:w="1600"/>
            <w:shd w:fill="D9E2F3" w:color="auto" w:val="clear"/>
          </w:tcPr>
          <w:p>
            <w:r>
              <w:rPr>
                <w:b/>
                <w:bCs/>
              </w:rPr>
              <w:t xml:space="preserve">Object</w:t>
            </w:r>
          </w:p>
        </w:tc>
        <w:tc>
          <w:tcPr>
            <w:tcW w:type="dxa" w:w="1700"/>
            <w:shd w:fill="D9E2F3" w:color="auto" w:val="clear"/>
          </w:tcPr>
          <w:p>
            <w:r>
              <w:rPr>
                <w:b/>
                <w:bCs/>
              </w:rPr>
              <w:t xml:space="preserve">Actual Depth</w:t>
            </w:r>
          </w:p>
        </w:tc>
        <w:tc>
          <w:tcPr>
            <w:tcW w:type="dxa" w:w="2000"/>
            <w:shd w:fill="D9E2F3" w:color="auto" w:val="clear"/>
          </w:tcPr>
          <w:p>
            <w:r>
              <w:rPr>
                <w:b/>
                <w:bCs/>
              </w:rPr>
              <w:t xml:space="preserve">Stereo Vision Estimate</w:t>
            </w:r>
          </w:p>
        </w:tc>
        <w:tc>
          <w:tcPr>
            <w:tcW w:type="dxa" w:w="1700"/>
            <w:shd w:fill="D9E2F3" w:color="auto" w:val="clear"/>
          </w:tcPr>
          <w:p>
            <w:r>
              <w:rPr>
                <w:b/>
                <w:bCs/>
              </w:rPr>
              <w:t xml:space="preserve">Stereo Abs. Error</w:t>
            </w:r>
          </w:p>
        </w:tc>
        <w:tc>
          <w:tcPr>
            <w:tcW w:type="dxa" w:w="1500"/>
            <w:shd w:fill="D9E2F3" w:color="auto" w:val="clear"/>
          </w:tcPr>
          <w:p>
            <w:r>
              <w:rPr>
                <w:b/>
                <w:bCs/>
              </w:rPr>
              <w:t xml:space="preserve">SfM Estimate</w:t>
            </w:r>
          </w:p>
        </w:tc>
        <w:tc>
          <w:tcPr>
            <w:tcW w:type="dxa" w:w="1500"/>
            <w:shd w:fill="D9E2F3" w:color="auto" w:val="clear"/>
          </w:tcPr>
          <w:p>
            <w:r>
              <w:rPr>
                <w:b/>
                <w:bCs/>
              </w:rPr>
              <w:t xml:space="preserve">SfM Abs. Error</w:t>
            </w:r>
          </w:p>
        </w:tc>
      </w:tr>
      <w:tr>
        <w:tc>
          <w:tcPr>
            <w:tcW w:type="dxa" w:w="1600"/>
          </w:tcPr>
          <w:p>
            <w:r>
              <w:t xml:space="preserve">Object 1</w:t>
            </w:r>
          </w:p>
        </w:tc>
        <w:tc>
          <w:tcPr>
            <w:tcW w:type="dxa" w:w="1700"/>
          </w:tcPr>
          <w:p>
            <w:r>
              <w:t xml:space="preserve">2.0 m</w:t>
            </w:r>
          </w:p>
        </w:tc>
        <w:tc>
          <w:tcPr>
            <w:tcW w:type="dxa" w:w="2000"/>
          </w:tcPr>
          <w:p>
            <w:r>
              <w:t xml:space="preserve">2.0 m</w:t>
            </w:r>
          </w:p>
        </w:tc>
        <w:tc>
          <w:tcPr>
            <w:tcW w:type="dxa" w:w="1700"/>
          </w:tcPr>
          <w:p>
            <w:r>
              <w:t xml:space="preserve">0.0 m</w:t>
            </w:r>
          </w:p>
        </w:tc>
        <w:tc>
          <w:tcPr>
            <w:tcW w:type="dxa" w:w="1500"/>
          </w:tcPr>
          <w:p>
            <w:r>
              <w:t xml:space="preserve">2.5 m</w:t>
            </w:r>
          </w:p>
        </w:tc>
        <w:tc>
          <w:tcPr>
            <w:tcW w:type="dxa" w:w="1500"/>
          </w:tcPr>
          <w:p>
            <w:r>
              <w:t xml:space="preserve">0.5 m</w:t>
            </w:r>
          </w:p>
        </w:tc>
      </w:tr>
      <w:tr>
        <w:tc>
          <w:tcPr>
            <w:tcW w:type="dxa" w:w="1600"/>
          </w:tcPr>
          <w:p>
            <w:r>
              <w:t xml:space="preserve">Object 2</w:t>
            </w:r>
          </w:p>
        </w:tc>
        <w:tc>
          <w:tcPr>
            <w:tcW w:type="dxa" w:w="1700"/>
          </w:tcPr>
          <w:p>
            <w:r>
              <w:t xml:space="preserve">3.0 m</w:t>
            </w:r>
          </w:p>
        </w:tc>
        <w:tc>
          <w:tcPr>
            <w:tcW w:type="dxa" w:w="2000"/>
          </w:tcPr>
          <w:p>
            <w:r>
              <w:t xml:space="preserve">3.0 m</w:t>
            </w:r>
          </w:p>
        </w:tc>
        <w:tc>
          <w:tcPr>
            <w:tcW w:type="dxa" w:w="1700"/>
          </w:tcPr>
          <w:p>
            <w:r>
              <w:t xml:space="preserve">0.0 m</w:t>
            </w:r>
          </w:p>
        </w:tc>
        <w:tc>
          <w:tcPr>
            <w:tcW w:type="dxa" w:w="1500"/>
          </w:tcPr>
          <w:p>
            <w:r>
              <w:t xml:space="preserve">3.8 m</w:t>
            </w:r>
          </w:p>
        </w:tc>
        <w:tc>
          <w:tcPr>
            <w:tcW w:type="dxa" w:w="1500"/>
          </w:tcPr>
          <w:p>
            <w:r>
              <w:t xml:space="preserve">0.8 m</w:t>
            </w:r>
          </w:p>
        </w:tc>
      </w:tr>
      <w:tr>
        <w:tc>
          <w:tcPr>
            <w:tcW w:type="dxa" w:w="1600"/>
          </w:tcPr>
          <w:p>
            <w:r>
              <w:t xml:space="preserve">Object 3</w:t>
            </w:r>
          </w:p>
        </w:tc>
        <w:tc>
          <w:tcPr>
            <w:tcW w:type="dxa" w:w="1700"/>
          </w:tcPr>
          <w:p>
            <w:r>
              <w:t xml:space="preserve">4.0 m</w:t>
            </w:r>
          </w:p>
        </w:tc>
        <w:tc>
          <w:tcPr>
            <w:tcW w:type="dxa" w:w="2000"/>
          </w:tcPr>
          <w:p>
            <w:r>
              <w:t xml:space="preserve">4.0 m</w:t>
            </w:r>
          </w:p>
        </w:tc>
        <w:tc>
          <w:tcPr>
            <w:tcW w:type="dxa" w:w="1700"/>
          </w:tcPr>
          <w:p>
            <w:r>
              <w:t xml:space="preserve">0.0 m</w:t>
            </w:r>
          </w:p>
        </w:tc>
        <w:tc>
          <w:tcPr>
            <w:tcW w:type="dxa" w:w="1500"/>
          </w:tcPr>
          <w:p>
            <w:r>
              <w:t xml:space="preserve">5.0 m</w:t>
            </w:r>
          </w:p>
        </w:tc>
        <w:tc>
          <w:tcPr>
            <w:tcW w:type="dxa" w:w="1500"/>
          </w:tcPr>
          <w:p>
            <w:r>
              <w:t xml:space="preserve">1.0 m</w:t>
            </w:r>
          </w:p>
        </w:tc>
      </w:tr>
    </w:tbl>
    <w:p>
      <w:pPr>
        <w:pStyle w:val="Heading2"/>
        <w:spacing w:after="100" w:before="200"/>
      </w:pPr>
      <w:r>
        <w:t xml:space="preserve">(b) Average Absolute Error</w:t>
      </w:r>
    </w:p>
    <w:p>
      <w:pPr>
        <w:spacing w:after="80"/>
      </w:pPr>
      <w:r>
        <w:rPr>
          <w:rFonts w:ascii="Consolas" w:cs="Consolas" w:eastAsia="Consolas" w:hAnsi="Consolas"/>
        </w:rPr>
        <w:t xml:space="preserve">Average Error (Stereo Vision) = (0.0 + 0.0 + 0.0) / 3 = 0.0 m</w:t>
      </w:r>
    </w:p>
    <w:p>
      <w:pPr>
        <w:spacing w:after="80"/>
      </w:pPr>
      <w:r>
        <w:rPr>
          <w:rFonts w:ascii="Consolas" w:cs="Consolas" w:eastAsia="Consolas" w:hAnsi="Consolas"/>
        </w:rPr>
        <w:t xml:space="preserve">Average Error (SfM) = (0.5 + 0.8 + 1.0) / 3 = 2.3 / 3 = 0.767 m</w:t>
      </w:r>
    </w:p>
    <w:p>
      <w:pPr>
        <w:pStyle w:val="Heading2"/>
        <w:spacing w:after="100" w:before="200"/>
      </w:pPr>
      <w:r>
        <w:t xml:space="preserve">(c) Comparison and Identification</w:t>
      </w:r>
    </w:p>
    <w:p>
      <w:pPr>
        <w:spacing w:after="150"/>
      </w:pPr>
      <w:r>
        <w:t xml:space="preserve">Stereo Vision produces exact depth estimates for all three objects, resulting in zero absolute error at every measurement point and an average absolute error of 0.0 m. Structure-from-Motion (SfM) consistently overestimates depth for all three objects, with error increasing as depth increases (0.5 m, 0.8 m, 1.0 m), giving an average absolute error of approximately 0.767 m.</w:t>
      </w:r>
    </w:p>
    <w:p>
      <w:pPr>
        <w:spacing w:after="150"/>
      </w:pPr>
      <w:r>
        <w:t xml:space="preserve">This growing error trend in SfM (larger errors at greater depths) is a well-known limitation of monocular/SfM-based depth estimation, which relies on scale estimation from motion and is more sensitive to accumulated drift and scale ambiguity at longer distances. Stereo Vision, by contrast, uses direct triangulation from two calibrated camera views, which provides more reliable and metrically accurate depth measurement, especially as demonstrated by its zero error here.</w:t>
      </w:r>
    </w:p>
    <w:p>
      <w:pPr>
        <w:spacing w:after="150"/>
      </w:pPr>
      <w:r>
        <w:t xml:space="preserve">Conclusion: Stereo Vision provides significantly more accurate depth estimation than SfM for this data, with zero average absolute error compared to SfM's 0.767 m average error.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2026-08-27T02:56:58.322Z</dcterms:created>
  <dcterms:modified xsi:type="dcterms:W3CDTF">2026-08-27T02:56:58.334Z</dcterms:modified>
</cp:coreProperties>
</file>

<file path=docProps/custom.xml><?xml version="1.0" encoding="utf-8"?>
<Properties xmlns="http://schemas.openxmlformats.org/officeDocument/2006/custom-properties" xmlns:vt="http://schemas.openxmlformats.org/officeDocument/2006/docPropsVTypes"/>
</file>