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AD328">
      <w:pPr>
        <w:spacing w:after="40"/>
        <w:jc w:val="center"/>
      </w:pPr>
      <w:r>
        <w:rPr>
          <w:rFonts w:ascii="Calibri" w:hAnsi="Calibri" w:eastAsia="Calibri" w:cs="Calibri"/>
          <w:b/>
          <w:bCs/>
          <w:sz w:val="32"/>
          <w:szCs w:val="32"/>
        </w:rPr>
        <w:t>SIMATS ENGINEERING</w:t>
      </w:r>
    </w:p>
    <w:p w14:paraId="057B8267">
      <w:pPr>
        <w:spacing w:after="320"/>
        <w:jc w:val="center"/>
      </w:pPr>
      <w:r>
        <w:rPr>
          <w:rFonts w:ascii="Calibri" w:hAnsi="Calibri" w:eastAsia="Calibri" w:cs="Calibri"/>
          <w:b/>
          <w:bCs/>
          <w:sz w:val="28"/>
          <w:szCs w:val="28"/>
        </w:rPr>
        <w:t>ASSESSMENT TOOL 2</w:t>
      </w:r>
    </w:p>
    <w:p w14:paraId="272BFBFD">
      <w:pPr>
        <w:spacing w:after="200"/>
      </w:pPr>
      <w:r>
        <w:rPr>
          <w:rFonts w:ascii="Calibri" w:hAnsi="Calibri" w:eastAsia="Calibri" w:cs="Calibri"/>
          <w:b/>
          <w:bCs/>
          <w:sz w:val="22"/>
          <w:szCs w:val="22"/>
        </w:rPr>
        <w:t xml:space="preserve">COURSE NAME: </w:t>
      </w:r>
      <w:r>
        <w:rPr>
          <w:rFonts w:ascii="Calibri" w:hAnsi="Calibri" w:eastAsia="Calibri" w:cs="Calibri"/>
          <w:sz w:val="22"/>
          <w:szCs w:val="22"/>
        </w:rPr>
        <w:t>Artificial Intelligence</w:t>
      </w:r>
      <w:r>
        <w:rPr>
          <w:rFonts w:ascii="Calibri" w:hAnsi="Calibri" w:eastAsia="Calibri" w:cs="Calibri"/>
          <w:b/>
          <w:bCs/>
          <w:sz w:val="22"/>
          <w:szCs w:val="22"/>
        </w:rPr>
        <w:t xml:space="preserve">      COURSE CODE: </w:t>
      </w:r>
      <w:r>
        <w:rPr>
          <w:rFonts w:ascii="Calibri" w:hAnsi="Calibri" w:eastAsia="Calibri" w:cs="Calibri"/>
          <w:sz w:val="22"/>
          <w:szCs w:val="22"/>
        </w:rPr>
        <w:t>CSA17</w:t>
      </w:r>
    </w:p>
    <w:p w14:paraId="4E4EA435">
      <w:pPr>
        <w:pBdr>
          <w:bottom w:val="single" w:color="000000" w:sz="6" w:space="0"/>
        </w:pBdr>
        <w:spacing w:after="240"/>
      </w:pPr>
    </w:p>
    <w:p w14:paraId="13783B44">
      <w:pPr>
        <w:spacing w:after="120"/>
      </w:pPr>
      <w:r>
        <w:rPr>
          <w:rFonts w:ascii="Calibri" w:hAnsi="Calibri" w:eastAsia="Calibri" w:cs="Calibri"/>
          <w:b/>
          <w:bCs/>
          <w:sz w:val="22"/>
          <w:szCs w:val="22"/>
        </w:rPr>
        <w:t>COURSE OUTCOME COVERED</w:t>
      </w:r>
    </w:p>
    <w:p w14:paraId="3C5E306F">
      <w:pPr>
        <w:spacing w:after="120"/>
      </w:pPr>
      <w:r>
        <w:rPr>
          <w:rFonts w:ascii="Calibri" w:hAnsi="Calibri" w:eastAsia="Calibri" w:cs="Calibri"/>
          <w:b/>
          <w:bCs/>
          <w:i/>
          <w:iCs/>
          <w:sz w:val="22"/>
          <w:szCs w:val="22"/>
        </w:rPr>
        <w:t xml:space="preserve">CO4: </w:t>
      </w:r>
      <w:r>
        <w:rPr>
          <w:rFonts w:ascii="Calibri" w:hAnsi="Calibri" w:eastAsia="Calibri" w:cs="Calibri"/>
          <w:i/>
          <w:iCs/>
          <w:sz w:val="22"/>
          <w:szCs w:val="22"/>
        </w:rPr>
        <w:t>Implement machine learning techniques including decision tree algorithms, reinforcement learning, and build models for classification and decision-making. (BL3)</w:t>
      </w:r>
    </w:p>
    <w:p w14:paraId="678D9869">
      <w:pPr>
        <w:spacing w:after="240"/>
      </w:pPr>
      <w:r>
        <w:rPr>
          <w:rFonts w:ascii="Calibri" w:hAnsi="Calibri" w:eastAsia="Calibri" w:cs="Calibri"/>
          <w:i/>
          <w:iCs/>
          <w:sz w:val="22"/>
          <w:szCs w:val="22"/>
        </w:rPr>
        <w:t>Assessment Tool Weightage: 50%</w:t>
      </w:r>
    </w:p>
    <w:p w14:paraId="0BB37EE9">
      <w:pPr>
        <w:pBdr>
          <w:bottom w:val="single" w:color="000000" w:sz="6" w:space="0"/>
        </w:pBdr>
        <w:spacing w:after="240"/>
      </w:pPr>
    </w:p>
    <w:p w14:paraId="52433552">
      <w:pPr>
        <w:spacing w:after="120"/>
        <w:jc w:val="right"/>
      </w:pPr>
      <w:r>
        <w:rPr>
          <w:rFonts w:ascii="Calibri" w:hAnsi="Calibri" w:eastAsia="Calibri" w:cs="Calibri"/>
          <w:b/>
          <w:bCs/>
          <w:sz w:val="22"/>
          <w:szCs w:val="22"/>
        </w:rPr>
        <w:t>Duration: 1 hour</w:t>
      </w:r>
    </w:p>
    <w:p w14:paraId="4F5031E8">
      <w:pPr>
        <w:spacing w:after="320"/>
      </w:pPr>
      <w:r>
        <w:rPr>
          <w:rFonts w:ascii="Calibri" w:hAnsi="Calibri" w:eastAsia="Calibri" w:cs="Calibri"/>
          <w:b/>
          <w:bCs/>
          <w:sz w:val="22"/>
          <w:szCs w:val="22"/>
        </w:rPr>
        <w:t>QUESTIONS: 4                                                              Total Marks: 40</w:t>
      </w:r>
    </w:p>
    <w:p w14:paraId="3148A62B">
      <w:pPr>
        <w:spacing w:after="120"/>
        <w:jc w:val="center"/>
      </w:pPr>
      <w:r>
        <w:rPr>
          <w:rFonts w:ascii="Calibri" w:hAnsi="Calibri" w:eastAsia="Calibri" w:cs="Calibri"/>
          <w:sz w:val="22"/>
          <w:szCs w:val="22"/>
        </w:rPr>
        <w:t>Annexure A</w:t>
      </w:r>
    </w:p>
    <w:p w14:paraId="067C5C39">
      <w:pPr>
        <w:spacing w:after="320"/>
        <w:jc w:val="center"/>
      </w:pPr>
      <w:r>
        <w:rPr>
          <w:rFonts w:ascii="Calibri" w:hAnsi="Calibri" w:eastAsia="Calibri" w:cs="Calibri"/>
          <w:b/>
          <w:bCs/>
          <w:sz w:val="24"/>
          <w:szCs w:val="24"/>
        </w:rPr>
        <w:t>ARTICLE REVIEW</w:t>
      </w:r>
    </w:p>
    <w:p w14:paraId="40C83870">
      <w:pPr>
        <w:pBdr>
          <w:bottom w:val="single" w:color="000000" w:sz="6" w:space="0"/>
        </w:pBdr>
        <w:spacing w:after="320"/>
      </w:pPr>
    </w:p>
    <w:p w14:paraId="75222222">
      <w:pPr>
        <w:spacing w:after="120"/>
      </w:pPr>
      <w:r>
        <w:rPr>
          <w:rFonts w:ascii="Calibri" w:hAnsi="Calibri" w:eastAsia="Calibri" w:cs="Calibri"/>
          <w:b/>
          <w:bCs/>
          <w:i/>
          <w:iCs/>
          <w:sz w:val="22"/>
          <w:szCs w:val="22"/>
        </w:rPr>
        <w:t>Code of Conduct:</w:t>
      </w:r>
    </w:p>
    <w:p w14:paraId="70E87C27">
      <w:pPr>
        <w:spacing w:after="40"/>
      </w:pPr>
      <w:r>
        <w:rPr>
          <w:rFonts w:ascii="Calibri" w:hAnsi="Calibri" w:eastAsia="Calibri" w:cs="Calibri"/>
          <w:i/>
          <w:iCs/>
          <w:sz w:val="20"/>
          <w:szCs w:val="20"/>
        </w:rPr>
        <w:t xml:space="preserve">I </w:t>
      </w:r>
      <w:r>
        <w:rPr>
          <w:rFonts w:hint="default" w:ascii="Calibri" w:hAnsi="Calibri" w:eastAsia="Calibri" w:cs="Calibri"/>
          <w:i/>
          <w:iCs/>
          <w:sz w:val="20"/>
          <w:szCs w:val="20"/>
          <w:u w:val="single"/>
          <w:lang w:val="en-US"/>
        </w:rPr>
        <w:t>S. Chandra shekar</w:t>
      </w:r>
      <w:r>
        <w:rPr>
          <w:rFonts w:hint="default" w:ascii="Calibri" w:hAnsi="Calibri" w:eastAsia="Calibri" w:cs="Calibri"/>
          <w:i/>
          <w:iCs/>
          <w:sz w:val="20"/>
          <w:szCs w:val="20"/>
          <w:u w:val="single"/>
          <w:lang w:val="en-US"/>
        </w:rPr>
        <w:t>(192372163)</w:t>
      </w:r>
      <w:r>
        <w:rPr>
          <w:rFonts w:ascii="Calibri" w:hAnsi="Calibri" w:eastAsia="Calibri" w:cs="Calibri"/>
          <w:i/>
          <w:iCs/>
          <w:sz w:val="20"/>
          <w:szCs w:val="20"/>
          <w:u w:val="single"/>
        </w:rPr>
        <w:t xml:space="preserve"> </w:t>
      </w:r>
      <w:r>
        <w:rPr>
          <w:rFonts w:ascii="Calibri" w:hAnsi="Calibri" w:eastAsia="Calibri" w:cs="Calibri"/>
          <w:i/>
          <w:iCs/>
          <w:sz w:val="20"/>
          <w:szCs w:val="20"/>
        </w:rPr>
        <w:t>(Name / Reg No) certify that this submission is my original work and that I have adhered to the guidelines specified for this assessment.</w:t>
      </w:r>
    </w:p>
    <w:p w14:paraId="0765FB9E">
      <w:pPr>
        <w:spacing w:after="200"/>
      </w:pPr>
      <w:r>
        <w:rPr>
          <w:rFonts w:ascii="Calibri" w:hAnsi="Calibri" w:eastAsia="Calibri" w:cs="Calibri"/>
          <w:i/>
          <w:iCs/>
          <w:sz w:val="20"/>
          <w:szCs w:val="20"/>
        </w:rPr>
        <w:t>I understand that any violation of academic integrity rules will result in disciplinary action.</w:t>
      </w:r>
    </w:p>
    <w:p w14:paraId="41926DD5">
      <w:pPr>
        <w:spacing w:after="400"/>
        <w:rPr>
          <w:rFonts w:hint="default" w:ascii="Calibri" w:hAnsi="Calibri" w:eastAsia="Calibri" w:cs="Calibri"/>
          <w:b w:val="0"/>
          <w:bCs w:val="0"/>
          <w:i/>
          <w:iCs/>
          <w:sz w:val="22"/>
          <w:szCs w:val="22"/>
          <w:lang w:val="en-US"/>
        </w:rPr>
      </w:pPr>
      <w:r>
        <w:rPr>
          <w:rFonts w:ascii="Calibri" w:hAnsi="Calibri" w:eastAsia="Calibri" w:cs="Calibri"/>
          <w:b/>
          <w:bCs/>
          <w:i/>
          <w:iCs/>
          <w:sz w:val="22"/>
          <w:szCs w:val="22"/>
        </w:rPr>
        <w:t>Signature of the student:</w:t>
      </w:r>
      <w:r>
        <w:rPr>
          <w:rFonts w:hint="default" w:ascii="Calibri" w:hAnsi="Calibri" w:eastAsia="Calibri" w:cs="Calibri"/>
          <w:b w:val="0"/>
          <w:bCs w:val="0"/>
          <w:i/>
          <w:iCs/>
          <w:sz w:val="22"/>
          <w:szCs w:val="22"/>
          <w:lang w:val="en-US"/>
        </w:rPr>
        <w:t xml:space="preserve"> S. Chandra shekar</w:t>
      </w:r>
    </w:p>
    <w:p w14:paraId="09B4F4D3">
      <w:r>
        <w:br w:type="page"/>
      </w:r>
      <w:bookmarkStart w:id="0" w:name="_GoBack"/>
      <w:bookmarkEnd w:id="0"/>
    </w:p>
    <w:p w14:paraId="06FD0593">
      <w:pPr>
        <w:spacing w:after="60"/>
        <w:jc w:val="center"/>
      </w:pPr>
      <w:r>
        <w:rPr>
          <w:rFonts w:ascii="Calibri" w:hAnsi="Calibri" w:eastAsia="Calibri" w:cs="Calibri"/>
          <w:sz w:val="22"/>
          <w:szCs w:val="22"/>
        </w:rPr>
        <w:t>Annexure A</w:t>
      </w:r>
    </w:p>
    <w:p w14:paraId="4AE3F209">
      <w:pPr>
        <w:spacing w:after="240"/>
        <w:jc w:val="center"/>
      </w:pPr>
      <w:r>
        <w:rPr>
          <w:rFonts w:ascii="Calibri" w:hAnsi="Calibri" w:eastAsia="Calibri" w:cs="Calibri"/>
          <w:b/>
          <w:bCs/>
          <w:sz w:val="26"/>
          <w:szCs w:val="26"/>
        </w:rPr>
        <w:t>ARTICLE REVIEW</w:t>
      </w:r>
    </w:p>
    <w:p w14:paraId="5ACFD853">
      <w:pPr>
        <w:spacing w:after="120"/>
      </w:pPr>
      <w:r>
        <w:rPr>
          <w:rFonts w:ascii="Calibri" w:hAnsi="Calibri" w:eastAsia="Calibri" w:cs="Calibri"/>
          <w:b/>
          <w:bCs/>
          <w:sz w:val="22"/>
          <w:szCs w:val="22"/>
        </w:rPr>
        <w:t>INSTRUCTIONS</w:t>
      </w:r>
    </w:p>
    <w:p w14:paraId="10546585">
      <w:pPr>
        <w:spacing w:after="160"/>
      </w:pPr>
      <w:r>
        <w:rPr>
          <w:rFonts w:ascii="Calibri" w:hAnsi="Calibri" w:eastAsia="Calibri" w:cs="Calibri"/>
          <w:sz w:val="22"/>
          <w:szCs w:val="22"/>
        </w:rPr>
        <w:t>Select any ONE peer-reviewed research article (published after 2019) from IEEE Xplore, Springer, Elsevier, or ACM Digital Library related to any of the following topics: Inductive Learning, Decision Trees, Statistical Learning Methods (Naïve Bayes / Logistic Regression / SVM), or Reinforcement Learning applications.</w:t>
      </w:r>
    </w:p>
    <w:p w14:paraId="6C46E01D">
      <w:pPr>
        <w:spacing w:after="160"/>
      </w:pPr>
      <w:r>
        <w:rPr>
          <w:rFonts w:ascii="Calibri" w:hAnsi="Calibri" w:eastAsia="Calibri" w:cs="Calibri"/>
          <w:sz w:val="22"/>
          <w:szCs w:val="22"/>
        </w:rPr>
        <w:t>Submit: (i) Article citation details (ii) PDF or valid DOI link (iii) Written review as per the tasks below.</w:t>
      </w:r>
    </w:p>
    <w:p w14:paraId="0DA670AF">
      <w:pPr>
        <w:pStyle w:val="3"/>
        <w:spacing w:before="280" w:after="160"/>
      </w:pPr>
      <w:r>
        <w:t>Task 1: Article Summary</w:t>
      </w:r>
    </w:p>
    <w:p w14:paraId="50AF0DDE">
      <w:pPr>
        <w:spacing w:after="160"/>
      </w:pPr>
      <w:r>
        <w:rPr>
          <w:rFonts w:ascii="Calibri" w:hAnsi="Calibri" w:eastAsia="Calibri" w:cs="Calibri"/>
          <w:sz w:val="22"/>
          <w:szCs w:val="22"/>
        </w:rPr>
        <w:t>(a) Provide the full citation of the article (Author(s), Title, Journal/Conference, Year, DOI). State the domain/application area and the specific ML problem addressed.</w:t>
      </w:r>
    </w:p>
    <w:p w14:paraId="261BF79E">
      <w:pPr>
        <w:spacing w:after="160"/>
      </w:pPr>
      <w:r>
        <w:rPr>
          <w:rFonts w:ascii="Calibri" w:hAnsi="Calibri" w:eastAsia="Calibri" w:cs="Calibri"/>
          <w:sz w:val="22"/>
          <w:szCs w:val="22"/>
        </w:rPr>
        <w:t>(b) Summarise the key objective of the article in your own words (150–200 words). Clearly state the research gap the authors identified and how they proposed to fill it.</w:t>
      </w:r>
    </w:p>
    <w:p w14:paraId="7686CC00">
      <w:pPr>
        <w:pStyle w:val="3"/>
        <w:spacing w:before="280" w:after="160"/>
      </w:pPr>
      <w:r>
        <w:t>Task 2: Methodology Analysis</w:t>
      </w:r>
    </w:p>
    <w:p w14:paraId="1A49FA29">
      <w:pPr>
        <w:spacing w:after="160"/>
      </w:pPr>
      <w:r>
        <w:rPr>
          <w:rFonts w:ascii="Calibri" w:hAnsi="Calibri" w:eastAsia="Calibri" w:cs="Calibri"/>
          <w:sz w:val="22"/>
          <w:szCs w:val="22"/>
        </w:rPr>
        <w:t>(a) Explain the ML technique(s) used in the article (e.g., Decision Tree variant, RL algorithm, Statistical model). Describe the dataset used—size, features, source, and how it was prepared.</w:t>
      </w:r>
    </w:p>
    <w:p w14:paraId="1C8B7C3C">
      <w:pPr>
        <w:spacing w:after="160"/>
      </w:pPr>
      <w:r>
        <w:rPr>
          <w:rFonts w:ascii="Calibri" w:hAnsi="Calibri" w:eastAsia="Calibri" w:cs="Calibri"/>
          <w:sz w:val="22"/>
          <w:szCs w:val="22"/>
        </w:rPr>
        <w:t>(b) Map the technique to CO 4 topics (Inductive Learning / Decision Trees / Statistical Learning / RL). Identify one methodological strength and one limitation in the authors' approach.</w:t>
      </w:r>
    </w:p>
    <w:p w14:paraId="51819ECE">
      <w:pPr>
        <w:pStyle w:val="3"/>
        <w:spacing w:before="280" w:after="160"/>
      </w:pPr>
      <w:r>
        <w:t>Task 3: Results &amp; Critical Evaluation</w:t>
      </w:r>
    </w:p>
    <w:p w14:paraId="382DFD07">
      <w:pPr>
        <w:spacing w:after="160"/>
      </w:pPr>
      <w:r>
        <w:rPr>
          <w:rFonts w:ascii="Calibri" w:hAnsi="Calibri" w:eastAsia="Calibri" w:cs="Calibri"/>
          <w:sz w:val="22"/>
          <w:szCs w:val="22"/>
        </w:rPr>
        <w:t>(a) Report the key results (accuracy, F1-Score, AUC-ROC, reward convergence, etc.) as presented by the authors. Create a comparative table if multiple models are benchmarked.</w:t>
      </w:r>
    </w:p>
    <w:p w14:paraId="00A5315E">
      <w:pPr>
        <w:spacing w:after="160"/>
      </w:pPr>
      <w:r>
        <w:rPr>
          <w:rFonts w:ascii="Calibri" w:hAnsi="Calibri" w:eastAsia="Calibri" w:cs="Calibri"/>
          <w:sz w:val="22"/>
          <w:szCs w:val="22"/>
        </w:rPr>
        <w:t>(b) Critically evaluate the results: Are the reported metrics realistic? Are there potential biases (dataset, evaluation protocol)? What additional experiments would strengthen the findings?</w:t>
      </w:r>
    </w:p>
    <w:p w14:paraId="21FEF3B7">
      <w:pPr>
        <w:spacing w:after="160"/>
      </w:pPr>
      <w:r>
        <w:rPr>
          <w:rFonts w:ascii="Calibri" w:hAnsi="Calibri" w:eastAsia="Calibri" w:cs="Calibri"/>
          <w:sz w:val="22"/>
          <w:szCs w:val="22"/>
        </w:rPr>
        <w:t>(c) Discuss real-world applicability: Where can this technique be deployed? What are the challenges in scaling the solution to industry (data availability, compute, ethical issues)?</w:t>
      </w:r>
    </w:p>
    <w:p w14:paraId="0A9B27EB">
      <w:pPr>
        <w:pStyle w:val="3"/>
        <w:spacing w:before="280" w:after="160"/>
      </w:pPr>
      <w:r>
        <w:t>Task 4: Reflection &amp; Learning Outcome</w:t>
      </w:r>
    </w:p>
    <w:p w14:paraId="7EE14C0A">
      <w:pPr>
        <w:spacing w:after="160"/>
      </w:pPr>
      <w:r>
        <w:rPr>
          <w:rFonts w:ascii="Calibri" w:hAnsi="Calibri" w:eastAsia="Calibri" w:cs="Calibri"/>
          <w:sz w:val="22"/>
          <w:szCs w:val="22"/>
        </w:rPr>
        <w:t>(a) State three key insights you gained from reading the article that deepen your understanding of CO 4 topics. Connect each insight to a specific concept from the course syllabus.</w:t>
      </w:r>
    </w:p>
    <w:p w14:paraId="47ABC4E8">
      <w:pPr>
        <w:spacing w:after="160"/>
      </w:pPr>
      <w:r>
        <w:rPr>
          <w:rFonts w:ascii="Calibri" w:hAnsi="Calibri" w:eastAsia="Calibri" w:cs="Calibri"/>
          <w:sz w:val="22"/>
          <w:szCs w:val="22"/>
        </w:rPr>
        <w:t>(b) If you were to extend this research, propose one novel experiment or enhancement (different dataset / improved algorithm / new application domain). Justify its feasibility and expected impact.</w:t>
      </w:r>
    </w:p>
    <w:p w14:paraId="71D49D0A">
      <w:pPr>
        <w:pStyle w:val="3"/>
        <w:spacing w:before="280" w:after="160"/>
      </w:pPr>
      <w:r>
        <w:t>Rubrics for Calculation</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5"/>
        <w:gridCol w:w="1097"/>
        <w:gridCol w:w="1653"/>
        <w:gridCol w:w="1563"/>
        <w:gridCol w:w="1658"/>
        <w:gridCol w:w="1474"/>
      </w:tblGrid>
      <w:tr w14:paraId="1EAF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D9D9D9"/>
            <w:tcMar>
              <w:top w:w="80" w:type="dxa"/>
              <w:left w:w="100" w:type="dxa"/>
              <w:bottom w:w="80" w:type="dxa"/>
              <w:right w:w="100" w:type="dxa"/>
            </w:tcMar>
          </w:tcPr>
          <w:p w14:paraId="2D3390B1">
            <w:pPr>
              <w:jc w:val="left"/>
            </w:pPr>
            <w:r>
              <w:rPr>
                <w:rFonts w:ascii="Calibri" w:hAnsi="Calibri" w:eastAsia="Calibri" w:cs="Calibri"/>
                <w:b/>
                <w:bCs/>
                <w:sz w:val="20"/>
                <w:szCs w:val="20"/>
              </w:rPr>
              <w:t>Criteria</w:t>
            </w:r>
          </w:p>
        </w:tc>
        <w:tc>
          <w:tcPr>
            <w:tcW w:w="900" w:type="dxa"/>
            <w:shd w:val="clear" w:color="auto" w:fill="D9D9D9"/>
            <w:tcMar>
              <w:top w:w="80" w:type="dxa"/>
              <w:left w:w="100" w:type="dxa"/>
              <w:bottom w:w="80" w:type="dxa"/>
              <w:right w:w="100" w:type="dxa"/>
            </w:tcMar>
          </w:tcPr>
          <w:p w14:paraId="0142AC79">
            <w:pPr>
              <w:jc w:val="left"/>
            </w:pPr>
            <w:r>
              <w:rPr>
                <w:rFonts w:ascii="Calibri" w:hAnsi="Calibri" w:eastAsia="Calibri" w:cs="Calibri"/>
                <w:b/>
                <w:bCs/>
                <w:sz w:val="20"/>
                <w:szCs w:val="20"/>
              </w:rPr>
              <w:t>Weightage (%)</w:t>
            </w:r>
          </w:p>
        </w:tc>
        <w:tc>
          <w:tcPr>
            <w:tcW w:w="1700" w:type="dxa"/>
            <w:shd w:val="clear" w:color="auto" w:fill="D9D9D9"/>
            <w:tcMar>
              <w:top w:w="80" w:type="dxa"/>
              <w:left w:w="100" w:type="dxa"/>
              <w:bottom w:w="80" w:type="dxa"/>
              <w:right w:w="100" w:type="dxa"/>
            </w:tcMar>
          </w:tcPr>
          <w:p w14:paraId="3768F270">
            <w:pPr>
              <w:jc w:val="left"/>
            </w:pPr>
            <w:r>
              <w:rPr>
                <w:rFonts w:ascii="Calibri" w:hAnsi="Calibri" w:eastAsia="Calibri" w:cs="Calibri"/>
                <w:b/>
                <w:bCs/>
                <w:sz w:val="20"/>
                <w:szCs w:val="20"/>
              </w:rPr>
              <w:t>Level 4 (Exemplary)</w:t>
            </w:r>
          </w:p>
        </w:tc>
        <w:tc>
          <w:tcPr>
            <w:tcW w:w="1600" w:type="dxa"/>
            <w:shd w:val="clear" w:color="auto" w:fill="D9D9D9"/>
            <w:tcMar>
              <w:top w:w="80" w:type="dxa"/>
              <w:left w:w="100" w:type="dxa"/>
              <w:bottom w:w="80" w:type="dxa"/>
              <w:right w:w="100" w:type="dxa"/>
            </w:tcMar>
          </w:tcPr>
          <w:p w14:paraId="3C9528FB">
            <w:pPr>
              <w:jc w:val="left"/>
            </w:pPr>
            <w:r>
              <w:rPr>
                <w:rFonts w:ascii="Calibri" w:hAnsi="Calibri" w:eastAsia="Calibri" w:cs="Calibri"/>
                <w:b/>
                <w:bCs/>
                <w:sz w:val="20"/>
                <w:szCs w:val="20"/>
              </w:rPr>
              <w:t>Level 3 (Proficient)</w:t>
            </w:r>
          </w:p>
        </w:tc>
        <w:tc>
          <w:tcPr>
            <w:tcW w:w="1700" w:type="dxa"/>
            <w:shd w:val="clear" w:color="auto" w:fill="D9D9D9"/>
            <w:tcMar>
              <w:top w:w="80" w:type="dxa"/>
              <w:left w:w="100" w:type="dxa"/>
              <w:bottom w:w="80" w:type="dxa"/>
              <w:right w:w="100" w:type="dxa"/>
            </w:tcMar>
          </w:tcPr>
          <w:p w14:paraId="2D64C327">
            <w:pPr>
              <w:jc w:val="left"/>
            </w:pPr>
            <w:r>
              <w:rPr>
                <w:rFonts w:ascii="Calibri" w:hAnsi="Calibri" w:eastAsia="Calibri" w:cs="Calibri"/>
                <w:b/>
                <w:bCs/>
                <w:sz w:val="20"/>
                <w:szCs w:val="20"/>
              </w:rPr>
              <w:t>Level 2 (Developing)</w:t>
            </w:r>
          </w:p>
        </w:tc>
        <w:tc>
          <w:tcPr>
            <w:tcW w:w="1500" w:type="dxa"/>
            <w:shd w:val="clear" w:color="auto" w:fill="D9D9D9"/>
            <w:tcMar>
              <w:top w:w="80" w:type="dxa"/>
              <w:left w:w="100" w:type="dxa"/>
              <w:bottom w:w="80" w:type="dxa"/>
              <w:right w:w="100" w:type="dxa"/>
            </w:tcMar>
          </w:tcPr>
          <w:p w14:paraId="1D0DB937">
            <w:pPr>
              <w:jc w:val="left"/>
            </w:pPr>
            <w:r>
              <w:rPr>
                <w:rFonts w:ascii="Calibri" w:hAnsi="Calibri" w:eastAsia="Calibri" w:cs="Calibri"/>
                <w:b/>
                <w:bCs/>
                <w:sz w:val="20"/>
                <w:szCs w:val="20"/>
              </w:rPr>
              <w:t>Level 1 (Beginning)</w:t>
            </w:r>
          </w:p>
        </w:tc>
      </w:tr>
      <w:tr w14:paraId="1453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546FA84A">
            <w:pPr>
              <w:jc w:val="left"/>
            </w:pPr>
            <w:r>
              <w:rPr>
                <w:rFonts w:ascii="Calibri" w:hAnsi="Calibri" w:eastAsia="Calibri" w:cs="Calibri"/>
                <w:b w:val="0"/>
                <w:bCs w:val="0"/>
                <w:sz w:val="18"/>
                <w:szCs w:val="18"/>
              </w:rPr>
              <w:t>Understanding of Article</w:t>
            </w:r>
          </w:p>
        </w:tc>
        <w:tc>
          <w:tcPr>
            <w:tcW w:w="900" w:type="dxa"/>
            <w:tcMar>
              <w:top w:w="80" w:type="dxa"/>
              <w:left w:w="100" w:type="dxa"/>
              <w:bottom w:w="80" w:type="dxa"/>
              <w:right w:w="100" w:type="dxa"/>
            </w:tcMar>
          </w:tcPr>
          <w:p w14:paraId="575C72B1">
            <w:pPr>
              <w:jc w:val="left"/>
            </w:pPr>
            <w:r>
              <w:rPr>
                <w:rFonts w:ascii="Calibri" w:hAnsi="Calibri" w:eastAsia="Calibri" w:cs="Calibri"/>
                <w:b w:val="0"/>
                <w:bCs w:val="0"/>
                <w:sz w:val="18"/>
                <w:szCs w:val="18"/>
              </w:rPr>
              <w:t>20%</w:t>
            </w:r>
          </w:p>
        </w:tc>
        <w:tc>
          <w:tcPr>
            <w:tcW w:w="1700" w:type="dxa"/>
            <w:tcMar>
              <w:top w:w="80" w:type="dxa"/>
              <w:left w:w="100" w:type="dxa"/>
              <w:bottom w:w="80" w:type="dxa"/>
              <w:right w:w="100" w:type="dxa"/>
            </w:tcMar>
          </w:tcPr>
          <w:p w14:paraId="54591ACE">
            <w:pPr>
              <w:jc w:val="left"/>
            </w:pPr>
            <w:r>
              <w:rPr>
                <w:rFonts w:ascii="Calibri" w:hAnsi="Calibri" w:eastAsia="Calibri" w:cs="Calibri"/>
                <w:b w:val="0"/>
                <w:bCs w:val="0"/>
                <w:sz w:val="18"/>
                <w:szCs w:val="18"/>
              </w:rPr>
              <w:t>Demonstrates clear and in-depth understanding of the article's purpose, concepts, and arguments</w:t>
            </w:r>
          </w:p>
        </w:tc>
        <w:tc>
          <w:tcPr>
            <w:tcW w:w="1600" w:type="dxa"/>
            <w:tcMar>
              <w:top w:w="80" w:type="dxa"/>
              <w:left w:w="100" w:type="dxa"/>
              <w:bottom w:w="80" w:type="dxa"/>
              <w:right w:w="100" w:type="dxa"/>
            </w:tcMar>
          </w:tcPr>
          <w:p w14:paraId="1FDD3675">
            <w:pPr>
              <w:jc w:val="left"/>
            </w:pPr>
            <w:r>
              <w:rPr>
                <w:rFonts w:ascii="Calibri" w:hAnsi="Calibri" w:eastAsia="Calibri" w:cs="Calibri"/>
                <w:b w:val="0"/>
                <w:bCs w:val="0"/>
                <w:sz w:val="18"/>
                <w:szCs w:val="18"/>
              </w:rPr>
              <w:t>Shows good understanding with minor gaps</w:t>
            </w:r>
          </w:p>
        </w:tc>
        <w:tc>
          <w:tcPr>
            <w:tcW w:w="1700" w:type="dxa"/>
            <w:tcMar>
              <w:top w:w="80" w:type="dxa"/>
              <w:left w:w="100" w:type="dxa"/>
              <w:bottom w:w="80" w:type="dxa"/>
              <w:right w:w="100" w:type="dxa"/>
            </w:tcMar>
          </w:tcPr>
          <w:p w14:paraId="4A722F3B">
            <w:pPr>
              <w:jc w:val="left"/>
            </w:pPr>
            <w:r>
              <w:rPr>
                <w:rFonts w:ascii="Calibri" w:hAnsi="Calibri" w:eastAsia="Calibri" w:cs="Calibri"/>
                <w:b w:val="0"/>
                <w:bCs w:val="0"/>
                <w:sz w:val="18"/>
                <w:szCs w:val="18"/>
              </w:rPr>
              <w:t>Partial understanding; misses key ideas</w:t>
            </w:r>
          </w:p>
        </w:tc>
        <w:tc>
          <w:tcPr>
            <w:tcW w:w="1500" w:type="dxa"/>
            <w:tcMar>
              <w:top w:w="80" w:type="dxa"/>
              <w:left w:w="100" w:type="dxa"/>
              <w:bottom w:w="80" w:type="dxa"/>
              <w:right w:w="100" w:type="dxa"/>
            </w:tcMar>
          </w:tcPr>
          <w:p w14:paraId="6ED63948">
            <w:pPr>
              <w:jc w:val="left"/>
            </w:pPr>
            <w:r>
              <w:rPr>
                <w:rFonts w:ascii="Calibri" w:hAnsi="Calibri" w:eastAsia="Calibri" w:cs="Calibri"/>
                <w:b w:val="0"/>
                <w:bCs w:val="0"/>
                <w:sz w:val="18"/>
                <w:szCs w:val="18"/>
              </w:rPr>
              <w:t>Lacks understanding of the article</w:t>
            </w:r>
          </w:p>
        </w:tc>
      </w:tr>
      <w:tr w14:paraId="2B2CA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4CD79823">
            <w:pPr>
              <w:jc w:val="left"/>
            </w:pPr>
            <w:r>
              <w:rPr>
                <w:rFonts w:ascii="Calibri" w:hAnsi="Calibri" w:eastAsia="Calibri" w:cs="Calibri"/>
                <w:b w:val="0"/>
                <w:bCs w:val="0"/>
                <w:sz w:val="18"/>
                <w:szCs w:val="18"/>
              </w:rPr>
              <w:t>Summary</w:t>
            </w:r>
          </w:p>
        </w:tc>
        <w:tc>
          <w:tcPr>
            <w:tcW w:w="900" w:type="dxa"/>
            <w:tcMar>
              <w:top w:w="80" w:type="dxa"/>
              <w:left w:w="100" w:type="dxa"/>
              <w:bottom w:w="80" w:type="dxa"/>
              <w:right w:w="100" w:type="dxa"/>
            </w:tcMar>
          </w:tcPr>
          <w:p w14:paraId="301B4C2B">
            <w:pPr>
              <w:jc w:val="left"/>
            </w:pPr>
            <w:r>
              <w:rPr>
                <w:rFonts w:ascii="Calibri" w:hAnsi="Calibri" w:eastAsia="Calibri" w:cs="Calibri"/>
                <w:b w:val="0"/>
                <w:bCs w:val="0"/>
                <w:sz w:val="18"/>
                <w:szCs w:val="18"/>
              </w:rPr>
              <w:t>20%</w:t>
            </w:r>
          </w:p>
        </w:tc>
        <w:tc>
          <w:tcPr>
            <w:tcW w:w="1700" w:type="dxa"/>
            <w:tcMar>
              <w:top w:w="80" w:type="dxa"/>
              <w:left w:w="100" w:type="dxa"/>
              <w:bottom w:w="80" w:type="dxa"/>
              <w:right w:w="100" w:type="dxa"/>
            </w:tcMar>
          </w:tcPr>
          <w:p w14:paraId="4F122B0F">
            <w:pPr>
              <w:jc w:val="left"/>
            </w:pPr>
            <w:r>
              <w:rPr>
                <w:rFonts w:ascii="Calibri" w:hAnsi="Calibri" w:eastAsia="Calibri" w:cs="Calibri"/>
                <w:b w:val="0"/>
                <w:bCs w:val="0"/>
                <w:sz w:val="18"/>
                <w:szCs w:val="18"/>
              </w:rPr>
              <w:t>Provides concise and accurate summary highlighting all key points</w:t>
            </w:r>
          </w:p>
        </w:tc>
        <w:tc>
          <w:tcPr>
            <w:tcW w:w="1600" w:type="dxa"/>
            <w:tcMar>
              <w:top w:w="80" w:type="dxa"/>
              <w:left w:w="100" w:type="dxa"/>
              <w:bottom w:w="80" w:type="dxa"/>
              <w:right w:w="100" w:type="dxa"/>
            </w:tcMar>
          </w:tcPr>
          <w:p w14:paraId="11D29A51">
            <w:pPr>
              <w:jc w:val="left"/>
            </w:pPr>
            <w:r>
              <w:rPr>
                <w:rFonts w:ascii="Calibri" w:hAnsi="Calibri" w:eastAsia="Calibri" w:cs="Calibri"/>
                <w:b w:val="0"/>
                <w:bCs w:val="0"/>
                <w:sz w:val="18"/>
                <w:szCs w:val="18"/>
              </w:rPr>
              <w:t>Covers most key points with minor omissions</w:t>
            </w:r>
          </w:p>
        </w:tc>
        <w:tc>
          <w:tcPr>
            <w:tcW w:w="1700" w:type="dxa"/>
            <w:tcMar>
              <w:top w:w="80" w:type="dxa"/>
              <w:left w:w="100" w:type="dxa"/>
              <w:bottom w:w="80" w:type="dxa"/>
              <w:right w:w="100" w:type="dxa"/>
            </w:tcMar>
          </w:tcPr>
          <w:p w14:paraId="0E0E94A0">
            <w:pPr>
              <w:jc w:val="left"/>
            </w:pPr>
            <w:r>
              <w:rPr>
                <w:rFonts w:ascii="Calibri" w:hAnsi="Calibri" w:eastAsia="Calibri" w:cs="Calibri"/>
                <w:b w:val="0"/>
                <w:bCs w:val="0"/>
                <w:sz w:val="18"/>
                <w:szCs w:val="18"/>
              </w:rPr>
              <w:t>Incomplete or partially accurate summary</w:t>
            </w:r>
          </w:p>
        </w:tc>
        <w:tc>
          <w:tcPr>
            <w:tcW w:w="1500" w:type="dxa"/>
            <w:tcMar>
              <w:top w:w="80" w:type="dxa"/>
              <w:left w:w="100" w:type="dxa"/>
              <w:bottom w:w="80" w:type="dxa"/>
              <w:right w:w="100" w:type="dxa"/>
            </w:tcMar>
          </w:tcPr>
          <w:p w14:paraId="65158F0A">
            <w:pPr>
              <w:jc w:val="left"/>
            </w:pPr>
            <w:r>
              <w:rPr>
                <w:rFonts w:ascii="Calibri" w:hAnsi="Calibri" w:eastAsia="Calibri" w:cs="Calibri"/>
                <w:b w:val="0"/>
                <w:bCs w:val="0"/>
                <w:sz w:val="18"/>
                <w:szCs w:val="18"/>
              </w:rPr>
              <w:t>Poor or incorrect summary</w:t>
            </w:r>
          </w:p>
        </w:tc>
      </w:tr>
      <w:tr w14:paraId="4CD2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1C954608">
            <w:pPr>
              <w:jc w:val="left"/>
            </w:pPr>
            <w:r>
              <w:rPr>
                <w:rFonts w:ascii="Calibri" w:hAnsi="Calibri" w:eastAsia="Calibri" w:cs="Calibri"/>
                <w:b w:val="0"/>
                <w:bCs w:val="0"/>
                <w:sz w:val="18"/>
                <w:szCs w:val="18"/>
              </w:rPr>
              <w:t>Critical Analysis</w:t>
            </w:r>
          </w:p>
        </w:tc>
        <w:tc>
          <w:tcPr>
            <w:tcW w:w="900" w:type="dxa"/>
            <w:tcMar>
              <w:top w:w="80" w:type="dxa"/>
              <w:left w:w="100" w:type="dxa"/>
              <w:bottom w:w="80" w:type="dxa"/>
              <w:right w:w="100" w:type="dxa"/>
            </w:tcMar>
          </w:tcPr>
          <w:p w14:paraId="6867924E">
            <w:pPr>
              <w:jc w:val="left"/>
            </w:pPr>
            <w:r>
              <w:rPr>
                <w:rFonts w:ascii="Calibri" w:hAnsi="Calibri" w:eastAsia="Calibri" w:cs="Calibri"/>
                <w:b w:val="0"/>
                <w:bCs w:val="0"/>
                <w:sz w:val="18"/>
                <w:szCs w:val="18"/>
              </w:rPr>
              <w:t>25%</w:t>
            </w:r>
          </w:p>
        </w:tc>
        <w:tc>
          <w:tcPr>
            <w:tcW w:w="1700" w:type="dxa"/>
            <w:tcMar>
              <w:top w:w="80" w:type="dxa"/>
              <w:left w:w="100" w:type="dxa"/>
              <w:bottom w:w="80" w:type="dxa"/>
              <w:right w:w="100" w:type="dxa"/>
            </w:tcMar>
          </w:tcPr>
          <w:p w14:paraId="31EF0932">
            <w:pPr>
              <w:jc w:val="left"/>
            </w:pPr>
            <w:r>
              <w:rPr>
                <w:rFonts w:ascii="Calibri" w:hAnsi="Calibri" w:eastAsia="Calibri" w:cs="Calibri"/>
                <w:b w:val="0"/>
                <w:bCs w:val="0"/>
                <w:sz w:val="18"/>
                <w:szCs w:val="18"/>
              </w:rPr>
              <w:t>Provides insightful critique with strong reasoning and evaluation</w:t>
            </w:r>
          </w:p>
        </w:tc>
        <w:tc>
          <w:tcPr>
            <w:tcW w:w="1600" w:type="dxa"/>
            <w:tcMar>
              <w:top w:w="80" w:type="dxa"/>
              <w:left w:w="100" w:type="dxa"/>
              <w:bottom w:w="80" w:type="dxa"/>
              <w:right w:w="100" w:type="dxa"/>
            </w:tcMar>
          </w:tcPr>
          <w:p w14:paraId="77AC025B">
            <w:pPr>
              <w:jc w:val="left"/>
            </w:pPr>
            <w:r>
              <w:rPr>
                <w:rFonts w:ascii="Calibri" w:hAnsi="Calibri" w:eastAsia="Calibri" w:cs="Calibri"/>
                <w:b w:val="0"/>
                <w:bCs w:val="0"/>
                <w:sz w:val="18"/>
                <w:szCs w:val="18"/>
              </w:rPr>
              <w:t>Provides reasonable analysis with some justification</w:t>
            </w:r>
          </w:p>
        </w:tc>
        <w:tc>
          <w:tcPr>
            <w:tcW w:w="1700" w:type="dxa"/>
            <w:tcMar>
              <w:top w:w="80" w:type="dxa"/>
              <w:left w:w="100" w:type="dxa"/>
              <w:bottom w:w="80" w:type="dxa"/>
              <w:right w:w="100" w:type="dxa"/>
            </w:tcMar>
          </w:tcPr>
          <w:p w14:paraId="70D58CF5">
            <w:pPr>
              <w:jc w:val="left"/>
            </w:pPr>
            <w:r>
              <w:rPr>
                <w:rFonts w:ascii="Calibri" w:hAnsi="Calibri" w:eastAsia="Calibri" w:cs="Calibri"/>
                <w:b w:val="0"/>
                <w:bCs w:val="0"/>
                <w:sz w:val="18"/>
                <w:szCs w:val="18"/>
              </w:rPr>
              <w:t>Superficial analysis; limited evaluation</w:t>
            </w:r>
          </w:p>
        </w:tc>
        <w:tc>
          <w:tcPr>
            <w:tcW w:w="1500" w:type="dxa"/>
            <w:tcMar>
              <w:top w:w="80" w:type="dxa"/>
              <w:left w:w="100" w:type="dxa"/>
              <w:bottom w:w="80" w:type="dxa"/>
              <w:right w:w="100" w:type="dxa"/>
            </w:tcMar>
          </w:tcPr>
          <w:p w14:paraId="0028E043">
            <w:pPr>
              <w:jc w:val="left"/>
            </w:pPr>
            <w:r>
              <w:rPr>
                <w:rFonts w:ascii="Calibri" w:hAnsi="Calibri" w:eastAsia="Calibri" w:cs="Calibri"/>
                <w:b w:val="0"/>
                <w:bCs w:val="0"/>
                <w:sz w:val="18"/>
                <w:szCs w:val="18"/>
              </w:rPr>
              <w:t>No meaningful analysis</w:t>
            </w:r>
          </w:p>
        </w:tc>
      </w:tr>
      <w:tr w14:paraId="6E5AE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50F07937">
            <w:pPr>
              <w:jc w:val="left"/>
            </w:pPr>
            <w:r>
              <w:rPr>
                <w:rFonts w:ascii="Calibri" w:hAnsi="Calibri" w:eastAsia="Calibri" w:cs="Calibri"/>
                <w:b w:val="0"/>
                <w:bCs w:val="0"/>
                <w:sz w:val="18"/>
                <w:szCs w:val="18"/>
              </w:rPr>
              <w:t>Use of Evidence</w:t>
            </w:r>
          </w:p>
        </w:tc>
        <w:tc>
          <w:tcPr>
            <w:tcW w:w="900" w:type="dxa"/>
            <w:tcMar>
              <w:top w:w="80" w:type="dxa"/>
              <w:left w:w="100" w:type="dxa"/>
              <w:bottom w:w="80" w:type="dxa"/>
              <w:right w:w="100" w:type="dxa"/>
            </w:tcMar>
          </w:tcPr>
          <w:p w14:paraId="1E3CC3E9">
            <w:pPr>
              <w:jc w:val="left"/>
            </w:pPr>
            <w:r>
              <w:rPr>
                <w:rFonts w:ascii="Calibri" w:hAnsi="Calibri" w:eastAsia="Calibri" w:cs="Calibri"/>
                <w:b w:val="0"/>
                <w:bCs w:val="0"/>
                <w:sz w:val="18"/>
                <w:szCs w:val="18"/>
              </w:rPr>
              <w:t>15%</w:t>
            </w:r>
          </w:p>
        </w:tc>
        <w:tc>
          <w:tcPr>
            <w:tcW w:w="1700" w:type="dxa"/>
            <w:tcMar>
              <w:top w:w="80" w:type="dxa"/>
              <w:left w:w="100" w:type="dxa"/>
              <w:bottom w:w="80" w:type="dxa"/>
              <w:right w:w="100" w:type="dxa"/>
            </w:tcMar>
          </w:tcPr>
          <w:p w14:paraId="031D9550">
            <w:pPr>
              <w:jc w:val="left"/>
            </w:pPr>
            <w:r>
              <w:rPr>
                <w:rFonts w:ascii="Calibri" w:hAnsi="Calibri" w:eastAsia="Calibri" w:cs="Calibri"/>
                <w:b w:val="0"/>
                <w:bCs w:val="0"/>
                <w:sz w:val="18"/>
                <w:szCs w:val="18"/>
              </w:rPr>
              <w:t>Effectively uses examples, data, or references to support review</w:t>
            </w:r>
          </w:p>
        </w:tc>
        <w:tc>
          <w:tcPr>
            <w:tcW w:w="1600" w:type="dxa"/>
            <w:tcMar>
              <w:top w:w="80" w:type="dxa"/>
              <w:left w:w="100" w:type="dxa"/>
              <w:bottom w:w="80" w:type="dxa"/>
              <w:right w:w="100" w:type="dxa"/>
            </w:tcMar>
          </w:tcPr>
          <w:p w14:paraId="5F2D1DD5">
            <w:pPr>
              <w:jc w:val="left"/>
            </w:pPr>
            <w:r>
              <w:rPr>
                <w:rFonts w:ascii="Calibri" w:hAnsi="Calibri" w:eastAsia="Calibri" w:cs="Calibri"/>
                <w:b w:val="0"/>
                <w:bCs w:val="0"/>
                <w:sz w:val="18"/>
                <w:szCs w:val="18"/>
              </w:rPr>
              <w:t>Uses some supporting evidence with minor gaps</w:t>
            </w:r>
          </w:p>
        </w:tc>
        <w:tc>
          <w:tcPr>
            <w:tcW w:w="1700" w:type="dxa"/>
            <w:tcMar>
              <w:top w:w="80" w:type="dxa"/>
              <w:left w:w="100" w:type="dxa"/>
              <w:bottom w:w="80" w:type="dxa"/>
              <w:right w:w="100" w:type="dxa"/>
            </w:tcMar>
          </w:tcPr>
          <w:p w14:paraId="3315CB8A">
            <w:pPr>
              <w:jc w:val="left"/>
            </w:pPr>
            <w:r>
              <w:rPr>
                <w:rFonts w:ascii="Calibri" w:hAnsi="Calibri" w:eastAsia="Calibri" w:cs="Calibri"/>
                <w:b w:val="0"/>
                <w:bCs w:val="0"/>
                <w:sz w:val="18"/>
                <w:szCs w:val="18"/>
              </w:rPr>
              <w:t>Limited or weak supporting evidence</w:t>
            </w:r>
          </w:p>
        </w:tc>
        <w:tc>
          <w:tcPr>
            <w:tcW w:w="1500" w:type="dxa"/>
            <w:tcMar>
              <w:top w:w="80" w:type="dxa"/>
              <w:left w:w="100" w:type="dxa"/>
              <w:bottom w:w="80" w:type="dxa"/>
              <w:right w:w="100" w:type="dxa"/>
            </w:tcMar>
          </w:tcPr>
          <w:p w14:paraId="63B24519">
            <w:pPr>
              <w:jc w:val="left"/>
            </w:pPr>
            <w:r>
              <w:rPr>
                <w:rFonts w:ascii="Calibri" w:hAnsi="Calibri" w:eastAsia="Calibri" w:cs="Calibri"/>
                <w:b w:val="0"/>
                <w:bCs w:val="0"/>
                <w:sz w:val="18"/>
                <w:szCs w:val="18"/>
              </w:rPr>
              <w:t>No supporting evidence provided</w:t>
            </w:r>
          </w:p>
        </w:tc>
      </w:tr>
      <w:tr w14:paraId="00028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tcPr>
          <w:p w14:paraId="6FA689EF">
            <w:pPr>
              <w:jc w:val="left"/>
            </w:pPr>
            <w:r>
              <w:rPr>
                <w:rFonts w:ascii="Calibri" w:hAnsi="Calibri" w:eastAsia="Calibri" w:cs="Calibri"/>
                <w:b w:val="0"/>
                <w:bCs w:val="0"/>
                <w:sz w:val="18"/>
                <w:szCs w:val="18"/>
              </w:rPr>
              <w:t>Organization</w:t>
            </w:r>
          </w:p>
        </w:tc>
        <w:tc>
          <w:tcPr>
            <w:tcW w:w="900" w:type="dxa"/>
            <w:tcMar>
              <w:top w:w="80" w:type="dxa"/>
              <w:left w:w="100" w:type="dxa"/>
              <w:bottom w:w="80" w:type="dxa"/>
              <w:right w:w="100" w:type="dxa"/>
            </w:tcMar>
          </w:tcPr>
          <w:p w14:paraId="6BCD39AE">
            <w:pPr>
              <w:jc w:val="left"/>
            </w:pPr>
            <w:r>
              <w:rPr>
                <w:rFonts w:ascii="Calibri" w:hAnsi="Calibri" w:eastAsia="Calibri" w:cs="Calibri"/>
                <w:b w:val="0"/>
                <w:bCs w:val="0"/>
                <w:sz w:val="18"/>
                <w:szCs w:val="18"/>
              </w:rPr>
              <w:t>20%</w:t>
            </w:r>
          </w:p>
        </w:tc>
        <w:tc>
          <w:tcPr>
            <w:tcW w:w="1700" w:type="dxa"/>
            <w:tcMar>
              <w:top w:w="80" w:type="dxa"/>
              <w:left w:w="100" w:type="dxa"/>
              <w:bottom w:w="80" w:type="dxa"/>
              <w:right w:w="100" w:type="dxa"/>
            </w:tcMar>
          </w:tcPr>
          <w:p w14:paraId="73877BF7">
            <w:pPr>
              <w:jc w:val="left"/>
            </w:pPr>
            <w:r>
              <w:rPr>
                <w:rFonts w:ascii="Calibri" w:hAnsi="Calibri" w:eastAsia="Calibri" w:cs="Calibri"/>
                <w:b w:val="0"/>
                <w:bCs w:val="0"/>
                <w:sz w:val="18"/>
                <w:szCs w:val="18"/>
              </w:rPr>
              <w:t>Well-structured, clear, and coherent writing with proper language and flow</w:t>
            </w:r>
          </w:p>
        </w:tc>
        <w:tc>
          <w:tcPr>
            <w:tcW w:w="1600" w:type="dxa"/>
            <w:tcMar>
              <w:top w:w="80" w:type="dxa"/>
              <w:left w:w="100" w:type="dxa"/>
              <w:bottom w:w="80" w:type="dxa"/>
              <w:right w:w="100" w:type="dxa"/>
            </w:tcMar>
          </w:tcPr>
          <w:p w14:paraId="6AFAB2C8">
            <w:pPr>
              <w:jc w:val="left"/>
            </w:pPr>
            <w:r>
              <w:rPr>
                <w:rFonts w:ascii="Calibri" w:hAnsi="Calibri" w:eastAsia="Calibri" w:cs="Calibri"/>
                <w:b w:val="0"/>
                <w:bCs w:val="0"/>
                <w:sz w:val="18"/>
                <w:szCs w:val="18"/>
              </w:rPr>
              <w:t>Generally clear with minor issues</w:t>
            </w:r>
          </w:p>
        </w:tc>
        <w:tc>
          <w:tcPr>
            <w:tcW w:w="1700" w:type="dxa"/>
            <w:tcMar>
              <w:top w:w="80" w:type="dxa"/>
              <w:left w:w="100" w:type="dxa"/>
              <w:bottom w:w="80" w:type="dxa"/>
              <w:right w:w="100" w:type="dxa"/>
            </w:tcMar>
          </w:tcPr>
          <w:p w14:paraId="266691A3">
            <w:pPr>
              <w:jc w:val="left"/>
            </w:pPr>
            <w:r>
              <w:rPr>
                <w:rFonts w:ascii="Calibri" w:hAnsi="Calibri" w:eastAsia="Calibri" w:cs="Calibri"/>
                <w:b w:val="0"/>
                <w:bCs w:val="0"/>
                <w:sz w:val="18"/>
                <w:szCs w:val="18"/>
              </w:rPr>
              <w:t>Poor organization; lacks clarity</w:t>
            </w:r>
          </w:p>
        </w:tc>
        <w:tc>
          <w:tcPr>
            <w:tcW w:w="1500" w:type="dxa"/>
            <w:tcMar>
              <w:top w:w="80" w:type="dxa"/>
              <w:left w:w="100" w:type="dxa"/>
              <w:bottom w:w="80" w:type="dxa"/>
              <w:right w:w="100" w:type="dxa"/>
            </w:tcMar>
          </w:tcPr>
          <w:p w14:paraId="01ED17C9">
            <w:pPr>
              <w:jc w:val="left"/>
            </w:pPr>
            <w:r>
              <w:rPr>
                <w:rFonts w:ascii="Calibri" w:hAnsi="Calibri" w:eastAsia="Calibri" w:cs="Calibri"/>
                <w:b w:val="0"/>
                <w:bCs w:val="0"/>
                <w:sz w:val="18"/>
                <w:szCs w:val="18"/>
              </w:rPr>
              <w:t>Disorganized and difficult to understand</w:t>
            </w:r>
          </w:p>
        </w:tc>
      </w:tr>
    </w:tbl>
    <w:p w14:paraId="74FE2033">
      <w:r>
        <w:br w:type="page"/>
      </w:r>
    </w:p>
    <w:p w14:paraId="187227B9">
      <w:pPr>
        <w:spacing w:after="60"/>
        <w:jc w:val="center"/>
      </w:pPr>
      <w:r>
        <w:rPr>
          <w:rFonts w:ascii="Calibri" w:hAnsi="Calibri" w:eastAsia="Calibri" w:cs="Calibri"/>
          <w:b/>
          <w:bCs/>
          <w:sz w:val="28"/>
          <w:szCs w:val="28"/>
        </w:rPr>
        <w:t>Assessment Tool 2 — Article Review: Answers</w:t>
      </w:r>
    </w:p>
    <w:p w14:paraId="303841CF">
      <w:pPr>
        <w:spacing w:after="280"/>
        <w:jc w:val="center"/>
      </w:pPr>
      <w:r>
        <w:rPr>
          <w:rFonts w:ascii="Calibri" w:hAnsi="Calibri" w:eastAsia="Calibri" w:cs="Calibri"/>
          <w:i/>
          <w:iCs/>
          <w:sz w:val="22"/>
          <w:szCs w:val="22"/>
        </w:rPr>
        <w:t>Course: Artificial Intelligence (CSA17)   |   CO4   |   Total Marks: 40</w:t>
      </w:r>
    </w:p>
    <w:p w14:paraId="5E651A49">
      <w:pPr>
        <w:pStyle w:val="2"/>
        <w:spacing w:before="280" w:after="160"/>
      </w:pPr>
      <w:r>
        <w:t>Selected Article</w:t>
      </w:r>
    </w:p>
    <w:p w14:paraId="72776F84">
      <w:pPr>
        <w:spacing w:after="160"/>
      </w:pPr>
      <w:r>
        <w:rPr>
          <w:rFonts w:ascii="Calibri" w:hAnsi="Calibri" w:eastAsia="Calibri" w:cs="Calibri"/>
          <w:sz w:val="22"/>
          <w:szCs w:val="22"/>
        </w:rPr>
        <w:t>Ilyas, H., Ali, S., Ponum, M., Hasan, O., Mahmood, M. T., Iftikhar, M., &amp; Malik, M. H. (2021). Chronic Kidney Disease Diagnosis Using Decision Tree Algorithms. BMC Nephrology, 22(1), Article 273.</w:t>
      </w:r>
    </w:p>
    <w:p w14:paraId="52039168">
      <w:pPr>
        <w:spacing w:after="160"/>
      </w:pPr>
      <w:r>
        <w:rPr>
          <w:rFonts w:ascii="Calibri" w:hAnsi="Calibri" w:eastAsia="Calibri" w:cs="Calibri"/>
          <w:sz w:val="22"/>
          <w:szCs w:val="22"/>
        </w:rPr>
        <w:t>DOI: https://doi.org/10.1186/s12882-021-02474-z   |   Publisher: BioMed Central (Springer Nature)   |   Open Access (CC BY 4.0)</w:t>
      </w:r>
    </w:p>
    <w:p w14:paraId="05B06E0D">
      <w:pPr>
        <w:pStyle w:val="2"/>
        <w:spacing w:before="280" w:after="160"/>
      </w:pPr>
      <w:r>
        <w:t>Task 1: Article Summary</w:t>
      </w:r>
    </w:p>
    <w:p w14:paraId="08C61DDD">
      <w:pPr>
        <w:pStyle w:val="3"/>
        <w:spacing w:before="280" w:after="160"/>
      </w:pPr>
      <w:r>
        <w:t>(a) Citation, Domain, and ML Problem</w:t>
      </w:r>
    </w:p>
    <w:p w14:paraId="111FEC29">
      <w:pPr>
        <w:spacing w:after="160"/>
      </w:pPr>
      <w:r>
        <w:rPr>
          <w:rFonts w:ascii="Calibri" w:hAnsi="Calibri" w:eastAsia="Calibri" w:cs="Calibri"/>
          <w:b/>
          <w:bCs/>
          <w:sz w:val="22"/>
          <w:szCs w:val="22"/>
        </w:rPr>
        <w:t xml:space="preserve">Full citation: </w:t>
      </w:r>
      <w:r>
        <w:rPr>
          <w:rFonts w:ascii="Calibri" w:hAnsi="Calibri" w:eastAsia="Calibri" w:cs="Calibri"/>
          <w:sz w:val="22"/>
          <w:szCs w:val="22"/>
        </w:rPr>
        <w:t>Ilyas, H., Ali, S., Ponum, M., Hasan, O., Mahmood, M. T., Iftikhar, M., &amp; Malik, M. H. (2021). Chronic kidney disease diagnosis using decision tree algorithms. BMC Nephrology, 22(1), 273. https://doi.org/10.1186/s12882-021-02474-z</w:t>
      </w:r>
    </w:p>
    <w:p w14:paraId="542F8302">
      <w:pPr>
        <w:spacing w:after="160"/>
      </w:pPr>
      <w:r>
        <w:rPr>
          <w:rFonts w:ascii="Calibri" w:hAnsi="Calibri" w:eastAsia="Calibri" w:cs="Calibri"/>
          <w:b/>
          <w:bCs/>
          <w:sz w:val="22"/>
          <w:szCs w:val="22"/>
        </w:rPr>
        <w:t xml:space="preserve">Domain / application area: </w:t>
      </w:r>
      <w:r>
        <w:rPr>
          <w:rFonts w:ascii="Calibri" w:hAnsi="Calibri" w:eastAsia="Calibri" w:cs="Calibri"/>
          <w:sz w:val="22"/>
          <w:szCs w:val="22"/>
        </w:rPr>
        <w:t>Biomedical healthcare informatics — specifically, computer-aided diagnosis of Chronic Kidney Disease (CKD) from routine clinical and demographic attributes.</w:t>
      </w:r>
    </w:p>
    <w:p w14:paraId="455DE383">
      <w:pPr>
        <w:spacing w:after="160"/>
      </w:pPr>
      <w:r>
        <w:rPr>
          <w:rFonts w:ascii="Calibri" w:hAnsi="Calibri" w:eastAsia="Calibri" w:cs="Calibri"/>
          <w:b/>
          <w:bCs/>
          <w:sz w:val="22"/>
          <w:szCs w:val="22"/>
        </w:rPr>
        <w:t xml:space="preserve">Specific ML problem addressed: </w:t>
      </w:r>
      <w:r>
        <w:rPr>
          <w:rFonts w:ascii="Calibri" w:hAnsi="Calibri" w:eastAsia="Calibri" w:cs="Calibri"/>
          <w:sz w:val="22"/>
          <w:szCs w:val="22"/>
        </w:rPr>
        <w:t>Multiclass classification. The authors predict which of six CKD severity stages (Stage 1 through Stage 5, with Stage 3 split into 3A and 3B) a patient belongs to, using age, sex, race and serum creatinine as predictors after these are converted into an estimated Glomerular Filtration Rate (GFR) value via the CKD-EPI equation.</w:t>
      </w:r>
    </w:p>
    <w:p w14:paraId="2583AF70">
      <w:pPr>
        <w:pStyle w:val="3"/>
        <w:spacing w:before="280" w:after="160"/>
      </w:pPr>
      <w:r>
        <w:t>(b) Summary (Own Words)</w:t>
      </w:r>
    </w:p>
    <w:p w14:paraId="052217C7">
      <w:pPr>
        <w:spacing w:after="160"/>
      </w:pPr>
      <w:r>
        <w:rPr>
          <w:rFonts w:ascii="Calibri" w:hAnsi="Calibri" w:eastAsia="Calibri" w:cs="Calibri"/>
          <w:sz w:val="22"/>
          <w:szCs w:val="22"/>
        </w:rPr>
        <w:t>Chronic Kidney Disease often develops silently for years before symptoms appear, so clinicians rely on GFR — estimated from age, sex, race and serum creatinine — to stage its severity and intervene early. The authors note that although several prior studies had applied machine learning to detect CKD as a simple yes/no outcome, none had used this specific four-attribute, GFR-derived approach to classify patients into all six clinical stages at once. That is the research gap: existing work focused on binary CKD detection rather than fine-grained, clinically actionable staging using an inexpensive, widely available attribute set. To fill it, the authors built two multiclass classifiers, J48 (a C4.5 decision tree) and Random Forest, trained in WEKA on a UCI Machine Learning Repository CKD dataset, validated with 15-fold cross-validation. Their objective was to show that a simple, interpretable decision-tree model could stage CKD severity quickly and accurately enough to support an automated clinical decision-support tool, comparing J48 against the ensemble-based Random Forest on accuracy and execution time.</w:t>
      </w:r>
    </w:p>
    <w:p w14:paraId="4186D94D">
      <w:pPr>
        <w:pStyle w:val="2"/>
        <w:spacing w:before="280" w:after="160"/>
      </w:pPr>
      <w:r>
        <w:t>Task 2: Methodology Analysis</w:t>
      </w:r>
    </w:p>
    <w:p w14:paraId="73FA0F55">
      <w:pPr>
        <w:pStyle w:val="3"/>
        <w:spacing w:before="280" w:after="160"/>
      </w:pPr>
      <w:r>
        <w:t>(a) ML Technique and Dataset</w:t>
      </w:r>
    </w:p>
    <w:p w14:paraId="6926F484">
      <w:pPr>
        <w:spacing w:after="160"/>
      </w:pPr>
      <w:r>
        <w:rPr>
          <w:rFonts w:ascii="Calibri" w:hAnsi="Calibri" w:eastAsia="Calibri" w:cs="Calibri"/>
          <w:b/>
          <w:bCs/>
          <w:sz w:val="22"/>
          <w:szCs w:val="22"/>
        </w:rPr>
        <w:t xml:space="preserve">Technique: </w:t>
      </w:r>
      <w:r>
        <w:rPr>
          <w:rFonts w:ascii="Calibri" w:hAnsi="Calibri" w:eastAsia="Calibri" w:cs="Calibri"/>
          <w:sz w:val="22"/>
          <w:szCs w:val="22"/>
        </w:rPr>
        <w:t>The primary model is J48, WEKA's implementation of the C4.5 decision tree algorithm (an extension of ID3). It builds the tree top-down by repeatedly choosing the attribute with the highest normalized information gain as the next split, until a stopping criterion is reached. This is compared against Random Forest, an ensemble of decision trees that trains many trees on bootstrapped samples of the data and combines their predictions by majority vote.</w:t>
      </w:r>
    </w:p>
    <w:p w14:paraId="2AE9CABB">
      <w:pPr>
        <w:spacing w:after="160"/>
      </w:pPr>
      <w:r>
        <w:rPr>
          <w:rFonts w:ascii="Calibri" w:hAnsi="Calibri" w:eastAsia="Calibri" w:cs="Calibri"/>
          <w:b/>
          <w:bCs/>
          <w:sz w:val="22"/>
          <w:szCs w:val="22"/>
        </w:rPr>
        <w:t xml:space="preserve">Dataset: </w:t>
      </w:r>
      <w:r>
        <w:rPr>
          <w:rFonts w:ascii="Calibri" w:hAnsi="Calibri" w:eastAsia="Calibri" w:cs="Calibri"/>
          <w:sz w:val="22"/>
          <w:szCs w:val="22"/>
        </w:rPr>
        <w:t>The base data is the UCI Machine Learning Repository's CKD dataset — 400 patient instances described by 25 attributes, originally labelled only as CKD / not-CKD. The authors reduced this to four predictor attributes (age, sex, race, serum creatinine), computed each patient's GFR using the CKD-EPI equation, and used the resulting GFR value to relabel every patient into one of six CKD severity stages. The model was then trained and evaluated with 15-fold cross-validation in WEKA on standard desktop hardware.</w:t>
      </w:r>
    </w:p>
    <w:p w14:paraId="7E4DC495">
      <w:pPr>
        <w:pStyle w:val="3"/>
        <w:spacing w:before="280" w:after="160"/>
      </w:pPr>
      <w:r>
        <w:t>(b) Mapping to CO4 and Strength/Limitation</w:t>
      </w:r>
    </w:p>
    <w:p w14:paraId="6EFAB760">
      <w:pPr>
        <w:spacing w:after="160"/>
      </w:pPr>
      <w:r>
        <w:rPr>
          <w:rFonts w:ascii="Calibri" w:hAnsi="Calibri" w:eastAsia="Calibri" w:cs="Calibri"/>
          <w:b/>
          <w:bCs/>
          <w:sz w:val="22"/>
          <w:szCs w:val="22"/>
        </w:rPr>
        <w:t xml:space="preserve">Mapping to CO4 topics: </w:t>
      </w:r>
      <w:r>
        <w:rPr>
          <w:rFonts w:ascii="Calibri" w:hAnsi="Calibri" w:eastAsia="Calibri" w:cs="Calibri"/>
          <w:sz w:val="22"/>
          <w:szCs w:val="22"/>
        </w:rPr>
        <w:t>This article sits squarely under the Decision Trees topic of CO4 — J48 is a direct implementation of the C4.5 decision-tree induction algorithm, and Random Forest extends the same idea into ensemble/inductive learning. The overall workflow (learning a general classification rule from a finite set of labelled training examples) is also a textbook case of Inductive Learning.</w:t>
      </w:r>
    </w:p>
    <w:p w14:paraId="6E5CBC0A">
      <w:pPr>
        <w:spacing w:after="160"/>
      </w:pPr>
      <w:r>
        <w:rPr>
          <w:rFonts w:ascii="Calibri" w:hAnsi="Calibri" w:eastAsia="Calibri" w:cs="Calibri"/>
          <w:b/>
          <w:bCs/>
          <w:sz w:val="22"/>
          <w:szCs w:val="22"/>
        </w:rPr>
        <w:t xml:space="preserve">Methodological strength: </w:t>
      </w:r>
      <w:r>
        <w:rPr>
          <w:rFonts w:ascii="Calibri" w:hAnsi="Calibri" w:eastAsia="Calibri" w:cs="Calibri"/>
          <w:sz w:val="22"/>
          <w:szCs w:val="22"/>
        </w:rPr>
        <w:t>The authors evaluate every stage separately using multiple metrics — accuracy, sensitivity, specificity, precision, F-measure and ROC area — rather than reporting a single aggregate number, which gives a much fuller picture of where each model succeeds or struggles across the six classes.</w:t>
      </w:r>
    </w:p>
    <w:p w14:paraId="26965970">
      <w:pPr>
        <w:spacing w:after="160"/>
      </w:pPr>
      <w:r>
        <w:rPr>
          <w:rFonts w:ascii="Calibri" w:hAnsi="Calibri" w:eastAsia="Calibri" w:cs="Calibri"/>
          <w:b/>
          <w:bCs/>
          <w:sz w:val="22"/>
          <w:szCs w:val="22"/>
        </w:rPr>
        <w:t xml:space="preserve">Methodological limitation: </w:t>
      </w:r>
      <w:r>
        <w:rPr>
          <w:rFonts w:ascii="Calibri" w:hAnsi="Calibri" w:eastAsia="Calibri" w:cs="Calibri"/>
          <w:sz w:val="22"/>
          <w:szCs w:val="22"/>
        </w:rPr>
        <w:t>The dataset is small (400 instances split across six classes), so several classes have very few positive examples; this is visible in the low sensitivity scores for Stage 1 and Stage 5 (well under 70% for both models) even though overall accuracy looks high. A small, single-source dataset also limits how well the model would generalize to other patient populations.</w:t>
      </w:r>
    </w:p>
    <w:p w14:paraId="36CCC8E2">
      <w:pPr>
        <w:pStyle w:val="2"/>
        <w:spacing w:before="280" w:after="160"/>
      </w:pPr>
      <w:r>
        <w:t>Task 3: Results and Critical Evaluation</w:t>
      </w:r>
    </w:p>
    <w:p w14:paraId="3A3D35B5">
      <w:pPr>
        <w:pStyle w:val="3"/>
        <w:spacing w:before="280" w:after="160"/>
      </w:pPr>
      <w:r>
        <w:t>(a) Key Results</w:t>
      </w:r>
    </w:p>
    <w:p w14:paraId="6EE63DA0">
      <w:pPr>
        <w:spacing w:after="160"/>
      </w:pPr>
      <w:r>
        <w:rPr>
          <w:rFonts w:ascii="Calibri" w:hAnsi="Calibri" w:eastAsia="Calibri" w:cs="Calibri"/>
          <w:sz w:val="22"/>
          <w:szCs w:val="22"/>
        </w:rPr>
        <w:t>The authors report that J48 achieved 85.5% overall classification accuracy in 0.03 seconds, while Random Forest achieved 78.25% accuracy in 0.28 seconds — J48 outperformed Random Forest on both accuracy and speed. Stage-by-stage results (as reported in the article) are summarized below:</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300"/>
        <w:gridCol w:w="1300"/>
        <w:gridCol w:w="1500"/>
        <w:gridCol w:w="1500"/>
        <w:gridCol w:w="1600"/>
      </w:tblGrid>
      <w:tr w14:paraId="564C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D9D9D9"/>
            <w:tcMar>
              <w:top w:w="80" w:type="dxa"/>
              <w:left w:w="100" w:type="dxa"/>
              <w:bottom w:w="80" w:type="dxa"/>
              <w:right w:w="100" w:type="dxa"/>
            </w:tcMar>
          </w:tcPr>
          <w:p w14:paraId="0EAE2B5A">
            <w:pPr>
              <w:jc w:val="left"/>
            </w:pPr>
            <w:r>
              <w:rPr>
                <w:rFonts w:ascii="Calibri" w:hAnsi="Calibri" w:eastAsia="Calibri" w:cs="Calibri"/>
                <w:b/>
                <w:bCs/>
                <w:sz w:val="20"/>
                <w:szCs w:val="20"/>
              </w:rPr>
              <w:t>CKD Stage</w:t>
            </w:r>
          </w:p>
        </w:tc>
        <w:tc>
          <w:tcPr>
            <w:tcW w:w="1300" w:type="dxa"/>
            <w:shd w:val="clear" w:color="auto" w:fill="D9D9D9"/>
            <w:tcMar>
              <w:top w:w="80" w:type="dxa"/>
              <w:left w:w="100" w:type="dxa"/>
              <w:bottom w:w="80" w:type="dxa"/>
              <w:right w:w="100" w:type="dxa"/>
            </w:tcMar>
          </w:tcPr>
          <w:p w14:paraId="30F5E90F">
            <w:pPr>
              <w:jc w:val="left"/>
            </w:pPr>
            <w:r>
              <w:rPr>
                <w:rFonts w:ascii="Calibri" w:hAnsi="Calibri" w:eastAsia="Calibri" w:cs="Calibri"/>
                <w:b/>
                <w:bCs/>
                <w:sz w:val="20"/>
                <w:szCs w:val="20"/>
              </w:rPr>
              <w:t>J48 Accuracy</w:t>
            </w:r>
          </w:p>
        </w:tc>
        <w:tc>
          <w:tcPr>
            <w:tcW w:w="1300" w:type="dxa"/>
            <w:shd w:val="clear" w:color="auto" w:fill="D9D9D9"/>
            <w:tcMar>
              <w:top w:w="80" w:type="dxa"/>
              <w:left w:w="100" w:type="dxa"/>
              <w:bottom w:w="80" w:type="dxa"/>
              <w:right w:w="100" w:type="dxa"/>
            </w:tcMar>
          </w:tcPr>
          <w:p w14:paraId="127DF8E4">
            <w:pPr>
              <w:jc w:val="left"/>
            </w:pPr>
            <w:r>
              <w:rPr>
                <w:rFonts w:ascii="Calibri" w:hAnsi="Calibri" w:eastAsia="Calibri" w:cs="Calibri"/>
                <w:b/>
                <w:bCs/>
                <w:sz w:val="20"/>
                <w:szCs w:val="20"/>
              </w:rPr>
              <w:t>RF Accuracy</w:t>
            </w:r>
          </w:p>
        </w:tc>
        <w:tc>
          <w:tcPr>
            <w:tcW w:w="1500" w:type="dxa"/>
            <w:shd w:val="clear" w:color="auto" w:fill="D9D9D9"/>
            <w:tcMar>
              <w:top w:w="80" w:type="dxa"/>
              <w:left w:w="100" w:type="dxa"/>
              <w:bottom w:w="80" w:type="dxa"/>
              <w:right w:w="100" w:type="dxa"/>
            </w:tcMar>
          </w:tcPr>
          <w:p w14:paraId="0C37CCD6">
            <w:pPr>
              <w:jc w:val="left"/>
            </w:pPr>
            <w:r>
              <w:rPr>
                <w:rFonts w:ascii="Calibri" w:hAnsi="Calibri" w:eastAsia="Calibri" w:cs="Calibri"/>
                <w:b/>
                <w:bCs/>
                <w:sz w:val="20"/>
                <w:szCs w:val="20"/>
              </w:rPr>
              <w:t>J48 Sensitivity</w:t>
            </w:r>
          </w:p>
        </w:tc>
        <w:tc>
          <w:tcPr>
            <w:tcW w:w="1500" w:type="dxa"/>
            <w:shd w:val="clear" w:color="auto" w:fill="D9D9D9"/>
            <w:tcMar>
              <w:top w:w="80" w:type="dxa"/>
              <w:left w:w="100" w:type="dxa"/>
              <w:bottom w:w="80" w:type="dxa"/>
              <w:right w:w="100" w:type="dxa"/>
            </w:tcMar>
          </w:tcPr>
          <w:p w14:paraId="00620986">
            <w:pPr>
              <w:jc w:val="left"/>
            </w:pPr>
            <w:r>
              <w:rPr>
                <w:rFonts w:ascii="Calibri" w:hAnsi="Calibri" w:eastAsia="Calibri" w:cs="Calibri"/>
                <w:b/>
                <w:bCs/>
                <w:sz w:val="20"/>
                <w:szCs w:val="20"/>
              </w:rPr>
              <w:t>RF Sensitivity</w:t>
            </w:r>
          </w:p>
        </w:tc>
        <w:tc>
          <w:tcPr>
            <w:tcW w:w="1600" w:type="dxa"/>
            <w:shd w:val="clear" w:color="auto" w:fill="D9D9D9"/>
            <w:tcMar>
              <w:top w:w="80" w:type="dxa"/>
              <w:left w:w="100" w:type="dxa"/>
              <w:bottom w:w="80" w:type="dxa"/>
              <w:right w:w="100" w:type="dxa"/>
            </w:tcMar>
          </w:tcPr>
          <w:p w14:paraId="7CC1AC70">
            <w:pPr>
              <w:jc w:val="left"/>
            </w:pPr>
            <w:r>
              <w:rPr>
                <w:rFonts w:ascii="Calibri" w:hAnsi="Calibri" w:eastAsia="Calibri" w:cs="Calibri"/>
                <w:b/>
                <w:bCs/>
                <w:sz w:val="20"/>
                <w:szCs w:val="20"/>
              </w:rPr>
              <w:t>J48 F-Measure</w:t>
            </w:r>
          </w:p>
        </w:tc>
      </w:tr>
      <w:tr w14:paraId="3895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5C65016D">
            <w:pPr>
              <w:jc w:val="left"/>
            </w:pPr>
            <w:r>
              <w:rPr>
                <w:rFonts w:ascii="Calibri" w:hAnsi="Calibri" w:eastAsia="Calibri" w:cs="Calibri"/>
                <w:b w:val="0"/>
                <w:bCs w:val="0"/>
                <w:sz w:val="20"/>
                <w:szCs w:val="20"/>
              </w:rPr>
              <w:t>Stage 1 (Normal)</w:t>
            </w:r>
          </w:p>
        </w:tc>
        <w:tc>
          <w:tcPr>
            <w:tcW w:w="1300" w:type="dxa"/>
            <w:tcMar>
              <w:top w:w="80" w:type="dxa"/>
              <w:left w:w="100" w:type="dxa"/>
              <w:bottom w:w="80" w:type="dxa"/>
              <w:right w:w="100" w:type="dxa"/>
            </w:tcMar>
          </w:tcPr>
          <w:p w14:paraId="523878E8">
            <w:pPr>
              <w:jc w:val="left"/>
            </w:pPr>
            <w:r>
              <w:rPr>
                <w:rFonts w:ascii="Calibri" w:hAnsi="Calibri" w:eastAsia="Calibri" w:cs="Calibri"/>
                <w:b w:val="0"/>
                <w:bCs w:val="0"/>
                <w:sz w:val="20"/>
                <w:szCs w:val="20"/>
              </w:rPr>
              <w:t>96%</w:t>
            </w:r>
          </w:p>
        </w:tc>
        <w:tc>
          <w:tcPr>
            <w:tcW w:w="1300" w:type="dxa"/>
            <w:tcMar>
              <w:top w:w="80" w:type="dxa"/>
              <w:left w:w="100" w:type="dxa"/>
              <w:bottom w:w="80" w:type="dxa"/>
              <w:right w:w="100" w:type="dxa"/>
            </w:tcMar>
          </w:tcPr>
          <w:p w14:paraId="518F9A1D">
            <w:pPr>
              <w:jc w:val="left"/>
            </w:pPr>
            <w:r>
              <w:rPr>
                <w:rFonts w:ascii="Calibri" w:hAnsi="Calibri" w:eastAsia="Calibri" w:cs="Calibri"/>
                <w:b w:val="0"/>
                <w:bCs w:val="0"/>
                <w:sz w:val="20"/>
                <w:szCs w:val="20"/>
              </w:rPr>
              <w:t>96%</w:t>
            </w:r>
          </w:p>
        </w:tc>
        <w:tc>
          <w:tcPr>
            <w:tcW w:w="1500" w:type="dxa"/>
            <w:tcMar>
              <w:top w:w="80" w:type="dxa"/>
              <w:left w:w="100" w:type="dxa"/>
              <w:bottom w:w="80" w:type="dxa"/>
              <w:right w:w="100" w:type="dxa"/>
            </w:tcMar>
          </w:tcPr>
          <w:p w14:paraId="28F5F586">
            <w:pPr>
              <w:jc w:val="left"/>
            </w:pPr>
            <w:r>
              <w:rPr>
                <w:rFonts w:ascii="Calibri" w:hAnsi="Calibri" w:eastAsia="Calibri" w:cs="Calibri"/>
                <w:b w:val="0"/>
                <w:bCs w:val="0"/>
                <w:sz w:val="20"/>
                <w:szCs w:val="20"/>
              </w:rPr>
              <w:t>56%</w:t>
            </w:r>
          </w:p>
        </w:tc>
        <w:tc>
          <w:tcPr>
            <w:tcW w:w="1500" w:type="dxa"/>
            <w:tcMar>
              <w:top w:w="80" w:type="dxa"/>
              <w:left w:w="100" w:type="dxa"/>
              <w:bottom w:w="80" w:type="dxa"/>
              <w:right w:w="100" w:type="dxa"/>
            </w:tcMar>
          </w:tcPr>
          <w:p w14:paraId="5F61EA74">
            <w:pPr>
              <w:jc w:val="left"/>
            </w:pPr>
            <w:r>
              <w:rPr>
                <w:rFonts w:ascii="Calibri" w:hAnsi="Calibri" w:eastAsia="Calibri" w:cs="Calibri"/>
                <w:b w:val="0"/>
                <w:bCs w:val="0"/>
                <w:sz w:val="20"/>
                <w:szCs w:val="20"/>
              </w:rPr>
              <w:t>43%</w:t>
            </w:r>
          </w:p>
        </w:tc>
        <w:tc>
          <w:tcPr>
            <w:tcW w:w="1600" w:type="dxa"/>
            <w:tcMar>
              <w:top w:w="80" w:type="dxa"/>
              <w:left w:w="100" w:type="dxa"/>
              <w:bottom w:w="80" w:type="dxa"/>
              <w:right w:w="100" w:type="dxa"/>
            </w:tcMar>
          </w:tcPr>
          <w:p w14:paraId="6786E0DB">
            <w:pPr>
              <w:jc w:val="left"/>
            </w:pPr>
            <w:r>
              <w:rPr>
                <w:rFonts w:ascii="Calibri" w:hAnsi="Calibri" w:eastAsia="Calibri" w:cs="Calibri"/>
                <w:b w:val="0"/>
                <w:bCs w:val="0"/>
                <w:sz w:val="20"/>
                <w:szCs w:val="20"/>
              </w:rPr>
              <w:t>0.55</w:t>
            </w:r>
          </w:p>
        </w:tc>
      </w:tr>
      <w:tr w14:paraId="6430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381B5C70">
            <w:pPr>
              <w:jc w:val="left"/>
            </w:pPr>
            <w:r>
              <w:rPr>
                <w:rFonts w:ascii="Calibri" w:hAnsi="Calibri" w:eastAsia="Calibri" w:cs="Calibri"/>
                <w:b w:val="0"/>
                <w:bCs w:val="0"/>
                <w:sz w:val="20"/>
                <w:szCs w:val="20"/>
              </w:rPr>
              <w:t>Stage 2 (Mild)</w:t>
            </w:r>
          </w:p>
        </w:tc>
        <w:tc>
          <w:tcPr>
            <w:tcW w:w="1300" w:type="dxa"/>
            <w:tcMar>
              <w:top w:w="80" w:type="dxa"/>
              <w:left w:w="100" w:type="dxa"/>
              <w:bottom w:w="80" w:type="dxa"/>
              <w:right w:w="100" w:type="dxa"/>
            </w:tcMar>
          </w:tcPr>
          <w:p w14:paraId="23F0DFEA">
            <w:pPr>
              <w:jc w:val="left"/>
            </w:pPr>
            <w:r>
              <w:rPr>
                <w:rFonts w:ascii="Calibri" w:hAnsi="Calibri" w:eastAsia="Calibri" w:cs="Calibri"/>
                <w:b w:val="0"/>
                <w:bCs w:val="0"/>
                <w:sz w:val="20"/>
                <w:szCs w:val="20"/>
              </w:rPr>
              <w:t>96%</w:t>
            </w:r>
          </w:p>
        </w:tc>
        <w:tc>
          <w:tcPr>
            <w:tcW w:w="1300" w:type="dxa"/>
            <w:tcMar>
              <w:top w:w="80" w:type="dxa"/>
              <w:left w:w="100" w:type="dxa"/>
              <w:bottom w:w="80" w:type="dxa"/>
              <w:right w:w="100" w:type="dxa"/>
            </w:tcMar>
          </w:tcPr>
          <w:p w14:paraId="0A4D1769">
            <w:pPr>
              <w:jc w:val="left"/>
            </w:pPr>
            <w:r>
              <w:rPr>
                <w:rFonts w:ascii="Calibri" w:hAnsi="Calibri" w:eastAsia="Calibri" w:cs="Calibri"/>
                <w:b w:val="0"/>
                <w:bCs w:val="0"/>
                <w:sz w:val="20"/>
                <w:szCs w:val="20"/>
              </w:rPr>
              <w:t>93%</w:t>
            </w:r>
          </w:p>
        </w:tc>
        <w:tc>
          <w:tcPr>
            <w:tcW w:w="1500" w:type="dxa"/>
            <w:tcMar>
              <w:top w:w="80" w:type="dxa"/>
              <w:left w:w="100" w:type="dxa"/>
              <w:bottom w:w="80" w:type="dxa"/>
              <w:right w:w="100" w:type="dxa"/>
            </w:tcMar>
          </w:tcPr>
          <w:p w14:paraId="1183C633">
            <w:pPr>
              <w:jc w:val="left"/>
            </w:pPr>
            <w:r>
              <w:rPr>
                <w:rFonts w:ascii="Calibri" w:hAnsi="Calibri" w:eastAsia="Calibri" w:cs="Calibri"/>
                <w:b w:val="0"/>
                <w:bCs w:val="0"/>
                <w:sz w:val="20"/>
                <w:szCs w:val="20"/>
              </w:rPr>
              <w:t>72%</w:t>
            </w:r>
          </w:p>
        </w:tc>
        <w:tc>
          <w:tcPr>
            <w:tcW w:w="1500" w:type="dxa"/>
            <w:tcMar>
              <w:top w:w="80" w:type="dxa"/>
              <w:left w:w="100" w:type="dxa"/>
              <w:bottom w:w="80" w:type="dxa"/>
              <w:right w:w="100" w:type="dxa"/>
            </w:tcMar>
          </w:tcPr>
          <w:p w14:paraId="2D6B12DD">
            <w:pPr>
              <w:jc w:val="left"/>
            </w:pPr>
            <w:r>
              <w:rPr>
                <w:rFonts w:ascii="Calibri" w:hAnsi="Calibri" w:eastAsia="Calibri" w:cs="Calibri"/>
                <w:b w:val="0"/>
                <w:bCs w:val="0"/>
                <w:sz w:val="20"/>
                <w:szCs w:val="20"/>
              </w:rPr>
              <w:t>58%</w:t>
            </w:r>
          </w:p>
        </w:tc>
        <w:tc>
          <w:tcPr>
            <w:tcW w:w="1600" w:type="dxa"/>
            <w:tcMar>
              <w:top w:w="80" w:type="dxa"/>
              <w:left w:w="100" w:type="dxa"/>
              <w:bottom w:w="80" w:type="dxa"/>
              <w:right w:w="100" w:type="dxa"/>
            </w:tcMar>
          </w:tcPr>
          <w:p w14:paraId="4A3EA5E7">
            <w:pPr>
              <w:jc w:val="left"/>
            </w:pPr>
            <w:r>
              <w:rPr>
                <w:rFonts w:ascii="Calibri" w:hAnsi="Calibri" w:eastAsia="Calibri" w:cs="Calibri"/>
                <w:b w:val="0"/>
                <w:bCs w:val="0"/>
                <w:sz w:val="20"/>
                <w:szCs w:val="20"/>
              </w:rPr>
              <w:t>0.71</w:t>
            </w:r>
          </w:p>
        </w:tc>
      </w:tr>
      <w:tr w14:paraId="284DA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04C71071">
            <w:pPr>
              <w:jc w:val="left"/>
            </w:pPr>
            <w:r>
              <w:rPr>
                <w:rFonts w:ascii="Calibri" w:hAnsi="Calibri" w:eastAsia="Calibri" w:cs="Calibri"/>
                <w:b w:val="0"/>
                <w:bCs w:val="0"/>
                <w:sz w:val="20"/>
                <w:szCs w:val="20"/>
              </w:rPr>
              <w:t>Stage 3A (Moderate)</w:t>
            </w:r>
          </w:p>
        </w:tc>
        <w:tc>
          <w:tcPr>
            <w:tcW w:w="1300" w:type="dxa"/>
            <w:tcMar>
              <w:top w:w="80" w:type="dxa"/>
              <w:left w:w="100" w:type="dxa"/>
              <w:bottom w:w="80" w:type="dxa"/>
              <w:right w:w="100" w:type="dxa"/>
            </w:tcMar>
          </w:tcPr>
          <w:p w14:paraId="411E962F">
            <w:pPr>
              <w:jc w:val="left"/>
            </w:pPr>
            <w:r>
              <w:rPr>
                <w:rFonts w:ascii="Calibri" w:hAnsi="Calibri" w:eastAsia="Calibri" w:cs="Calibri"/>
                <w:b w:val="0"/>
                <w:bCs w:val="0"/>
                <w:sz w:val="20"/>
                <w:szCs w:val="20"/>
              </w:rPr>
              <w:t>98%</w:t>
            </w:r>
          </w:p>
        </w:tc>
        <w:tc>
          <w:tcPr>
            <w:tcW w:w="1300" w:type="dxa"/>
            <w:tcMar>
              <w:top w:w="80" w:type="dxa"/>
              <w:left w:w="100" w:type="dxa"/>
              <w:bottom w:w="80" w:type="dxa"/>
              <w:right w:w="100" w:type="dxa"/>
            </w:tcMar>
          </w:tcPr>
          <w:p w14:paraId="611F56B2">
            <w:pPr>
              <w:jc w:val="left"/>
            </w:pPr>
            <w:r>
              <w:rPr>
                <w:rFonts w:ascii="Calibri" w:hAnsi="Calibri" w:eastAsia="Calibri" w:cs="Calibri"/>
                <w:b w:val="0"/>
                <w:bCs w:val="0"/>
                <w:sz w:val="20"/>
                <w:szCs w:val="20"/>
              </w:rPr>
              <w:t>98%</w:t>
            </w:r>
          </w:p>
        </w:tc>
        <w:tc>
          <w:tcPr>
            <w:tcW w:w="1500" w:type="dxa"/>
            <w:tcMar>
              <w:top w:w="80" w:type="dxa"/>
              <w:left w:w="100" w:type="dxa"/>
              <w:bottom w:w="80" w:type="dxa"/>
              <w:right w:w="100" w:type="dxa"/>
            </w:tcMar>
          </w:tcPr>
          <w:p w14:paraId="1EF834BC">
            <w:pPr>
              <w:jc w:val="left"/>
            </w:pPr>
            <w:r>
              <w:rPr>
                <w:rFonts w:ascii="Calibri" w:hAnsi="Calibri" w:eastAsia="Calibri" w:cs="Calibri"/>
                <w:b w:val="0"/>
                <w:bCs w:val="0"/>
                <w:sz w:val="20"/>
                <w:szCs w:val="20"/>
              </w:rPr>
              <w:t>80%</w:t>
            </w:r>
          </w:p>
        </w:tc>
        <w:tc>
          <w:tcPr>
            <w:tcW w:w="1500" w:type="dxa"/>
            <w:tcMar>
              <w:top w:w="80" w:type="dxa"/>
              <w:left w:w="100" w:type="dxa"/>
              <w:bottom w:w="80" w:type="dxa"/>
              <w:right w:w="100" w:type="dxa"/>
            </w:tcMar>
          </w:tcPr>
          <w:p w14:paraId="12FE1C89">
            <w:pPr>
              <w:jc w:val="left"/>
            </w:pPr>
            <w:r>
              <w:rPr>
                <w:rFonts w:ascii="Calibri" w:hAnsi="Calibri" w:eastAsia="Calibri" w:cs="Calibri"/>
                <w:b w:val="0"/>
                <w:bCs w:val="0"/>
                <w:sz w:val="20"/>
                <w:szCs w:val="20"/>
              </w:rPr>
              <w:t>75%</w:t>
            </w:r>
          </w:p>
        </w:tc>
        <w:tc>
          <w:tcPr>
            <w:tcW w:w="1600" w:type="dxa"/>
            <w:tcMar>
              <w:top w:w="80" w:type="dxa"/>
              <w:left w:w="100" w:type="dxa"/>
              <w:bottom w:w="80" w:type="dxa"/>
              <w:right w:w="100" w:type="dxa"/>
            </w:tcMar>
          </w:tcPr>
          <w:p w14:paraId="47B632C1">
            <w:pPr>
              <w:jc w:val="left"/>
            </w:pPr>
            <w:r>
              <w:rPr>
                <w:rFonts w:ascii="Calibri" w:hAnsi="Calibri" w:eastAsia="Calibri" w:cs="Calibri"/>
                <w:b w:val="0"/>
                <w:bCs w:val="0"/>
                <w:sz w:val="20"/>
                <w:szCs w:val="20"/>
              </w:rPr>
              <w:t>0.77</w:t>
            </w:r>
          </w:p>
        </w:tc>
      </w:tr>
      <w:tr w14:paraId="268E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78C5D117">
            <w:pPr>
              <w:jc w:val="left"/>
            </w:pPr>
            <w:r>
              <w:rPr>
                <w:rFonts w:ascii="Calibri" w:hAnsi="Calibri" w:eastAsia="Calibri" w:cs="Calibri"/>
                <w:b w:val="0"/>
                <w:bCs w:val="0"/>
                <w:sz w:val="20"/>
                <w:szCs w:val="20"/>
              </w:rPr>
              <w:t>Stage 3B (Moderate)</w:t>
            </w:r>
          </w:p>
        </w:tc>
        <w:tc>
          <w:tcPr>
            <w:tcW w:w="1300" w:type="dxa"/>
            <w:tcMar>
              <w:top w:w="80" w:type="dxa"/>
              <w:left w:w="100" w:type="dxa"/>
              <w:bottom w:w="80" w:type="dxa"/>
              <w:right w:w="100" w:type="dxa"/>
            </w:tcMar>
          </w:tcPr>
          <w:p w14:paraId="1A28AC8D">
            <w:pPr>
              <w:jc w:val="left"/>
            </w:pPr>
            <w:r>
              <w:rPr>
                <w:rFonts w:ascii="Calibri" w:hAnsi="Calibri" w:eastAsia="Calibri" w:cs="Calibri"/>
                <w:b w:val="0"/>
                <w:bCs w:val="0"/>
                <w:sz w:val="20"/>
                <w:szCs w:val="20"/>
              </w:rPr>
              <w:t>94%</w:t>
            </w:r>
          </w:p>
        </w:tc>
        <w:tc>
          <w:tcPr>
            <w:tcW w:w="1300" w:type="dxa"/>
            <w:tcMar>
              <w:top w:w="80" w:type="dxa"/>
              <w:left w:w="100" w:type="dxa"/>
              <w:bottom w:w="80" w:type="dxa"/>
              <w:right w:w="100" w:type="dxa"/>
            </w:tcMar>
          </w:tcPr>
          <w:p w14:paraId="33C20B72">
            <w:pPr>
              <w:jc w:val="left"/>
            </w:pPr>
            <w:r>
              <w:rPr>
                <w:rFonts w:ascii="Calibri" w:hAnsi="Calibri" w:eastAsia="Calibri" w:cs="Calibri"/>
                <w:b w:val="0"/>
                <w:bCs w:val="0"/>
                <w:sz w:val="20"/>
                <w:szCs w:val="20"/>
              </w:rPr>
              <w:t>93%</w:t>
            </w:r>
          </w:p>
        </w:tc>
        <w:tc>
          <w:tcPr>
            <w:tcW w:w="1500" w:type="dxa"/>
            <w:tcMar>
              <w:top w:w="80" w:type="dxa"/>
              <w:left w:w="100" w:type="dxa"/>
              <w:bottom w:w="80" w:type="dxa"/>
              <w:right w:w="100" w:type="dxa"/>
            </w:tcMar>
          </w:tcPr>
          <w:p w14:paraId="1DA72CA5">
            <w:pPr>
              <w:jc w:val="left"/>
            </w:pPr>
            <w:r>
              <w:rPr>
                <w:rFonts w:ascii="Calibri" w:hAnsi="Calibri" w:eastAsia="Calibri" w:cs="Calibri"/>
                <w:b w:val="0"/>
                <w:bCs w:val="0"/>
                <w:sz w:val="20"/>
                <w:szCs w:val="20"/>
              </w:rPr>
              <w:t>77%</w:t>
            </w:r>
          </w:p>
        </w:tc>
        <w:tc>
          <w:tcPr>
            <w:tcW w:w="1500" w:type="dxa"/>
            <w:tcMar>
              <w:top w:w="80" w:type="dxa"/>
              <w:left w:w="100" w:type="dxa"/>
              <w:bottom w:w="80" w:type="dxa"/>
              <w:right w:w="100" w:type="dxa"/>
            </w:tcMar>
          </w:tcPr>
          <w:p w14:paraId="23299EE5">
            <w:pPr>
              <w:jc w:val="left"/>
            </w:pPr>
            <w:r>
              <w:rPr>
                <w:rFonts w:ascii="Calibri" w:hAnsi="Calibri" w:eastAsia="Calibri" w:cs="Calibri"/>
                <w:b w:val="0"/>
                <w:bCs w:val="0"/>
                <w:sz w:val="20"/>
                <w:szCs w:val="20"/>
              </w:rPr>
              <w:t>79%</w:t>
            </w:r>
          </w:p>
        </w:tc>
        <w:tc>
          <w:tcPr>
            <w:tcW w:w="1600" w:type="dxa"/>
            <w:tcMar>
              <w:top w:w="80" w:type="dxa"/>
              <w:left w:w="100" w:type="dxa"/>
              <w:bottom w:w="80" w:type="dxa"/>
              <w:right w:w="100" w:type="dxa"/>
            </w:tcMar>
          </w:tcPr>
          <w:p w14:paraId="10208C1A">
            <w:pPr>
              <w:jc w:val="left"/>
            </w:pPr>
            <w:r>
              <w:rPr>
                <w:rFonts w:ascii="Calibri" w:hAnsi="Calibri" w:eastAsia="Calibri" w:cs="Calibri"/>
                <w:b w:val="0"/>
                <w:bCs w:val="0"/>
                <w:sz w:val="20"/>
                <w:szCs w:val="20"/>
              </w:rPr>
              <w:t>0.81</w:t>
            </w:r>
          </w:p>
        </w:tc>
      </w:tr>
      <w:tr w14:paraId="7CD6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44140E43">
            <w:pPr>
              <w:jc w:val="left"/>
            </w:pPr>
            <w:r>
              <w:rPr>
                <w:rFonts w:ascii="Calibri" w:hAnsi="Calibri" w:eastAsia="Calibri" w:cs="Calibri"/>
                <w:b w:val="0"/>
                <w:bCs w:val="0"/>
                <w:sz w:val="20"/>
                <w:szCs w:val="20"/>
              </w:rPr>
              <w:t>Stage 4 (Severe)</w:t>
            </w:r>
          </w:p>
        </w:tc>
        <w:tc>
          <w:tcPr>
            <w:tcW w:w="1300" w:type="dxa"/>
            <w:tcMar>
              <w:top w:w="80" w:type="dxa"/>
              <w:left w:w="100" w:type="dxa"/>
              <w:bottom w:w="80" w:type="dxa"/>
              <w:right w:w="100" w:type="dxa"/>
            </w:tcMar>
          </w:tcPr>
          <w:p w14:paraId="3D0A5049">
            <w:pPr>
              <w:jc w:val="left"/>
            </w:pPr>
            <w:r>
              <w:rPr>
                <w:rFonts w:ascii="Calibri" w:hAnsi="Calibri" w:eastAsia="Calibri" w:cs="Calibri"/>
                <w:b w:val="0"/>
                <w:bCs w:val="0"/>
                <w:sz w:val="20"/>
                <w:szCs w:val="20"/>
              </w:rPr>
              <w:t>95%</w:t>
            </w:r>
          </w:p>
        </w:tc>
        <w:tc>
          <w:tcPr>
            <w:tcW w:w="1300" w:type="dxa"/>
            <w:tcMar>
              <w:top w:w="80" w:type="dxa"/>
              <w:left w:w="100" w:type="dxa"/>
              <w:bottom w:w="80" w:type="dxa"/>
              <w:right w:w="100" w:type="dxa"/>
            </w:tcMar>
          </w:tcPr>
          <w:p w14:paraId="17F8E818">
            <w:pPr>
              <w:jc w:val="left"/>
            </w:pPr>
            <w:r>
              <w:rPr>
                <w:rFonts w:ascii="Calibri" w:hAnsi="Calibri" w:eastAsia="Calibri" w:cs="Calibri"/>
                <w:b w:val="0"/>
                <w:bCs w:val="0"/>
                <w:sz w:val="20"/>
                <w:szCs w:val="20"/>
              </w:rPr>
              <w:t>87%</w:t>
            </w:r>
          </w:p>
        </w:tc>
        <w:tc>
          <w:tcPr>
            <w:tcW w:w="1500" w:type="dxa"/>
            <w:tcMar>
              <w:top w:w="80" w:type="dxa"/>
              <w:left w:w="100" w:type="dxa"/>
              <w:bottom w:w="80" w:type="dxa"/>
              <w:right w:w="100" w:type="dxa"/>
            </w:tcMar>
          </w:tcPr>
          <w:p w14:paraId="3E58A7EA">
            <w:pPr>
              <w:jc w:val="left"/>
            </w:pPr>
            <w:r>
              <w:rPr>
                <w:rFonts w:ascii="Calibri" w:hAnsi="Calibri" w:eastAsia="Calibri" w:cs="Calibri"/>
                <w:b w:val="0"/>
                <w:bCs w:val="0"/>
                <w:sz w:val="20"/>
                <w:szCs w:val="20"/>
              </w:rPr>
              <w:t>96%</w:t>
            </w:r>
          </w:p>
        </w:tc>
        <w:tc>
          <w:tcPr>
            <w:tcW w:w="1500" w:type="dxa"/>
            <w:tcMar>
              <w:top w:w="80" w:type="dxa"/>
              <w:left w:w="100" w:type="dxa"/>
              <w:bottom w:w="80" w:type="dxa"/>
              <w:right w:w="100" w:type="dxa"/>
            </w:tcMar>
          </w:tcPr>
          <w:p w14:paraId="6A5839EF">
            <w:pPr>
              <w:jc w:val="left"/>
            </w:pPr>
            <w:r>
              <w:rPr>
                <w:rFonts w:ascii="Calibri" w:hAnsi="Calibri" w:eastAsia="Calibri" w:cs="Calibri"/>
                <w:b w:val="0"/>
                <w:bCs w:val="0"/>
                <w:sz w:val="20"/>
                <w:szCs w:val="20"/>
              </w:rPr>
              <w:t>66%</w:t>
            </w:r>
          </w:p>
        </w:tc>
        <w:tc>
          <w:tcPr>
            <w:tcW w:w="1600" w:type="dxa"/>
            <w:tcMar>
              <w:top w:w="80" w:type="dxa"/>
              <w:left w:w="100" w:type="dxa"/>
              <w:bottom w:w="80" w:type="dxa"/>
              <w:right w:w="100" w:type="dxa"/>
            </w:tcMar>
          </w:tcPr>
          <w:p w14:paraId="37D5B459">
            <w:pPr>
              <w:jc w:val="left"/>
            </w:pPr>
            <w:r>
              <w:rPr>
                <w:rFonts w:ascii="Calibri" w:hAnsi="Calibri" w:eastAsia="Calibri" w:cs="Calibri"/>
                <w:b w:val="0"/>
                <w:bCs w:val="0"/>
                <w:sz w:val="20"/>
                <w:szCs w:val="20"/>
              </w:rPr>
              <w:t>0.88</w:t>
            </w:r>
          </w:p>
        </w:tc>
      </w:tr>
      <w:tr w14:paraId="79D4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76A44B55">
            <w:pPr>
              <w:jc w:val="left"/>
            </w:pPr>
            <w:r>
              <w:rPr>
                <w:rFonts w:ascii="Calibri" w:hAnsi="Calibri" w:eastAsia="Calibri" w:cs="Calibri"/>
                <w:b w:val="0"/>
                <w:bCs w:val="0"/>
                <w:sz w:val="20"/>
                <w:szCs w:val="20"/>
              </w:rPr>
              <w:t>Stage 5 (End-stage)</w:t>
            </w:r>
          </w:p>
        </w:tc>
        <w:tc>
          <w:tcPr>
            <w:tcW w:w="1300" w:type="dxa"/>
            <w:tcMar>
              <w:top w:w="80" w:type="dxa"/>
              <w:left w:w="100" w:type="dxa"/>
              <w:bottom w:w="80" w:type="dxa"/>
              <w:right w:w="100" w:type="dxa"/>
            </w:tcMar>
          </w:tcPr>
          <w:p w14:paraId="0CAC56AC">
            <w:pPr>
              <w:jc w:val="left"/>
            </w:pPr>
            <w:r>
              <w:rPr>
                <w:rFonts w:ascii="Calibri" w:hAnsi="Calibri" w:eastAsia="Calibri" w:cs="Calibri"/>
                <w:b w:val="0"/>
                <w:bCs w:val="0"/>
                <w:sz w:val="20"/>
                <w:szCs w:val="20"/>
              </w:rPr>
              <w:t>93%</w:t>
            </w:r>
          </w:p>
        </w:tc>
        <w:tc>
          <w:tcPr>
            <w:tcW w:w="1300" w:type="dxa"/>
            <w:tcMar>
              <w:top w:w="80" w:type="dxa"/>
              <w:left w:w="100" w:type="dxa"/>
              <w:bottom w:w="80" w:type="dxa"/>
              <w:right w:w="100" w:type="dxa"/>
            </w:tcMar>
          </w:tcPr>
          <w:p w14:paraId="7CBB2F59">
            <w:pPr>
              <w:jc w:val="left"/>
            </w:pPr>
            <w:r>
              <w:rPr>
                <w:rFonts w:ascii="Calibri" w:hAnsi="Calibri" w:eastAsia="Calibri" w:cs="Calibri"/>
                <w:b w:val="0"/>
                <w:bCs w:val="0"/>
                <w:sz w:val="20"/>
                <w:szCs w:val="20"/>
              </w:rPr>
              <w:t>91%</w:t>
            </w:r>
          </w:p>
        </w:tc>
        <w:tc>
          <w:tcPr>
            <w:tcW w:w="1500" w:type="dxa"/>
            <w:tcMar>
              <w:top w:w="80" w:type="dxa"/>
              <w:left w:w="100" w:type="dxa"/>
              <w:bottom w:w="80" w:type="dxa"/>
              <w:right w:w="100" w:type="dxa"/>
            </w:tcMar>
          </w:tcPr>
          <w:p w14:paraId="7AD52842">
            <w:pPr>
              <w:jc w:val="left"/>
            </w:pPr>
            <w:r>
              <w:rPr>
                <w:rFonts w:ascii="Calibri" w:hAnsi="Calibri" w:eastAsia="Calibri" w:cs="Calibri"/>
                <w:b w:val="0"/>
                <w:bCs w:val="0"/>
                <w:sz w:val="20"/>
                <w:szCs w:val="20"/>
              </w:rPr>
              <w:t>64%</w:t>
            </w:r>
          </w:p>
        </w:tc>
        <w:tc>
          <w:tcPr>
            <w:tcW w:w="1500" w:type="dxa"/>
            <w:tcMar>
              <w:top w:w="80" w:type="dxa"/>
              <w:left w:w="100" w:type="dxa"/>
              <w:bottom w:w="80" w:type="dxa"/>
              <w:right w:w="100" w:type="dxa"/>
            </w:tcMar>
          </w:tcPr>
          <w:p w14:paraId="6B65567B">
            <w:pPr>
              <w:jc w:val="left"/>
            </w:pPr>
            <w:r>
              <w:rPr>
                <w:rFonts w:ascii="Calibri" w:hAnsi="Calibri" w:eastAsia="Calibri" w:cs="Calibri"/>
                <w:b w:val="0"/>
                <w:bCs w:val="0"/>
                <w:sz w:val="20"/>
                <w:szCs w:val="20"/>
              </w:rPr>
              <w:t>56%</w:t>
            </w:r>
          </w:p>
        </w:tc>
        <w:tc>
          <w:tcPr>
            <w:tcW w:w="1600" w:type="dxa"/>
            <w:tcMar>
              <w:top w:w="80" w:type="dxa"/>
              <w:left w:w="100" w:type="dxa"/>
              <w:bottom w:w="80" w:type="dxa"/>
              <w:right w:w="100" w:type="dxa"/>
            </w:tcMar>
          </w:tcPr>
          <w:p w14:paraId="294FF1A6">
            <w:pPr>
              <w:jc w:val="left"/>
            </w:pPr>
            <w:r>
              <w:rPr>
                <w:rFonts w:ascii="Calibri" w:hAnsi="Calibri" w:eastAsia="Calibri" w:cs="Calibri"/>
                <w:b w:val="0"/>
                <w:bCs w:val="0"/>
                <w:sz w:val="20"/>
                <w:szCs w:val="20"/>
              </w:rPr>
              <w:t>0.66</w:t>
            </w:r>
          </w:p>
        </w:tc>
      </w:tr>
      <w:tr w14:paraId="66CD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01A66ABA">
            <w:pPr>
              <w:jc w:val="left"/>
            </w:pPr>
            <w:r>
              <w:rPr>
                <w:rFonts w:ascii="Calibri" w:hAnsi="Calibri" w:eastAsia="Calibri" w:cs="Calibri"/>
                <w:b/>
                <w:bCs/>
                <w:sz w:val="20"/>
                <w:szCs w:val="20"/>
              </w:rPr>
              <w:t>Overall</w:t>
            </w:r>
          </w:p>
        </w:tc>
        <w:tc>
          <w:tcPr>
            <w:tcW w:w="1300" w:type="dxa"/>
            <w:tcMar>
              <w:top w:w="80" w:type="dxa"/>
              <w:left w:w="100" w:type="dxa"/>
              <w:bottom w:w="80" w:type="dxa"/>
              <w:right w:w="100" w:type="dxa"/>
            </w:tcMar>
          </w:tcPr>
          <w:p w14:paraId="21D5311B">
            <w:pPr>
              <w:jc w:val="left"/>
            </w:pPr>
            <w:r>
              <w:rPr>
                <w:rFonts w:ascii="Calibri" w:hAnsi="Calibri" w:eastAsia="Calibri" w:cs="Calibri"/>
                <w:b/>
                <w:bCs/>
                <w:sz w:val="20"/>
                <w:szCs w:val="20"/>
              </w:rPr>
              <w:t>85.5%</w:t>
            </w:r>
          </w:p>
        </w:tc>
        <w:tc>
          <w:tcPr>
            <w:tcW w:w="1300" w:type="dxa"/>
            <w:tcMar>
              <w:top w:w="80" w:type="dxa"/>
              <w:left w:w="100" w:type="dxa"/>
              <w:bottom w:w="80" w:type="dxa"/>
              <w:right w:w="100" w:type="dxa"/>
            </w:tcMar>
          </w:tcPr>
          <w:p w14:paraId="73A50B78">
            <w:pPr>
              <w:jc w:val="left"/>
            </w:pPr>
            <w:r>
              <w:rPr>
                <w:rFonts w:ascii="Calibri" w:hAnsi="Calibri" w:eastAsia="Calibri" w:cs="Calibri"/>
                <w:b/>
                <w:bCs/>
                <w:sz w:val="20"/>
                <w:szCs w:val="20"/>
              </w:rPr>
              <w:t>78.25%</w:t>
            </w:r>
          </w:p>
        </w:tc>
        <w:tc>
          <w:tcPr>
            <w:tcW w:w="1500" w:type="dxa"/>
            <w:tcMar>
              <w:top w:w="80" w:type="dxa"/>
              <w:left w:w="100" w:type="dxa"/>
              <w:bottom w:w="80" w:type="dxa"/>
              <w:right w:w="100" w:type="dxa"/>
            </w:tcMar>
          </w:tcPr>
          <w:p w14:paraId="5DD16EB5">
            <w:pPr>
              <w:jc w:val="left"/>
            </w:pPr>
            <w:r>
              <w:rPr>
                <w:rFonts w:ascii="Calibri" w:hAnsi="Calibri" w:eastAsia="Calibri" w:cs="Calibri"/>
                <w:b w:val="0"/>
                <w:bCs w:val="0"/>
                <w:sz w:val="20"/>
                <w:szCs w:val="20"/>
              </w:rPr>
              <w:t>—</w:t>
            </w:r>
          </w:p>
        </w:tc>
        <w:tc>
          <w:tcPr>
            <w:tcW w:w="1500" w:type="dxa"/>
            <w:tcMar>
              <w:top w:w="80" w:type="dxa"/>
              <w:left w:w="100" w:type="dxa"/>
              <w:bottom w:w="80" w:type="dxa"/>
              <w:right w:w="100" w:type="dxa"/>
            </w:tcMar>
          </w:tcPr>
          <w:p w14:paraId="77DA272A">
            <w:pPr>
              <w:jc w:val="left"/>
            </w:pPr>
            <w:r>
              <w:rPr>
                <w:rFonts w:ascii="Calibri" w:hAnsi="Calibri" w:eastAsia="Calibri" w:cs="Calibri"/>
                <w:b w:val="0"/>
                <w:bCs w:val="0"/>
                <w:sz w:val="20"/>
                <w:szCs w:val="20"/>
              </w:rPr>
              <w:t>—</w:t>
            </w:r>
          </w:p>
        </w:tc>
        <w:tc>
          <w:tcPr>
            <w:tcW w:w="1600" w:type="dxa"/>
            <w:tcMar>
              <w:top w:w="80" w:type="dxa"/>
              <w:left w:w="100" w:type="dxa"/>
              <w:bottom w:w="80" w:type="dxa"/>
              <w:right w:w="100" w:type="dxa"/>
            </w:tcMar>
          </w:tcPr>
          <w:p w14:paraId="1853C684">
            <w:pPr>
              <w:jc w:val="left"/>
            </w:pPr>
            <w:r>
              <w:rPr>
                <w:rFonts w:ascii="Calibri" w:hAnsi="Calibri" w:eastAsia="Calibri" w:cs="Calibri"/>
                <w:b w:val="0"/>
                <w:bCs w:val="0"/>
                <w:sz w:val="20"/>
                <w:szCs w:val="20"/>
              </w:rPr>
              <w:t>—</w:t>
            </w:r>
          </w:p>
        </w:tc>
      </w:tr>
    </w:tbl>
    <w:p w14:paraId="68049135">
      <w:pPr>
        <w:spacing w:before="240" w:after="160"/>
      </w:pPr>
      <w:r>
        <w:rPr>
          <w:rFonts w:ascii="Calibri" w:hAnsi="Calibri" w:eastAsia="Calibri" w:cs="Calibri"/>
          <w:sz w:val="22"/>
          <w:szCs w:val="22"/>
        </w:rPr>
        <w:t>The article also situates its results against three earlier CKD-prediction studies:</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1900"/>
        <w:gridCol w:w="1200"/>
      </w:tblGrid>
      <w:tr w14:paraId="62E1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D9D9D9"/>
            <w:tcMar>
              <w:top w:w="80" w:type="dxa"/>
              <w:left w:w="100" w:type="dxa"/>
              <w:bottom w:w="80" w:type="dxa"/>
              <w:right w:w="100" w:type="dxa"/>
            </w:tcMar>
          </w:tcPr>
          <w:p w14:paraId="571B5841">
            <w:pPr>
              <w:jc w:val="left"/>
            </w:pPr>
            <w:r>
              <w:rPr>
                <w:rFonts w:ascii="Calibri" w:hAnsi="Calibri" w:eastAsia="Calibri" w:cs="Calibri"/>
                <w:b/>
                <w:bCs/>
                <w:sz w:val="20"/>
                <w:szCs w:val="20"/>
              </w:rPr>
              <w:t>Study</w:t>
            </w:r>
          </w:p>
        </w:tc>
        <w:tc>
          <w:tcPr>
            <w:tcW w:w="3800" w:type="dxa"/>
            <w:shd w:val="clear" w:color="auto" w:fill="D9D9D9"/>
            <w:tcMar>
              <w:top w:w="80" w:type="dxa"/>
              <w:left w:w="100" w:type="dxa"/>
              <w:bottom w:w="80" w:type="dxa"/>
              <w:right w:w="100" w:type="dxa"/>
            </w:tcMar>
          </w:tcPr>
          <w:p w14:paraId="05D9DEEA">
            <w:pPr>
              <w:jc w:val="left"/>
            </w:pPr>
            <w:r>
              <w:rPr>
                <w:rFonts w:ascii="Calibri" w:hAnsi="Calibri" w:eastAsia="Calibri" w:cs="Calibri"/>
                <w:b/>
                <w:bCs/>
                <w:sz w:val="20"/>
                <w:szCs w:val="20"/>
              </w:rPr>
              <w:t>Method / Dataset</w:t>
            </w:r>
          </w:p>
        </w:tc>
        <w:tc>
          <w:tcPr>
            <w:tcW w:w="1900" w:type="dxa"/>
            <w:shd w:val="clear" w:color="auto" w:fill="D9D9D9"/>
            <w:tcMar>
              <w:top w:w="80" w:type="dxa"/>
              <w:left w:w="100" w:type="dxa"/>
              <w:bottom w:w="80" w:type="dxa"/>
              <w:right w:w="100" w:type="dxa"/>
            </w:tcMar>
          </w:tcPr>
          <w:p w14:paraId="6DE10124">
            <w:pPr>
              <w:jc w:val="left"/>
            </w:pPr>
            <w:r>
              <w:rPr>
                <w:rFonts w:ascii="Calibri" w:hAnsi="Calibri" w:eastAsia="Calibri" w:cs="Calibri"/>
                <w:b/>
                <w:bCs/>
                <w:sz w:val="20"/>
                <w:szCs w:val="20"/>
              </w:rPr>
              <w:t>Reported Accuracy</w:t>
            </w:r>
          </w:p>
        </w:tc>
        <w:tc>
          <w:tcPr>
            <w:tcW w:w="1200" w:type="dxa"/>
            <w:shd w:val="clear" w:color="auto" w:fill="D9D9D9"/>
            <w:tcMar>
              <w:top w:w="80" w:type="dxa"/>
              <w:left w:w="100" w:type="dxa"/>
              <w:bottom w:w="80" w:type="dxa"/>
              <w:right w:w="100" w:type="dxa"/>
            </w:tcMar>
          </w:tcPr>
          <w:p w14:paraId="1171C1C1">
            <w:pPr>
              <w:jc w:val="left"/>
            </w:pPr>
            <w:r>
              <w:rPr>
                <w:rFonts w:ascii="Calibri" w:hAnsi="Calibri" w:eastAsia="Calibri" w:cs="Calibri"/>
                <w:b/>
                <w:bCs/>
                <w:sz w:val="20"/>
                <w:szCs w:val="20"/>
              </w:rPr>
              <w:t>Year</w:t>
            </w:r>
          </w:p>
        </w:tc>
      </w:tr>
      <w:tr w14:paraId="4F48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306D866">
            <w:pPr>
              <w:jc w:val="left"/>
            </w:pPr>
            <w:r>
              <w:rPr>
                <w:rFonts w:ascii="Calibri" w:hAnsi="Calibri" w:eastAsia="Calibri" w:cs="Calibri"/>
                <w:b w:val="0"/>
                <w:bCs w:val="0"/>
                <w:sz w:val="20"/>
                <w:szCs w:val="20"/>
              </w:rPr>
              <w:t>Ramya &amp; Radha</w:t>
            </w:r>
          </w:p>
        </w:tc>
        <w:tc>
          <w:tcPr>
            <w:tcW w:w="3800" w:type="dxa"/>
            <w:tcMar>
              <w:top w:w="80" w:type="dxa"/>
              <w:left w:w="100" w:type="dxa"/>
              <w:bottom w:w="80" w:type="dxa"/>
              <w:right w:w="100" w:type="dxa"/>
            </w:tcMar>
          </w:tcPr>
          <w:p w14:paraId="53408C1B">
            <w:pPr>
              <w:jc w:val="left"/>
            </w:pPr>
            <w:r>
              <w:rPr>
                <w:rFonts w:ascii="Calibri" w:hAnsi="Calibri" w:eastAsia="Calibri" w:cs="Calibri"/>
                <w:b w:val="0"/>
                <w:bCs w:val="0"/>
                <w:sz w:val="20"/>
                <w:szCs w:val="20"/>
              </w:rPr>
              <w:t>Radial Basis Function on lab-collected patient records</w:t>
            </w:r>
          </w:p>
        </w:tc>
        <w:tc>
          <w:tcPr>
            <w:tcW w:w="1900" w:type="dxa"/>
            <w:tcMar>
              <w:top w:w="80" w:type="dxa"/>
              <w:left w:w="100" w:type="dxa"/>
              <w:bottom w:w="80" w:type="dxa"/>
              <w:right w:w="100" w:type="dxa"/>
            </w:tcMar>
          </w:tcPr>
          <w:p w14:paraId="4B61B208">
            <w:pPr>
              <w:jc w:val="left"/>
            </w:pPr>
            <w:r>
              <w:rPr>
                <w:rFonts w:ascii="Calibri" w:hAnsi="Calibri" w:eastAsia="Calibri" w:cs="Calibri"/>
                <w:b w:val="0"/>
                <w:bCs w:val="0"/>
                <w:sz w:val="20"/>
                <w:szCs w:val="20"/>
              </w:rPr>
              <w:t>85.3%</w:t>
            </w:r>
          </w:p>
        </w:tc>
        <w:tc>
          <w:tcPr>
            <w:tcW w:w="1200" w:type="dxa"/>
            <w:tcMar>
              <w:top w:w="80" w:type="dxa"/>
              <w:left w:w="100" w:type="dxa"/>
              <w:bottom w:w="80" w:type="dxa"/>
              <w:right w:w="100" w:type="dxa"/>
            </w:tcMar>
          </w:tcPr>
          <w:p w14:paraId="43B6B495">
            <w:pPr>
              <w:jc w:val="left"/>
            </w:pPr>
            <w:r>
              <w:rPr>
                <w:rFonts w:ascii="Calibri" w:hAnsi="Calibri" w:eastAsia="Calibri" w:cs="Calibri"/>
                <w:b w:val="0"/>
                <w:bCs w:val="0"/>
                <w:sz w:val="20"/>
                <w:szCs w:val="20"/>
              </w:rPr>
              <w:t>2016</w:t>
            </w:r>
          </w:p>
        </w:tc>
      </w:tr>
      <w:tr w14:paraId="1A24F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133246A">
            <w:pPr>
              <w:jc w:val="left"/>
            </w:pPr>
            <w:r>
              <w:rPr>
                <w:rFonts w:ascii="Calibri" w:hAnsi="Calibri" w:eastAsia="Calibri" w:cs="Calibri"/>
                <w:b w:val="0"/>
                <w:bCs w:val="0"/>
                <w:sz w:val="20"/>
                <w:szCs w:val="20"/>
              </w:rPr>
              <w:t>Xiao et al.</w:t>
            </w:r>
          </w:p>
        </w:tc>
        <w:tc>
          <w:tcPr>
            <w:tcW w:w="3800" w:type="dxa"/>
            <w:tcMar>
              <w:top w:w="80" w:type="dxa"/>
              <w:left w:w="100" w:type="dxa"/>
              <w:bottom w:w="80" w:type="dxa"/>
              <w:right w:w="100" w:type="dxa"/>
            </w:tcMar>
          </w:tcPr>
          <w:p w14:paraId="7A50A3A4">
            <w:pPr>
              <w:jc w:val="left"/>
            </w:pPr>
            <w:r>
              <w:rPr>
                <w:rFonts w:ascii="Calibri" w:hAnsi="Calibri" w:eastAsia="Calibri" w:cs="Calibri"/>
                <w:b w:val="0"/>
                <w:bCs w:val="0"/>
                <w:sz w:val="20"/>
                <w:szCs w:val="20"/>
              </w:rPr>
              <w:t>Logistic Regression on hospital EHR data</w:t>
            </w:r>
          </w:p>
        </w:tc>
        <w:tc>
          <w:tcPr>
            <w:tcW w:w="1900" w:type="dxa"/>
            <w:tcMar>
              <w:top w:w="80" w:type="dxa"/>
              <w:left w:w="100" w:type="dxa"/>
              <w:bottom w:w="80" w:type="dxa"/>
              <w:right w:w="100" w:type="dxa"/>
            </w:tcMar>
          </w:tcPr>
          <w:p w14:paraId="2DBF31F8">
            <w:pPr>
              <w:jc w:val="left"/>
            </w:pPr>
            <w:r>
              <w:rPr>
                <w:rFonts w:ascii="Calibri" w:hAnsi="Calibri" w:eastAsia="Calibri" w:cs="Calibri"/>
                <w:b w:val="0"/>
                <w:bCs w:val="0"/>
                <w:sz w:val="20"/>
                <w:szCs w:val="20"/>
              </w:rPr>
              <w:t>~85%</w:t>
            </w:r>
          </w:p>
        </w:tc>
        <w:tc>
          <w:tcPr>
            <w:tcW w:w="1200" w:type="dxa"/>
            <w:tcMar>
              <w:top w:w="80" w:type="dxa"/>
              <w:left w:w="100" w:type="dxa"/>
              <w:bottom w:w="80" w:type="dxa"/>
              <w:right w:w="100" w:type="dxa"/>
            </w:tcMar>
          </w:tcPr>
          <w:p w14:paraId="200BFAF7">
            <w:pPr>
              <w:jc w:val="left"/>
            </w:pPr>
            <w:r>
              <w:rPr>
                <w:rFonts w:ascii="Calibri" w:hAnsi="Calibri" w:eastAsia="Calibri" w:cs="Calibri"/>
                <w:b w:val="0"/>
                <w:bCs w:val="0"/>
                <w:sz w:val="20"/>
                <w:szCs w:val="20"/>
              </w:rPr>
              <w:t>2019</w:t>
            </w:r>
          </w:p>
        </w:tc>
      </w:tr>
      <w:tr w14:paraId="0BBEB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DE85D3A">
            <w:pPr>
              <w:jc w:val="left"/>
            </w:pPr>
            <w:r>
              <w:rPr>
                <w:rFonts w:ascii="Calibri" w:hAnsi="Calibri" w:eastAsia="Calibri" w:cs="Calibri"/>
                <w:b w:val="0"/>
                <w:bCs w:val="0"/>
                <w:sz w:val="20"/>
                <w:szCs w:val="20"/>
              </w:rPr>
              <w:t>El-Houssainy &amp; Anwar</w:t>
            </w:r>
          </w:p>
        </w:tc>
        <w:tc>
          <w:tcPr>
            <w:tcW w:w="3800" w:type="dxa"/>
            <w:tcMar>
              <w:top w:w="80" w:type="dxa"/>
              <w:left w:w="100" w:type="dxa"/>
              <w:bottom w:w="80" w:type="dxa"/>
              <w:right w:w="100" w:type="dxa"/>
            </w:tcMar>
          </w:tcPr>
          <w:p w14:paraId="226796C9">
            <w:pPr>
              <w:jc w:val="left"/>
            </w:pPr>
            <w:r>
              <w:rPr>
                <w:rFonts w:ascii="Calibri" w:hAnsi="Calibri" w:eastAsia="Calibri" w:cs="Calibri"/>
                <w:b w:val="0"/>
                <w:bCs w:val="0"/>
                <w:sz w:val="20"/>
                <w:szCs w:val="20"/>
              </w:rPr>
              <w:t>Probabilistic Neural Network on UCI CKD dataset</w:t>
            </w:r>
          </w:p>
        </w:tc>
        <w:tc>
          <w:tcPr>
            <w:tcW w:w="1900" w:type="dxa"/>
            <w:tcMar>
              <w:top w:w="80" w:type="dxa"/>
              <w:left w:w="100" w:type="dxa"/>
              <w:bottom w:w="80" w:type="dxa"/>
              <w:right w:w="100" w:type="dxa"/>
            </w:tcMar>
          </w:tcPr>
          <w:p w14:paraId="033EC5AC">
            <w:pPr>
              <w:jc w:val="left"/>
            </w:pPr>
            <w:r>
              <w:rPr>
                <w:rFonts w:ascii="Calibri" w:hAnsi="Calibri" w:eastAsia="Calibri" w:cs="Calibri"/>
                <w:b w:val="0"/>
                <w:bCs w:val="0"/>
                <w:sz w:val="20"/>
                <w:szCs w:val="20"/>
              </w:rPr>
              <w:t>96.7%</w:t>
            </w:r>
          </w:p>
        </w:tc>
        <w:tc>
          <w:tcPr>
            <w:tcW w:w="1200" w:type="dxa"/>
            <w:tcMar>
              <w:top w:w="80" w:type="dxa"/>
              <w:left w:w="100" w:type="dxa"/>
              <w:bottom w:w="80" w:type="dxa"/>
              <w:right w:w="100" w:type="dxa"/>
            </w:tcMar>
          </w:tcPr>
          <w:p w14:paraId="54AFF386">
            <w:pPr>
              <w:jc w:val="left"/>
            </w:pPr>
            <w:r>
              <w:rPr>
                <w:rFonts w:ascii="Calibri" w:hAnsi="Calibri" w:eastAsia="Calibri" w:cs="Calibri"/>
                <w:b w:val="0"/>
                <w:bCs w:val="0"/>
                <w:sz w:val="20"/>
                <w:szCs w:val="20"/>
              </w:rPr>
              <w:t>2019</w:t>
            </w:r>
          </w:p>
        </w:tc>
      </w:tr>
      <w:tr w14:paraId="4B05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8EE723E">
            <w:pPr>
              <w:jc w:val="left"/>
            </w:pPr>
            <w:r>
              <w:rPr>
                <w:rFonts w:ascii="Calibri" w:hAnsi="Calibri" w:eastAsia="Calibri" w:cs="Calibri"/>
                <w:b w:val="0"/>
                <w:bCs w:val="0"/>
                <w:sz w:val="20"/>
                <w:szCs w:val="20"/>
              </w:rPr>
              <w:t>Ilyas et al. (this article)</w:t>
            </w:r>
          </w:p>
        </w:tc>
        <w:tc>
          <w:tcPr>
            <w:tcW w:w="3800" w:type="dxa"/>
            <w:tcMar>
              <w:top w:w="80" w:type="dxa"/>
              <w:left w:w="100" w:type="dxa"/>
              <w:bottom w:w="80" w:type="dxa"/>
              <w:right w:w="100" w:type="dxa"/>
            </w:tcMar>
          </w:tcPr>
          <w:p w14:paraId="30A70BC8">
            <w:pPr>
              <w:jc w:val="left"/>
            </w:pPr>
            <w:r>
              <w:rPr>
                <w:rFonts w:ascii="Calibri" w:hAnsi="Calibri" w:eastAsia="Calibri" w:cs="Calibri"/>
                <w:b w:val="0"/>
                <w:bCs w:val="0"/>
                <w:sz w:val="20"/>
                <w:szCs w:val="20"/>
              </w:rPr>
              <w:t>J48 decision tree on UCI CKD dataset (GFR-derived stages)</w:t>
            </w:r>
          </w:p>
        </w:tc>
        <w:tc>
          <w:tcPr>
            <w:tcW w:w="1900" w:type="dxa"/>
            <w:tcMar>
              <w:top w:w="80" w:type="dxa"/>
              <w:left w:w="100" w:type="dxa"/>
              <w:bottom w:w="80" w:type="dxa"/>
              <w:right w:w="100" w:type="dxa"/>
            </w:tcMar>
          </w:tcPr>
          <w:p w14:paraId="0CD1DEA8">
            <w:pPr>
              <w:jc w:val="left"/>
            </w:pPr>
            <w:r>
              <w:rPr>
                <w:rFonts w:ascii="Calibri" w:hAnsi="Calibri" w:eastAsia="Calibri" w:cs="Calibri"/>
                <w:b w:val="0"/>
                <w:bCs w:val="0"/>
                <w:sz w:val="20"/>
                <w:szCs w:val="20"/>
              </w:rPr>
              <w:t>85.5% (0.03s)</w:t>
            </w:r>
          </w:p>
        </w:tc>
        <w:tc>
          <w:tcPr>
            <w:tcW w:w="1200" w:type="dxa"/>
            <w:tcMar>
              <w:top w:w="80" w:type="dxa"/>
              <w:left w:w="100" w:type="dxa"/>
              <w:bottom w:w="80" w:type="dxa"/>
              <w:right w:w="100" w:type="dxa"/>
            </w:tcMar>
          </w:tcPr>
          <w:p w14:paraId="4A0F21C5">
            <w:pPr>
              <w:jc w:val="left"/>
            </w:pPr>
            <w:r>
              <w:rPr>
                <w:rFonts w:ascii="Calibri" w:hAnsi="Calibri" w:eastAsia="Calibri" w:cs="Calibri"/>
                <w:b w:val="0"/>
                <w:bCs w:val="0"/>
                <w:sz w:val="20"/>
                <w:szCs w:val="20"/>
              </w:rPr>
              <w:t>2021</w:t>
            </w:r>
          </w:p>
        </w:tc>
      </w:tr>
    </w:tbl>
    <w:p w14:paraId="387D63F3">
      <w:pPr>
        <w:pStyle w:val="3"/>
        <w:spacing w:before="280" w:after="160"/>
      </w:pPr>
      <w:r>
        <w:t>(b) Critical Evaluation</w:t>
      </w:r>
    </w:p>
    <w:p w14:paraId="0B05830F">
      <w:pPr>
        <w:spacing w:after="160"/>
      </w:pPr>
      <w:r>
        <w:rPr>
          <w:rFonts w:ascii="Calibri" w:hAnsi="Calibri" w:eastAsia="Calibri" w:cs="Calibri"/>
          <w:b/>
          <w:bCs/>
          <w:sz w:val="22"/>
          <w:szCs w:val="22"/>
        </w:rPr>
        <w:t xml:space="preserve">Are the reported metrics realistic? </w:t>
      </w:r>
      <w:r>
        <w:rPr>
          <w:rFonts w:ascii="Calibri" w:hAnsi="Calibri" w:eastAsia="Calibri" w:cs="Calibri"/>
          <w:sz w:val="22"/>
          <w:szCs w:val="22"/>
        </w:rPr>
        <w:t>Partially. The headline 85.5% accuracy is credible for a decision-tree baseline, but it is an accuracy-paradox case: several stages (1, 2, 5) show sensitivity in the 43-72% range even while accuracy for those same stages sits at 93-96%, because the classes are imbalanced and correctly predicting the large majority class inflates accuracy without reflecting how well minority stages are actually detected.</w:t>
      </w:r>
    </w:p>
    <w:p w14:paraId="333D025B">
      <w:pPr>
        <w:spacing w:after="100"/>
      </w:pPr>
      <w:r>
        <w:rPr>
          <w:rFonts w:ascii="Calibri" w:hAnsi="Calibri" w:eastAsia="Calibri" w:cs="Calibri"/>
          <w:b/>
          <w:bCs/>
          <w:sz w:val="22"/>
          <w:szCs w:val="22"/>
        </w:rPr>
        <w:t>Potential biases:</w:t>
      </w:r>
    </w:p>
    <w:p w14:paraId="2115CE39">
      <w:pPr>
        <w:pStyle w:val="16"/>
        <w:numPr>
          <w:ilvl w:val="0"/>
          <w:numId w:val="1"/>
        </w:numPr>
        <w:spacing w:after="120"/>
      </w:pPr>
      <w:r>
        <w:rPr>
          <w:rFonts w:ascii="Calibri" w:hAnsi="Calibri" w:eastAsia="Calibri" w:cs="Calibri"/>
          <w:sz w:val="22"/>
          <w:szCs w:val="22"/>
        </w:rPr>
        <w:t>Dataset bias — 400 records from a single public repository is a small, non-diverse sample, so performance may not transfer to other populations or clinical settings.</w:t>
      </w:r>
    </w:p>
    <w:p w14:paraId="35401EB7">
      <w:pPr>
        <w:pStyle w:val="16"/>
        <w:numPr>
          <w:ilvl w:val="0"/>
          <w:numId w:val="1"/>
        </w:numPr>
        <w:spacing w:after="120"/>
      </w:pPr>
      <w:r>
        <w:rPr>
          <w:rFonts w:ascii="Calibri" w:hAnsi="Calibri" w:eastAsia="Calibri" w:cs="Calibri"/>
          <w:sz w:val="22"/>
          <w:szCs w:val="22"/>
        </w:rPr>
        <w:t>Evaluation-protocol bias — 15-fold cross-validation on 400 records means each held-out fold has under 30 patients, which can produce noisy, high-variance estimates of per-stage performance.</w:t>
      </w:r>
    </w:p>
    <w:p w14:paraId="59B04C8B">
      <w:pPr>
        <w:pStyle w:val="16"/>
        <w:numPr>
          <w:ilvl w:val="0"/>
          <w:numId w:val="1"/>
        </w:numPr>
        <w:spacing w:after="120"/>
      </w:pPr>
      <w:r>
        <w:rPr>
          <w:rFonts w:ascii="Calibri" w:hAnsi="Calibri" w:eastAsia="Calibri" w:cs="Calibri"/>
          <w:sz w:val="22"/>
          <w:szCs w:val="22"/>
        </w:rPr>
        <w:t>Attribute bias — the CKD-EPI equation used to derive GFR includes a race correction term that has been widely criticized in more recent nephrology literature for embedding demographic bias into GFR estimates, which could propagate into the stage labels themselves.</w:t>
      </w:r>
    </w:p>
    <w:p w14:paraId="15D3382C">
      <w:pPr>
        <w:spacing w:after="160"/>
      </w:pPr>
      <w:r>
        <w:rPr>
          <w:rFonts w:ascii="Calibri" w:hAnsi="Calibri" w:eastAsia="Calibri" w:cs="Calibri"/>
          <w:b/>
          <w:bCs/>
          <w:sz w:val="22"/>
          <w:szCs w:val="22"/>
        </w:rPr>
        <w:t xml:space="preserve">Additional experiments that would strengthen the findings: </w:t>
      </w:r>
      <w:r>
        <w:rPr>
          <w:rFonts w:ascii="Calibri" w:hAnsi="Calibri" w:eastAsia="Calibri" w:cs="Calibri"/>
          <w:sz w:val="22"/>
          <w:szCs w:val="22"/>
        </w:rPr>
        <w:t>testing on an independent, multi-site patient cohort; reporting confidence intervals or repeated-CV variance rather than single-run numbers; using stratified cross-validation to protect minority stages; and benchmarking against more recent methods (e.g., gradient-boosted trees or class-balancing techniques such as SMOTE) to see whether the low sensitivity in early/late stages can be improved without sacrificing J48's speed advantage.</w:t>
      </w:r>
    </w:p>
    <w:p w14:paraId="4769AADA">
      <w:pPr>
        <w:pStyle w:val="3"/>
        <w:spacing w:before="280" w:after="160"/>
      </w:pPr>
      <w:r>
        <w:t>(c) Real-World Applicability</w:t>
      </w:r>
    </w:p>
    <w:p w14:paraId="2D1F8C1F">
      <w:pPr>
        <w:spacing w:after="160"/>
      </w:pPr>
      <w:r>
        <w:rPr>
          <w:rFonts w:ascii="Calibri" w:hAnsi="Calibri" w:eastAsia="Calibri" w:cs="Calibri"/>
          <w:sz w:val="22"/>
          <w:szCs w:val="22"/>
        </w:rPr>
        <w:t>Because J48 produces a human-readable tree, it is well suited to clinical decision-support: a nephrologist or primary-care physician could see exactly which attribute thresholds drove a given stage prediction, which supports clinical trust and adoption more than a black-box model would. It could plausibly be embedded in an EHR system to flag patients whose routine lab values suggest advancing CKD, prompting earlier referral or monitoring.</w:t>
      </w:r>
    </w:p>
    <w:p w14:paraId="7B53E3F1">
      <w:pPr>
        <w:spacing w:after="100"/>
      </w:pPr>
      <w:r>
        <w:rPr>
          <w:rFonts w:ascii="Calibri" w:hAnsi="Calibri" w:eastAsia="Calibri" w:cs="Calibri"/>
          <w:b/>
          <w:bCs/>
          <w:sz w:val="22"/>
          <w:szCs w:val="22"/>
        </w:rPr>
        <w:t>Scaling challenges include:</w:t>
      </w:r>
    </w:p>
    <w:p w14:paraId="49CD4263">
      <w:pPr>
        <w:pStyle w:val="16"/>
        <w:numPr>
          <w:ilvl w:val="0"/>
          <w:numId w:val="1"/>
        </w:numPr>
        <w:spacing w:after="120"/>
      </w:pPr>
      <w:r>
        <w:rPr>
          <w:rFonts w:ascii="Calibri" w:hAnsi="Calibri" w:eastAsia="Calibri" w:cs="Calibri"/>
          <w:sz w:val="22"/>
          <w:szCs w:val="22"/>
        </w:rPr>
        <w:t>Data availability — larger, more demographically diverse labelled datasets are needed before this generalizes beyond the original study population.</w:t>
      </w:r>
    </w:p>
    <w:p w14:paraId="0F974147">
      <w:pPr>
        <w:pStyle w:val="16"/>
        <w:numPr>
          <w:ilvl w:val="0"/>
          <w:numId w:val="1"/>
        </w:numPr>
        <w:spacing w:after="120"/>
      </w:pPr>
      <w:r>
        <w:rPr>
          <w:rFonts w:ascii="Calibri" w:hAnsi="Calibri" w:eastAsia="Calibri" w:cs="Calibri"/>
          <w:sz w:val="22"/>
          <w:szCs w:val="22"/>
        </w:rPr>
        <w:t>The ethical concern that using race in the underlying GFR equation is increasingly discouraged in current clinical practice.</w:t>
      </w:r>
    </w:p>
    <w:p w14:paraId="50D3CF3E">
      <w:pPr>
        <w:pStyle w:val="16"/>
        <w:numPr>
          <w:ilvl w:val="0"/>
          <w:numId w:val="1"/>
        </w:numPr>
        <w:spacing w:after="120"/>
      </w:pPr>
      <w:r>
        <w:rPr>
          <w:rFonts w:ascii="Calibri" w:hAnsi="Calibri" w:eastAsia="Calibri" w:cs="Calibri"/>
          <w:sz w:val="22"/>
          <w:szCs w:val="22"/>
        </w:rPr>
        <w:t>The need for regulatory and clinical validation before any diagnostic-adjacent tool is deployed.</w:t>
      </w:r>
    </w:p>
    <w:p w14:paraId="7460BCB0">
      <w:pPr>
        <w:pStyle w:val="16"/>
        <w:numPr>
          <w:ilvl w:val="0"/>
          <w:numId w:val="1"/>
        </w:numPr>
        <w:spacing w:after="120"/>
      </w:pPr>
      <w:r>
        <w:rPr>
          <w:rFonts w:ascii="Calibri" w:hAnsi="Calibri" w:eastAsia="Calibri" w:cs="Calibri"/>
          <w:sz w:val="22"/>
          <w:szCs w:val="22"/>
        </w:rPr>
        <w:t>The general challenge of keeping a static, retrained-in-WEKA model current as clinical guidelines and reference equations evolve.</w:t>
      </w:r>
    </w:p>
    <w:p w14:paraId="6894776A">
      <w:pPr>
        <w:pStyle w:val="2"/>
        <w:spacing w:before="280" w:after="160"/>
      </w:pPr>
      <w:r>
        <w:t>Task 4: Reflection and Learning Outcome</w:t>
      </w:r>
    </w:p>
    <w:p w14:paraId="7EE7AB5B">
      <w:pPr>
        <w:pStyle w:val="3"/>
        <w:spacing w:before="280" w:after="160"/>
      </w:pPr>
      <w:r>
        <w:t>(a) Three Key Insights</w:t>
      </w:r>
    </w:p>
    <w:p w14:paraId="64A6D692">
      <w:pPr>
        <w:pStyle w:val="16"/>
        <w:numPr>
          <w:ilvl w:val="0"/>
          <w:numId w:val="1"/>
        </w:numPr>
        <w:spacing w:after="120"/>
      </w:pPr>
      <w:r>
        <w:rPr>
          <w:rFonts w:ascii="Calibri" w:hAnsi="Calibri" w:eastAsia="Calibri" w:cs="Calibri"/>
          <w:sz w:val="22"/>
          <w:szCs w:val="22"/>
        </w:rPr>
        <w:t>Insight 1 — Decision-tree induction in practice: J48's information-gain-driven, top-down tree construction is a direct, real-world instance of the decision-tree induction algorithm covered in CO4; seeing it applied to a genuine multiclass medical problem clarified how the abstract 'choose the attribute with highest information gain' rule plays out on real, noisy clinical data.</w:t>
      </w:r>
    </w:p>
    <w:p w14:paraId="063FFB2C">
      <w:pPr>
        <w:pStyle w:val="16"/>
        <w:numPr>
          <w:ilvl w:val="0"/>
          <w:numId w:val="1"/>
        </w:numPr>
        <w:spacing w:after="120"/>
      </w:pPr>
      <w:r>
        <w:rPr>
          <w:rFonts w:ascii="Calibri" w:hAnsi="Calibri" w:eastAsia="Calibri" w:cs="Calibri"/>
          <w:sz w:val="22"/>
          <w:szCs w:val="22"/>
        </w:rPr>
        <w:t>Insight 2 — Ensembles are not automatically better: Random Forest, an ensemble/inductive-learning extension of decision trees, actually underperformed a single J48 tree here. This reinforced that ensemble methods trade a small dataset's signal for reduced variance, and are not a guaranteed accuracy upgrade — a nuance not always obvious from the general theory alone.</w:t>
      </w:r>
    </w:p>
    <w:p w14:paraId="76A0609D">
      <w:pPr>
        <w:pStyle w:val="16"/>
        <w:numPr>
          <w:ilvl w:val="0"/>
          <w:numId w:val="1"/>
        </w:numPr>
        <w:spacing w:after="120"/>
      </w:pPr>
      <w:r>
        <w:rPr>
          <w:rFonts w:ascii="Calibri" w:hAnsi="Calibri" w:eastAsia="Calibri" w:cs="Calibri"/>
          <w:sz w:val="22"/>
          <w:szCs w:val="22"/>
        </w:rPr>
        <w:t>Insight 3 — Accuracy alone can mislead in classification/decision-making: the gap between high per-stage accuracy and much lower sensitivity for minority classes was a concrete illustration of why CO4's emphasis on multiple evaluation metrics (sensitivity, specificity, F-measure, ROC) matters — a model can look strong on one number and still fail the patients in the minority classes.</w:t>
      </w:r>
    </w:p>
    <w:p w14:paraId="16356D14">
      <w:pPr>
        <w:pStyle w:val="3"/>
        <w:spacing w:before="280" w:after="160"/>
      </w:pPr>
      <w:r>
        <w:t>(b) Proposed Extension</w:t>
      </w:r>
    </w:p>
    <w:p w14:paraId="2A5AF208">
      <w:pPr>
        <w:spacing w:after="160"/>
      </w:pPr>
      <w:r>
        <w:rPr>
          <w:rFonts w:ascii="Calibri" w:hAnsi="Calibri" w:eastAsia="Calibri" w:cs="Calibri"/>
          <w:b/>
          <w:bCs/>
          <w:sz w:val="22"/>
          <w:szCs w:val="22"/>
        </w:rPr>
        <w:t xml:space="preserve">Proposed experiment: </w:t>
      </w:r>
      <w:r>
        <w:rPr>
          <w:rFonts w:ascii="Calibri" w:hAnsi="Calibri" w:eastAsia="Calibri" w:cs="Calibri"/>
          <w:sz w:val="22"/>
          <w:szCs w:val="22"/>
        </w:rPr>
        <w:t>Retrain the same problem using a gradient-boosted decision-tree ensemble (e.g., XGBoost or LightGBM) combined with a class-balancing technique such as SMOTE oversampling for the low-sensitivity minority stages (Stage 1 and Stage 5), evaluated on a larger, pooled dataset that merges the original UCI CKD records with a newer public CKD dataset (several have been released since 2021) to increase sample size and demographic diversity.</w:t>
      </w:r>
    </w:p>
    <w:p w14:paraId="11D58508">
      <w:pPr>
        <w:spacing w:after="160"/>
      </w:pPr>
      <w:r>
        <w:rPr>
          <w:rFonts w:ascii="Calibri" w:hAnsi="Calibri" w:eastAsia="Calibri" w:cs="Calibri"/>
          <w:b/>
          <w:bCs/>
          <w:sz w:val="22"/>
          <w:szCs w:val="22"/>
        </w:rPr>
        <w:t xml:space="preserve">Feasibility: </w:t>
      </w:r>
      <w:r>
        <w:rPr>
          <w:rFonts w:ascii="Calibri" w:hAnsi="Calibri" w:eastAsia="Calibri" w:cs="Calibri"/>
          <w:sz w:val="22"/>
          <w:szCs w:val="22"/>
        </w:rPr>
        <w:t>Both gradient boosting and SMOTE are lightweight, well-supported techniques that run comfortably on the same desktop-class hardware the original study used, so the computational barrier is minimal. Pooling public datasets is realistic since several CKD datasets have been released publicly in the years since this article was published.</w:t>
      </w:r>
    </w:p>
    <w:p w14:paraId="0C4D350E">
      <w:pPr>
        <w:spacing w:after="160"/>
      </w:pPr>
      <w:r>
        <w:rPr>
          <w:rFonts w:ascii="Calibri" w:hAnsi="Calibri" w:eastAsia="Calibri" w:cs="Calibri"/>
          <w:b/>
          <w:bCs/>
          <w:sz w:val="22"/>
          <w:szCs w:val="22"/>
        </w:rPr>
        <w:t xml:space="preserve">Expected impact: </w:t>
      </w:r>
      <w:r>
        <w:rPr>
          <w:rFonts w:ascii="Calibri" w:hAnsi="Calibri" w:eastAsia="Calibri" w:cs="Calibri"/>
          <w:sz w:val="22"/>
          <w:szCs w:val="22"/>
        </w:rPr>
        <w:t>This should directly target the article's own weakest point — poor sensitivity for early-stage (Stage 1) and end-stage (Stage 5) CKD, the two clinically highest-value detections (catching the disease early, and correctly flagging patients who need urgent dialysis planning). Even a modest sensitivity gain in these two classes would meaningfully increase the tool's real-world clinical value, at the cost of some interpretability if boosting replaces the single J48 tree.</w:t>
      </w:r>
    </w:p>
    <w:p w14:paraId="28B60AB5">
      <w:pPr>
        <w:pStyle w:val="2"/>
        <w:spacing w:before="280" w:after="160"/>
      </w:pPr>
      <w:r>
        <w:t>Rubric Self-Check</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200"/>
        <w:gridCol w:w="5300"/>
      </w:tblGrid>
      <w:tr w14:paraId="3D95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80" w:type="dxa"/>
              <w:left w:w="100" w:type="dxa"/>
              <w:bottom w:w="80" w:type="dxa"/>
              <w:right w:w="100" w:type="dxa"/>
            </w:tcMar>
          </w:tcPr>
          <w:p w14:paraId="3B65AC97">
            <w:pPr>
              <w:jc w:val="left"/>
            </w:pPr>
            <w:r>
              <w:rPr>
                <w:rFonts w:ascii="Calibri" w:hAnsi="Calibri" w:eastAsia="Calibri" w:cs="Calibri"/>
                <w:b/>
                <w:bCs/>
                <w:sz w:val="20"/>
                <w:szCs w:val="20"/>
              </w:rPr>
              <w:t>Criteria</w:t>
            </w:r>
          </w:p>
        </w:tc>
        <w:tc>
          <w:tcPr>
            <w:tcW w:w="1200" w:type="dxa"/>
            <w:shd w:val="clear" w:color="auto" w:fill="D9D9D9"/>
            <w:tcMar>
              <w:top w:w="80" w:type="dxa"/>
              <w:left w:w="100" w:type="dxa"/>
              <w:bottom w:w="80" w:type="dxa"/>
              <w:right w:w="100" w:type="dxa"/>
            </w:tcMar>
          </w:tcPr>
          <w:p w14:paraId="23BA1DC7">
            <w:pPr>
              <w:jc w:val="left"/>
            </w:pPr>
            <w:r>
              <w:rPr>
                <w:rFonts w:ascii="Calibri" w:hAnsi="Calibri" w:eastAsia="Calibri" w:cs="Calibri"/>
                <w:b/>
                <w:bCs/>
                <w:sz w:val="20"/>
                <w:szCs w:val="20"/>
              </w:rPr>
              <w:t>Weight</w:t>
            </w:r>
          </w:p>
        </w:tc>
        <w:tc>
          <w:tcPr>
            <w:tcW w:w="5300" w:type="dxa"/>
            <w:shd w:val="clear" w:color="auto" w:fill="D9D9D9"/>
            <w:tcMar>
              <w:top w:w="80" w:type="dxa"/>
              <w:left w:w="100" w:type="dxa"/>
              <w:bottom w:w="80" w:type="dxa"/>
              <w:right w:w="100" w:type="dxa"/>
            </w:tcMar>
          </w:tcPr>
          <w:p w14:paraId="6753F0DF">
            <w:pPr>
              <w:jc w:val="left"/>
            </w:pPr>
            <w:r>
              <w:rPr>
                <w:rFonts w:ascii="Calibri" w:hAnsi="Calibri" w:eastAsia="Calibri" w:cs="Calibri"/>
                <w:b/>
                <w:bCs/>
                <w:sz w:val="20"/>
                <w:szCs w:val="20"/>
              </w:rPr>
              <w:t>How this review addresses it</w:t>
            </w:r>
          </w:p>
        </w:tc>
      </w:tr>
      <w:tr w14:paraId="306A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E4B1D65">
            <w:pPr>
              <w:jc w:val="left"/>
            </w:pPr>
            <w:r>
              <w:rPr>
                <w:rFonts w:ascii="Calibri" w:hAnsi="Calibri" w:eastAsia="Calibri" w:cs="Calibri"/>
                <w:b w:val="0"/>
                <w:bCs w:val="0"/>
                <w:sz w:val="20"/>
                <w:szCs w:val="20"/>
              </w:rPr>
              <w:t>Understanding of Article</w:t>
            </w:r>
          </w:p>
        </w:tc>
        <w:tc>
          <w:tcPr>
            <w:tcW w:w="1200" w:type="dxa"/>
            <w:tcMar>
              <w:top w:w="80" w:type="dxa"/>
              <w:left w:w="100" w:type="dxa"/>
              <w:bottom w:w="80" w:type="dxa"/>
              <w:right w:w="100" w:type="dxa"/>
            </w:tcMar>
          </w:tcPr>
          <w:p w14:paraId="195F6084">
            <w:pPr>
              <w:jc w:val="left"/>
            </w:pPr>
            <w:r>
              <w:rPr>
                <w:rFonts w:ascii="Calibri" w:hAnsi="Calibri" w:eastAsia="Calibri" w:cs="Calibri"/>
                <w:b w:val="0"/>
                <w:bCs w:val="0"/>
                <w:sz w:val="20"/>
                <w:szCs w:val="20"/>
              </w:rPr>
              <w:t>20%</w:t>
            </w:r>
          </w:p>
        </w:tc>
        <w:tc>
          <w:tcPr>
            <w:tcW w:w="5300" w:type="dxa"/>
            <w:tcMar>
              <w:top w:w="80" w:type="dxa"/>
              <w:left w:w="100" w:type="dxa"/>
              <w:bottom w:w="80" w:type="dxa"/>
              <w:right w:w="100" w:type="dxa"/>
            </w:tcMar>
          </w:tcPr>
          <w:p w14:paraId="2707000D">
            <w:pPr>
              <w:jc w:val="left"/>
            </w:pPr>
            <w:r>
              <w:rPr>
                <w:rFonts w:ascii="Calibri" w:hAnsi="Calibri" w:eastAsia="Calibri" w:cs="Calibri"/>
                <w:b w:val="0"/>
                <w:bCs w:val="0"/>
                <w:sz w:val="20"/>
                <w:szCs w:val="20"/>
              </w:rPr>
              <w:t>Explains the CKD staging problem, the GFR/CKD-EPI preprocessing step, and why J48 and Random Forest were chosen.</w:t>
            </w:r>
          </w:p>
        </w:tc>
      </w:tr>
      <w:tr w14:paraId="391D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BB1AD10">
            <w:pPr>
              <w:jc w:val="left"/>
            </w:pPr>
            <w:r>
              <w:rPr>
                <w:rFonts w:ascii="Calibri" w:hAnsi="Calibri" w:eastAsia="Calibri" w:cs="Calibri"/>
                <w:b w:val="0"/>
                <w:bCs w:val="0"/>
                <w:sz w:val="20"/>
                <w:szCs w:val="20"/>
              </w:rPr>
              <w:t>Summary</w:t>
            </w:r>
          </w:p>
        </w:tc>
        <w:tc>
          <w:tcPr>
            <w:tcW w:w="1200" w:type="dxa"/>
            <w:tcMar>
              <w:top w:w="80" w:type="dxa"/>
              <w:left w:w="100" w:type="dxa"/>
              <w:bottom w:w="80" w:type="dxa"/>
              <w:right w:w="100" w:type="dxa"/>
            </w:tcMar>
          </w:tcPr>
          <w:p w14:paraId="67868043">
            <w:pPr>
              <w:jc w:val="left"/>
            </w:pPr>
            <w:r>
              <w:rPr>
                <w:rFonts w:ascii="Calibri" w:hAnsi="Calibri" w:eastAsia="Calibri" w:cs="Calibri"/>
                <w:b w:val="0"/>
                <w:bCs w:val="0"/>
                <w:sz w:val="20"/>
                <w:szCs w:val="20"/>
              </w:rPr>
              <w:t>20%</w:t>
            </w:r>
          </w:p>
        </w:tc>
        <w:tc>
          <w:tcPr>
            <w:tcW w:w="5300" w:type="dxa"/>
            <w:tcMar>
              <w:top w:w="80" w:type="dxa"/>
              <w:left w:w="100" w:type="dxa"/>
              <w:bottom w:w="80" w:type="dxa"/>
              <w:right w:w="100" w:type="dxa"/>
            </w:tcMar>
          </w:tcPr>
          <w:p w14:paraId="7ACFA6DB">
            <w:pPr>
              <w:jc w:val="left"/>
            </w:pPr>
            <w:r>
              <w:rPr>
                <w:rFonts w:ascii="Calibri" w:hAnsi="Calibri" w:eastAsia="Calibri" w:cs="Calibri"/>
                <w:b w:val="0"/>
                <w:bCs w:val="0"/>
                <w:sz w:val="20"/>
                <w:szCs w:val="20"/>
              </w:rPr>
              <w:t>Task 1(b) gives a 150-200 word original-wording summary covering objective and research gap.</w:t>
            </w:r>
          </w:p>
        </w:tc>
      </w:tr>
      <w:tr w14:paraId="4F26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4C38260">
            <w:pPr>
              <w:jc w:val="left"/>
            </w:pPr>
            <w:r>
              <w:rPr>
                <w:rFonts w:ascii="Calibri" w:hAnsi="Calibri" w:eastAsia="Calibri" w:cs="Calibri"/>
                <w:b w:val="0"/>
                <w:bCs w:val="0"/>
                <w:sz w:val="20"/>
                <w:szCs w:val="20"/>
              </w:rPr>
              <w:t>Critical Analysis</w:t>
            </w:r>
          </w:p>
        </w:tc>
        <w:tc>
          <w:tcPr>
            <w:tcW w:w="1200" w:type="dxa"/>
            <w:tcMar>
              <w:top w:w="80" w:type="dxa"/>
              <w:left w:w="100" w:type="dxa"/>
              <w:bottom w:w="80" w:type="dxa"/>
              <w:right w:w="100" w:type="dxa"/>
            </w:tcMar>
          </w:tcPr>
          <w:p w14:paraId="4356B65B">
            <w:pPr>
              <w:jc w:val="left"/>
            </w:pPr>
            <w:r>
              <w:rPr>
                <w:rFonts w:ascii="Calibri" w:hAnsi="Calibri" w:eastAsia="Calibri" w:cs="Calibri"/>
                <w:b w:val="0"/>
                <w:bCs w:val="0"/>
                <w:sz w:val="20"/>
                <w:szCs w:val="20"/>
              </w:rPr>
              <w:t>25%</w:t>
            </w:r>
          </w:p>
        </w:tc>
        <w:tc>
          <w:tcPr>
            <w:tcW w:w="5300" w:type="dxa"/>
            <w:tcMar>
              <w:top w:w="80" w:type="dxa"/>
              <w:left w:w="100" w:type="dxa"/>
              <w:bottom w:w="80" w:type="dxa"/>
              <w:right w:w="100" w:type="dxa"/>
            </w:tcMar>
          </w:tcPr>
          <w:p w14:paraId="18E93E75">
            <w:pPr>
              <w:jc w:val="left"/>
            </w:pPr>
            <w:r>
              <w:rPr>
                <w:rFonts w:ascii="Calibri" w:hAnsi="Calibri" w:eastAsia="Calibri" w:cs="Calibri"/>
                <w:b w:val="0"/>
                <w:bCs w:val="0"/>
                <w:sz w:val="20"/>
                <w:szCs w:val="20"/>
              </w:rPr>
              <w:t>Task 3(b) questions the realism of the metrics, flags class-imbalance/small-sample bias, and proposes concrete follow-up experiments.</w:t>
            </w:r>
          </w:p>
        </w:tc>
      </w:tr>
      <w:tr w14:paraId="5F41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85E1316">
            <w:pPr>
              <w:jc w:val="left"/>
            </w:pPr>
            <w:r>
              <w:rPr>
                <w:rFonts w:ascii="Calibri" w:hAnsi="Calibri" w:eastAsia="Calibri" w:cs="Calibri"/>
                <w:b w:val="0"/>
                <w:bCs w:val="0"/>
                <w:sz w:val="20"/>
                <w:szCs w:val="20"/>
              </w:rPr>
              <w:t>Use of Evidence</w:t>
            </w:r>
          </w:p>
        </w:tc>
        <w:tc>
          <w:tcPr>
            <w:tcW w:w="1200" w:type="dxa"/>
            <w:tcMar>
              <w:top w:w="80" w:type="dxa"/>
              <w:left w:w="100" w:type="dxa"/>
              <w:bottom w:w="80" w:type="dxa"/>
              <w:right w:w="100" w:type="dxa"/>
            </w:tcMar>
          </w:tcPr>
          <w:p w14:paraId="5C373F75">
            <w:pPr>
              <w:jc w:val="left"/>
            </w:pPr>
            <w:r>
              <w:rPr>
                <w:rFonts w:ascii="Calibri" w:hAnsi="Calibri" w:eastAsia="Calibri" w:cs="Calibri"/>
                <w:b w:val="0"/>
                <w:bCs w:val="0"/>
                <w:sz w:val="20"/>
                <w:szCs w:val="20"/>
              </w:rPr>
              <w:t>15%</w:t>
            </w:r>
          </w:p>
        </w:tc>
        <w:tc>
          <w:tcPr>
            <w:tcW w:w="5300" w:type="dxa"/>
            <w:tcMar>
              <w:top w:w="80" w:type="dxa"/>
              <w:left w:w="100" w:type="dxa"/>
              <w:bottom w:w="80" w:type="dxa"/>
              <w:right w:w="100" w:type="dxa"/>
            </w:tcMar>
          </w:tcPr>
          <w:p w14:paraId="0850802E">
            <w:pPr>
              <w:jc w:val="left"/>
            </w:pPr>
            <w:r>
              <w:rPr>
                <w:rFonts w:ascii="Calibri" w:hAnsi="Calibri" w:eastAsia="Calibri" w:cs="Calibri"/>
                <w:b w:val="0"/>
                <w:bCs w:val="0"/>
                <w:sz w:val="20"/>
                <w:szCs w:val="20"/>
              </w:rPr>
              <w:t>Stage-wise results table and a prior-work comparison table, both drawn from the article's reported figures.</w:t>
            </w:r>
          </w:p>
        </w:tc>
      </w:tr>
      <w:tr w14:paraId="565D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5BFC96B">
            <w:pPr>
              <w:jc w:val="left"/>
            </w:pPr>
            <w:r>
              <w:rPr>
                <w:rFonts w:ascii="Calibri" w:hAnsi="Calibri" w:eastAsia="Calibri" w:cs="Calibri"/>
                <w:b w:val="0"/>
                <w:bCs w:val="0"/>
                <w:sz w:val="20"/>
                <w:szCs w:val="20"/>
              </w:rPr>
              <w:t>Organization</w:t>
            </w:r>
          </w:p>
        </w:tc>
        <w:tc>
          <w:tcPr>
            <w:tcW w:w="1200" w:type="dxa"/>
            <w:tcMar>
              <w:top w:w="80" w:type="dxa"/>
              <w:left w:w="100" w:type="dxa"/>
              <w:bottom w:w="80" w:type="dxa"/>
              <w:right w:w="100" w:type="dxa"/>
            </w:tcMar>
          </w:tcPr>
          <w:p w14:paraId="7A98DB84">
            <w:pPr>
              <w:jc w:val="left"/>
            </w:pPr>
            <w:r>
              <w:rPr>
                <w:rFonts w:ascii="Calibri" w:hAnsi="Calibri" w:eastAsia="Calibri" w:cs="Calibri"/>
                <w:b w:val="0"/>
                <w:bCs w:val="0"/>
                <w:sz w:val="20"/>
                <w:szCs w:val="20"/>
              </w:rPr>
              <w:t>20%</w:t>
            </w:r>
          </w:p>
        </w:tc>
        <w:tc>
          <w:tcPr>
            <w:tcW w:w="5300" w:type="dxa"/>
            <w:tcMar>
              <w:top w:w="80" w:type="dxa"/>
              <w:left w:w="100" w:type="dxa"/>
              <w:bottom w:w="80" w:type="dxa"/>
              <w:right w:w="100" w:type="dxa"/>
            </w:tcMar>
          </w:tcPr>
          <w:p w14:paraId="545EA6F0">
            <w:pPr>
              <w:jc w:val="left"/>
            </w:pPr>
            <w:r>
              <w:rPr>
                <w:rFonts w:ascii="Calibri" w:hAnsi="Calibri" w:eastAsia="Calibri" w:cs="Calibri"/>
                <w:b w:val="0"/>
                <w:bCs w:val="0"/>
                <w:sz w:val="20"/>
                <w:szCs w:val="20"/>
              </w:rPr>
              <w:t>Structured under the four prescribed tasks with clear sub-headings (a), (b), (c).</w:t>
            </w:r>
          </w:p>
        </w:tc>
      </w:tr>
    </w:tbl>
    <w:p w14:paraId="21949F8A"/>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isplayBackgroundShape w:val="1"/>
  <w:documentProtection w:enforcement="0"/>
  <w:compat>
    <w:compatSetting w:name="compatibilityMode" w:uri="http://schemas.microsoft.com/office/word" w:val="15"/>
  </w:compat>
  <w:rsids>
    <w:rsidRoot w:val="00000000"/>
    <w:rsid w:val="03CE7AEF"/>
    <w:rsid w:val="6DEF55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2026-08-19T08:21:00Z</dcterms:created>
  <dc:creator>Un-named</dc:creator>
  <cp:lastModifiedBy>Akhil Reddy</cp:lastModifiedBy>
  <dcterms:modified xsi:type="dcterms:W3CDTF">2026-08-19T09:03:12Z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2690FFD13C5E490F9A77D5AD0EDBDC99_13</vt:lpwstr>
  </property>
</Properties>
</file>