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7FA34" w14:textId="08127974" w:rsidR="009D6FAE" w:rsidRPr="00103A34" w:rsidRDefault="009D6FAE">
      <w:pPr>
        <w:rPr>
          <w:rFonts w:ascii="Times New Roman" w:hAnsi="Times New Roman" w:cs="Times New Roman"/>
          <w:sz w:val="28"/>
          <w:szCs w:val="28"/>
        </w:rPr>
      </w:pPr>
    </w:p>
    <w:p w14:paraId="0941A718" w14:textId="1DEDCD4B" w:rsidR="00103A34" w:rsidRDefault="00103A34" w:rsidP="00103A34">
      <w:pPr>
        <w:pStyle w:val="Heading1"/>
        <w:jc w:val="center"/>
        <w:rPr>
          <w:rFonts w:ascii="Times New Roman" w:hAnsi="Times New Roman" w:cs="Times New Roman"/>
          <w:color w:val="auto"/>
          <w:sz w:val="28"/>
        </w:rPr>
      </w:pPr>
      <w:r>
        <w:rPr>
          <w:rFonts w:ascii="Times New Roman" w:hAnsi="Times New Roman" w:cs="Times New Roman"/>
          <w:color w:val="auto"/>
          <w:sz w:val="28"/>
        </w:rPr>
        <w:t xml:space="preserve">Title: </w:t>
      </w:r>
      <w:r w:rsidRPr="00103A34">
        <w:rPr>
          <w:rFonts w:ascii="Times New Roman" w:hAnsi="Times New Roman" w:cs="Times New Roman"/>
          <w:color w:val="auto"/>
          <w:sz w:val="28"/>
        </w:rPr>
        <w:t>Standards-Compliant Optical Fiber Link Design: From Communication Requirement to Deployment Decision</w:t>
      </w:r>
    </w:p>
    <w:p w14:paraId="15E667F9" w14:textId="233D7F19" w:rsidR="009D6FAE" w:rsidRPr="00103A34" w:rsidRDefault="00000000">
      <w:pPr>
        <w:pStyle w:val="Heading1"/>
        <w:rPr>
          <w:rFonts w:ascii="Times New Roman" w:hAnsi="Times New Roman" w:cs="Times New Roman"/>
          <w:color w:val="auto"/>
          <w:sz w:val="28"/>
        </w:rPr>
      </w:pPr>
      <w:r w:rsidRPr="00103A34">
        <w:rPr>
          <w:rFonts w:ascii="Times New Roman" w:hAnsi="Times New Roman" w:cs="Times New Roman"/>
          <w:color w:val="auto"/>
          <w:sz w:val="28"/>
        </w:rPr>
        <w:t>Abstract</w:t>
      </w:r>
      <w:r w:rsidR="00103A34" w:rsidRPr="00103A34">
        <w:rPr>
          <w:rFonts w:ascii="Times New Roman" w:hAnsi="Times New Roman" w:cs="Times New Roman"/>
          <w:color w:val="auto"/>
          <w:sz w:val="28"/>
        </w:rPr>
        <w:t>:</w:t>
      </w:r>
    </w:p>
    <w:p w14:paraId="432F6F15" w14:textId="03A4BFBC" w:rsidR="009D6FAE" w:rsidRPr="00103A34" w:rsidRDefault="00103A34" w:rsidP="00103A34">
      <w:pPr>
        <w:jc w:val="both"/>
        <w:rPr>
          <w:rFonts w:ascii="Times New Roman" w:hAnsi="Times New Roman" w:cs="Times New Roman"/>
          <w:sz w:val="28"/>
          <w:szCs w:val="28"/>
        </w:rPr>
      </w:pPr>
      <w:r>
        <w:rPr>
          <w:rFonts w:ascii="Times New Roman" w:hAnsi="Times New Roman" w:cs="Times New Roman"/>
          <w:sz w:val="28"/>
          <w:szCs w:val="28"/>
        </w:rPr>
        <w:t xml:space="preserve">       </w:t>
      </w:r>
      <w:r w:rsidR="00000000" w:rsidRPr="00103A34">
        <w:rPr>
          <w:rFonts w:ascii="Times New Roman" w:hAnsi="Times New Roman" w:cs="Times New Roman"/>
          <w:sz w:val="28"/>
          <w:szCs w:val="28"/>
        </w:rPr>
        <w:t>This report develops a practical design for a 60 km optical-fiber link operating at 1550 nm. The design is assessed against a 10 Gb/s service requirement, a 6 dB system margin and a possible future upgrade to 100 Gb/s. Candidate step-index fibers are analysed using numerical aperture, normalized frequency and approximate guided-mode count. The link budget includes fiber attenuation, connectors, splices and the building-entry bend. Chromatic dispersion, dispersion-compensating fiber (DCF), polarization-mode dispersion (PMD), birefringence and optical signal-to-noise ratio (OSNR) are then evaluated. The calculations show that a single-mode ITU-T G.652.D transmission fiber with a G.657.A bend-insensitive entry section is a reasonable baseline. However, the stated DCF length adds significant loss, the supplied amplifier worsens OSNR by 2 dB, and the 100 Gb/s upgrade needs a separately engineered coherent-transmission design. Therefore, the baseline is conditionally suitable for 10 Gb/s only after the power and signal-quality design is corrected and verified.</w:t>
      </w:r>
    </w:p>
    <w:p w14:paraId="0DC5583E" w14:textId="7F81C588" w:rsidR="009D6FAE" w:rsidRPr="00103A34" w:rsidRDefault="00000000" w:rsidP="00103A34">
      <w:pPr>
        <w:pStyle w:val="Heading1"/>
        <w:numPr>
          <w:ilvl w:val="0"/>
          <w:numId w:val="10"/>
        </w:numPr>
        <w:rPr>
          <w:rFonts w:ascii="Times New Roman" w:hAnsi="Times New Roman" w:cs="Times New Roman"/>
          <w:sz w:val="28"/>
        </w:rPr>
      </w:pPr>
      <w:r w:rsidRPr="00103A34">
        <w:rPr>
          <w:rFonts w:ascii="Times New Roman" w:hAnsi="Times New Roman" w:cs="Times New Roman"/>
          <w:color w:val="auto"/>
          <w:sz w:val="28"/>
        </w:rPr>
        <w:t>Aim and Objectives</w:t>
      </w:r>
    </w:p>
    <w:p w14:paraId="66D6ED4E"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Aim: To create and evaluate a standards-based 60 km optical-fiber communication link that can reliably carry 10 Gb/s traffic and provide a technically credible route toward 100 Gb/s.</w:t>
      </w:r>
    </w:p>
    <w:p w14:paraId="5E5ABEAC"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Calculate the light-acceptance and modal parameters of the two candidate fibers.</w:t>
      </w:r>
    </w:p>
    <w:p w14:paraId="5A51B78E"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Select a suitable single-mode fiber category for long-distance, high-speed transmission.</w:t>
      </w:r>
    </w:p>
    <w:p w14:paraId="0BFBB215"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Calculate fiber, connector, splice and bend losses and check the receiver power margin.</w:t>
      </w:r>
    </w:p>
    <w:p w14:paraId="51EB8DE5"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Evaluate chromatic dispersion, DCF length and loss, PMD and birefringence.</w:t>
      </w:r>
    </w:p>
    <w:p w14:paraId="54AF61DB"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Calculate OSNR before and after the proposed amplifier and decide whether the strategy is acceptable.</w:t>
      </w:r>
    </w:p>
    <w:p w14:paraId="6749FC54"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Integrate the decisions into a final design, verification table and deployment recommendation.</w:t>
      </w:r>
    </w:p>
    <w:p w14:paraId="438A1467" w14:textId="77777777" w:rsidR="00103A34" w:rsidRDefault="00103A34">
      <w:pPr>
        <w:pStyle w:val="Heading1"/>
        <w:rPr>
          <w:rFonts w:ascii="Times New Roman" w:hAnsi="Times New Roman" w:cs="Times New Roman"/>
          <w:sz w:val="28"/>
        </w:rPr>
      </w:pPr>
    </w:p>
    <w:p w14:paraId="1C620054" w14:textId="06DC1123" w:rsidR="009D6FAE" w:rsidRPr="00103A34" w:rsidRDefault="00000000">
      <w:pPr>
        <w:pStyle w:val="Heading1"/>
        <w:rPr>
          <w:rFonts w:ascii="Times New Roman" w:hAnsi="Times New Roman" w:cs="Times New Roman"/>
          <w:color w:val="auto"/>
          <w:sz w:val="28"/>
        </w:rPr>
      </w:pPr>
      <w:r w:rsidRPr="00103A34">
        <w:rPr>
          <w:rFonts w:ascii="Times New Roman" w:hAnsi="Times New Roman" w:cs="Times New Roman"/>
          <w:color w:val="auto"/>
          <w:sz w:val="28"/>
        </w:rPr>
        <w:t>2. Given Design Specifications</w:t>
      </w:r>
    </w:p>
    <w:tbl>
      <w:tblPr>
        <w:tblStyle w:val="TableGrid"/>
        <w:tblW w:w="0" w:type="auto"/>
        <w:jc w:val="center"/>
        <w:tblLook w:val="04A0" w:firstRow="1" w:lastRow="0" w:firstColumn="1" w:lastColumn="0" w:noHBand="0" w:noVBand="1"/>
      </w:tblPr>
      <w:tblGrid>
        <w:gridCol w:w="3136"/>
        <w:gridCol w:w="6934"/>
      </w:tblGrid>
      <w:tr w:rsidR="009D6FAE" w:rsidRPr="00103A34" w14:paraId="630BDC46" w14:textId="77777777">
        <w:trPr>
          <w:cantSplit/>
          <w:jc w:val="center"/>
        </w:trPr>
        <w:tc>
          <w:tcPr>
            <w:tcW w:w="3168" w:type="dxa"/>
            <w:shd w:val="clear" w:color="auto" w:fill="D9EAF7"/>
            <w:vAlign w:val="center"/>
          </w:tcPr>
          <w:p w14:paraId="76B359E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Parameter</w:t>
            </w:r>
          </w:p>
        </w:tc>
        <w:tc>
          <w:tcPr>
            <w:tcW w:w="7056" w:type="dxa"/>
            <w:shd w:val="clear" w:color="auto" w:fill="D9EAF7"/>
            <w:vAlign w:val="center"/>
          </w:tcPr>
          <w:p w14:paraId="598BCB8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Given value</w:t>
            </w:r>
          </w:p>
        </w:tc>
      </w:tr>
      <w:tr w:rsidR="009D6FAE" w:rsidRPr="00103A34" w14:paraId="2F9A05BA" w14:textId="77777777">
        <w:trPr>
          <w:cantSplit/>
          <w:jc w:val="center"/>
        </w:trPr>
        <w:tc>
          <w:tcPr>
            <w:tcW w:w="3168" w:type="dxa"/>
            <w:vAlign w:val="center"/>
          </w:tcPr>
          <w:p w14:paraId="590E484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Transmission distance / wavelength</w:t>
            </w:r>
          </w:p>
        </w:tc>
        <w:tc>
          <w:tcPr>
            <w:tcW w:w="7056" w:type="dxa"/>
            <w:vAlign w:val="center"/>
          </w:tcPr>
          <w:p w14:paraId="4A0BCC72" w14:textId="77777777" w:rsidR="009D6FAE"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60 km / 1550 nm</w:t>
            </w:r>
          </w:p>
          <w:p w14:paraId="13F81714" w14:textId="77777777" w:rsidR="00103A34" w:rsidRPr="00103A34" w:rsidRDefault="00103A34" w:rsidP="00103A34">
            <w:pPr>
              <w:rPr>
                <w:rFonts w:ascii="Times New Roman" w:hAnsi="Times New Roman" w:cs="Times New Roman"/>
                <w:sz w:val="28"/>
                <w:szCs w:val="28"/>
              </w:rPr>
            </w:pPr>
          </w:p>
        </w:tc>
      </w:tr>
      <w:tr w:rsidR="009D6FAE" w:rsidRPr="00103A34" w14:paraId="79A06A9D" w14:textId="77777777">
        <w:trPr>
          <w:cantSplit/>
          <w:jc w:val="center"/>
        </w:trPr>
        <w:tc>
          <w:tcPr>
            <w:tcW w:w="3168" w:type="dxa"/>
            <w:vAlign w:val="center"/>
          </w:tcPr>
          <w:p w14:paraId="42DA718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Data rate and future upgrade</w:t>
            </w:r>
          </w:p>
        </w:tc>
        <w:tc>
          <w:tcPr>
            <w:tcW w:w="7056" w:type="dxa"/>
            <w:vAlign w:val="center"/>
          </w:tcPr>
          <w:p w14:paraId="51425AC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10 Gb/s now; 100 Gb/s planned</w:t>
            </w:r>
          </w:p>
        </w:tc>
      </w:tr>
      <w:tr w:rsidR="009D6FAE" w:rsidRPr="00103A34" w14:paraId="17126F47" w14:textId="77777777">
        <w:trPr>
          <w:cantSplit/>
          <w:jc w:val="center"/>
        </w:trPr>
        <w:tc>
          <w:tcPr>
            <w:tcW w:w="3168" w:type="dxa"/>
            <w:vAlign w:val="center"/>
          </w:tcPr>
          <w:p w14:paraId="1A26F45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Fiber A</w:t>
            </w:r>
          </w:p>
        </w:tc>
        <w:tc>
          <w:tcPr>
            <w:tcW w:w="7056" w:type="dxa"/>
            <w:vAlign w:val="center"/>
          </w:tcPr>
          <w:p w14:paraId="63783EE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Step-index; n₁ = 1.4500, n₂ = 1.4450, a = 4.0 μm</w:t>
            </w:r>
          </w:p>
        </w:tc>
      </w:tr>
      <w:tr w:rsidR="009D6FAE" w:rsidRPr="00103A34" w14:paraId="1B4B6395" w14:textId="77777777">
        <w:trPr>
          <w:cantSplit/>
          <w:jc w:val="center"/>
        </w:trPr>
        <w:tc>
          <w:tcPr>
            <w:tcW w:w="3168" w:type="dxa"/>
            <w:vAlign w:val="center"/>
          </w:tcPr>
          <w:p w14:paraId="3943A938"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Fiber B</w:t>
            </w:r>
          </w:p>
        </w:tc>
        <w:tc>
          <w:tcPr>
            <w:tcW w:w="7056" w:type="dxa"/>
            <w:vAlign w:val="center"/>
          </w:tcPr>
          <w:p w14:paraId="73BFAC8C"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Step-index; n₁ = 1.480, n₂ = 1.465, a = 25 μm</w:t>
            </w:r>
          </w:p>
        </w:tc>
      </w:tr>
      <w:tr w:rsidR="009D6FAE" w:rsidRPr="00103A34" w14:paraId="4AA00415" w14:textId="77777777">
        <w:trPr>
          <w:cantSplit/>
          <w:jc w:val="center"/>
        </w:trPr>
        <w:tc>
          <w:tcPr>
            <w:tcW w:w="3168" w:type="dxa"/>
            <w:vAlign w:val="center"/>
          </w:tcPr>
          <w:p w14:paraId="3638142F"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Specified fiber-loss components</w:t>
            </w:r>
          </w:p>
        </w:tc>
        <w:tc>
          <w:tcPr>
            <w:tcW w:w="7056" w:type="dxa"/>
            <w:vAlign w:val="center"/>
          </w:tcPr>
          <w:p w14:paraId="206B2CB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Absorption 0.04 dB/km; Rayleigh scattering 0.11 dB/km; distributed bending 0.03 dB/km</w:t>
            </w:r>
          </w:p>
        </w:tc>
      </w:tr>
      <w:tr w:rsidR="009D6FAE" w:rsidRPr="00103A34" w14:paraId="0991C3A2" w14:textId="77777777">
        <w:trPr>
          <w:cantSplit/>
          <w:jc w:val="center"/>
        </w:trPr>
        <w:tc>
          <w:tcPr>
            <w:tcW w:w="3168" w:type="dxa"/>
            <w:vAlign w:val="center"/>
          </w:tcPr>
          <w:p w14:paraId="77C9870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Transmitter / receiver</w:t>
            </w:r>
          </w:p>
        </w:tc>
        <w:tc>
          <w:tcPr>
            <w:tcW w:w="7056" w:type="dxa"/>
            <w:vAlign w:val="center"/>
          </w:tcPr>
          <w:p w14:paraId="094DD284"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+3 dBm / sensitivity −20 dBm</w:t>
            </w:r>
          </w:p>
        </w:tc>
      </w:tr>
      <w:tr w:rsidR="009D6FAE" w:rsidRPr="00103A34" w14:paraId="7AC681E1" w14:textId="77777777">
        <w:trPr>
          <w:cantSplit/>
          <w:jc w:val="center"/>
        </w:trPr>
        <w:tc>
          <w:tcPr>
            <w:tcW w:w="3168" w:type="dxa"/>
            <w:vAlign w:val="center"/>
          </w:tcPr>
          <w:p w14:paraId="380AE1B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Connectors and splices</w:t>
            </w:r>
          </w:p>
        </w:tc>
        <w:tc>
          <w:tcPr>
            <w:tcW w:w="7056" w:type="dxa"/>
            <w:vAlign w:val="center"/>
          </w:tcPr>
          <w:p w14:paraId="1482D8D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4 × 0.4 dB connectors; 10 × 0.08 dB splices</w:t>
            </w:r>
          </w:p>
        </w:tc>
      </w:tr>
      <w:tr w:rsidR="009D6FAE" w:rsidRPr="00103A34" w14:paraId="3BAF8C27" w14:textId="77777777">
        <w:trPr>
          <w:cantSplit/>
          <w:jc w:val="center"/>
        </w:trPr>
        <w:tc>
          <w:tcPr>
            <w:tcW w:w="3168" w:type="dxa"/>
            <w:vAlign w:val="center"/>
          </w:tcPr>
          <w:p w14:paraId="2C718EA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Building-entry bend loss</w:t>
            </w:r>
          </w:p>
        </w:tc>
        <w:tc>
          <w:tcPr>
            <w:tcW w:w="7056" w:type="dxa"/>
            <w:vAlign w:val="center"/>
          </w:tcPr>
          <w:p w14:paraId="1B7A3E2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0.8 dB for G.652.D; 0.1 dB for G.657.A</w:t>
            </w:r>
          </w:p>
        </w:tc>
      </w:tr>
      <w:tr w:rsidR="009D6FAE" w:rsidRPr="00103A34" w14:paraId="1DC4B759" w14:textId="77777777">
        <w:trPr>
          <w:cantSplit/>
          <w:jc w:val="center"/>
        </w:trPr>
        <w:tc>
          <w:tcPr>
            <w:tcW w:w="3168" w:type="dxa"/>
            <w:vAlign w:val="center"/>
          </w:tcPr>
          <w:p w14:paraId="58A0852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Chromatic dispersion</w:t>
            </w:r>
          </w:p>
        </w:tc>
        <w:tc>
          <w:tcPr>
            <w:tcW w:w="7056" w:type="dxa"/>
            <w:vAlign w:val="center"/>
          </w:tcPr>
          <w:p w14:paraId="212183A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G.652.D: 17 ps/(nm·km); G.655: 4.5 ps/(nm·km)</w:t>
            </w:r>
          </w:p>
        </w:tc>
      </w:tr>
      <w:tr w:rsidR="009D6FAE" w:rsidRPr="00103A34" w14:paraId="7A820DE5" w14:textId="77777777">
        <w:trPr>
          <w:cantSplit/>
          <w:jc w:val="center"/>
        </w:trPr>
        <w:tc>
          <w:tcPr>
            <w:tcW w:w="3168" w:type="dxa"/>
            <w:vAlign w:val="center"/>
          </w:tcPr>
          <w:p w14:paraId="1EBA99B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Source and pulse</w:t>
            </w:r>
          </w:p>
        </w:tc>
        <w:tc>
          <w:tcPr>
            <w:tcW w:w="7056" w:type="dxa"/>
            <w:vAlign w:val="center"/>
          </w:tcPr>
          <w:p w14:paraId="77A7C6C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Δλ = 0.4 nm; input pulse width = 30 ps; Tb = 100 ps at 10 Gb/s</w:t>
            </w:r>
          </w:p>
        </w:tc>
      </w:tr>
      <w:tr w:rsidR="009D6FAE" w:rsidRPr="00103A34" w14:paraId="04B8B76A" w14:textId="77777777">
        <w:trPr>
          <w:cantSplit/>
          <w:jc w:val="center"/>
        </w:trPr>
        <w:tc>
          <w:tcPr>
            <w:tcW w:w="3168" w:type="dxa"/>
            <w:vAlign w:val="center"/>
          </w:tcPr>
          <w:p w14:paraId="6A5BF43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DCF</w:t>
            </w:r>
          </w:p>
        </w:tc>
        <w:tc>
          <w:tcPr>
            <w:tcW w:w="7056" w:type="dxa"/>
            <w:vAlign w:val="center"/>
          </w:tcPr>
          <w:p w14:paraId="64B4BCB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D_DCF = −100 ps/(nm·km); attenuation = 0.5 dB/km</w:t>
            </w:r>
          </w:p>
        </w:tc>
      </w:tr>
      <w:tr w:rsidR="009D6FAE" w:rsidRPr="00103A34" w14:paraId="723D3B91" w14:textId="77777777">
        <w:trPr>
          <w:cantSplit/>
          <w:jc w:val="center"/>
        </w:trPr>
        <w:tc>
          <w:tcPr>
            <w:tcW w:w="3168" w:type="dxa"/>
            <w:vAlign w:val="center"/>
          </w:tcPr>
          <w:p w14:paraId="3D61057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PMD</w:t>
            </w:r>
          </w:p>
        </w:tc>
        <w:tc>
          <w:tcPr>
            <w:tcW w:w="7056" w:type="dxa"/>
            <w:vAlign w:val="center"/>
          </w:tcPr>
          <w:p w14:paraId="4E1AB92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Coefficient 0.1 ps/√km; limit = 0.1 Tb</w:t>
            </w:r>
          </w:p>
        </w:tc>
      </w:tr>
      <w:tr w:rsidR="009D6FAE" w:rsidRPr="00103A34" w14:paraId="727B3E73" w14:textId="77777777">
        <w:trPr>
          <w:cantSplit/>
          <w:jc w:val="center"/>
        </w:trPr>
        <w:tc>
          <w:tcPr>
            <w:tcW w:w="3168" w:type="dxa"/>
            <w:vAlign w:val="center"/>
          </w:tcPr>
          <w:p w14:paraId="3223314C"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Birefringence</w:t>
            </w:r>
          </w:p>
        </w:tc>
        <w:tc>
          <w:tcPr>
            <w:tcW w:w="7056" w:type="dxa"/>
            <w:vAlign w:val="center"/>
          </w:tcPr>
          <w:p w14:paraId="0B2701C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B = 1 × 10⁻⁷ standard fiber; B = 4 × 10⁻⁴ PM fiber</w:t>
            </w:r>
          </w:p>
        </w:tc>
      </w:tr>
      <w:tr w:rsidR="009D6FAE" w:rsidRPr="00103A34" w14:paraId="3F6964BA" w14:textId="77777777">
        <w:trPr>
          <w:cantSplit/>
          <w:jc w:val="center"/>
        </w:trPr>
        <w:tc>
          <w:tcPr>
            <w:tcW w:w="3168" w:type="dxa"/>
            <w:vAlign w:val="center"/>
          </w:tcPr>
          <w:p w14:paraId="7D17ACD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OSNR</w:t>
            </w:r>
          </w:p>
        </w:tc>
        <w:tc>
          <w:tcPr>
            <w:tcW w:w="7056" w:type="dxa"/>
            <w:vAlign w:val="center"/>
          </w:tcPr>
          <w:p w14:paraId="104EF06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Signal −16 dBm; ASE −39 dBm; required OSNR 17 dB in 0.1 nm</w:t>
            </w:r>
          </w:p>
        </w:tc>
      </w:tr>
      <w:tr w:rsidR="009D6FAE" w:rsidRPr="00103A34" w14:paraId="7BB05254" w14:textId="77777777">
        <w:trPr>
          <w:cantSplit/>
          <w:jc w:val="center"/>
        </w:trPr>
        <w:tc>
          <w:tcPr>
            <w:tcW w:w="3168" w:type="dxa"/>
            <w:vAlign w:val="center"/>
          </w:tcPr>
          <w:p w14:paraId="494A0E1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Amplifier</w:t>
            </w:r>
          </w:p>
        </w:tc>
        <w:tc>
          <w:tcPr>
            <w:tcW w:w="7056" w:type="dxa"/>
            <w:vAlign w:val="center"/>
          </w:tcPr>
          <w:p w14:paraId="390B25A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Signal gain 14 dB; ASE-noise increase 16 dB</w:t>
            </w:r>
          </w:p>
        </w:tc>
      </w:tr>
    </w:tbl>
    <w:p w14:paraId="3653587A" w14:textId="77777777" w:rsidR="009D6FAE" w:rsidRPr="00103A34" w:rsidRDefault="009D6FAE">
      <w:pPr>
        <w:rPr>
          <w:rFonts w:ascii="Times New Roman" w:hAnsi="Times New Roman" w:cs="Times New Roman"/>
          <w:sz w:val="28"/>
          <w:szCs w:val="28"/>
        </w:rPr>
      </w:pPr>
    </w:p>
    <w:p w14:paraId="367612D1" w14:textId="77777777" w:rsidR="009D6FAE" w:rsidRPr="00103A34" w:rsidRDefault="00000000">
      <w:pPr>
        <w:pStyle w:val="Heading1"/>
        <w:rPr>
          <w:rFonts w:ascii="Times New Roman" w:hAnsi="Times New Roman" w:cs="Times New Roman"/>
          <w:color w:val="auto"/>
          <w:sz w:val="28"/>
        </w:rPr>
      </w:pPr>
      <w:r w:rsidRPr="00103A34">
        <w:rPr>
          <w:rFonts w:ascii="Times New Roman" w:hAnsi="Times New Roman" w:cs="Times New Roman"/>
          <w:color w:val="auto"/>
          <w:sz w:val="28"/>
        </w:rPr>
        <w:t>3. Stage 1 – Interpret the Communication Requirement</w:t>
      </w:r>
    </w:p>
    <w:p w14:paraId="6ABCB53D"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3.1 Wavelength and optical propagation</w:t>
      </w:r>
    </w:p>
    <w:p w14:paraId="6481D2C7"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The 1550 nm wavelength lies in the low-attenuation region of standard silica optical fiber and is compatible with widely used telecom transmitters, receivers and optical amplifiers. Light propagates as an electromagnetic wave. Ray optics can help explain acceptance and reflection in a large-core multimode fiber, but a wave and modal description is needed to determine whether modes are guided, to analyse single-mode cut-off, dispersion, polarization and coherent effects. Coherence affects interference and coherent receivers; polarization describes the orientation of the optical electric field and becomes important when polarization-dependent components or coherent detection are used.</w:t>
      </w:r>
    </w:p>
    <w:p w14:paraId="63801287"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lastRenderedPageBreak/>
        <w:t>3.2 Main design factors</w:t>
      </w:r>
    </w:p>
    <w:p w14:paraId="4353B702"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Guiding: numerical aperture (NA) describes the acceptance capability in air, while V-number predicts the number of supported modes.</w:t>
      </w:r>
    </w:p>
    <w:p w14:paraId="7DA0AC21"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Attenuation: absorption, Rayleigh scattering and bending reduce received power. Connector and splice losses add discrete losses.</w:t>
      </w:r>
    </w:p>
    <w:p w14:paraId="17F8571E"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Dispersion: modal dispersion is important in multimode fiber; chromatic dispersion affects pulses in single-mode fiber; PMD arises from different propagation delays of polarization modes.</w:t>
      </w:r>
    </w:p>
    <w:p w14:paraId="2D32C762"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Signal quality: OSNR compares signal power with amplified spontaneous emission (ASE) noise in a stated reference bandwidth. Lower OSNR generally worsens Q-factor and BER.</w:t>
      </w:r>
    </w:p>
    <w:p w14:paraId="1017B7E5"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Practical installation: bend radius, clean connector end faces, splice quality, receiver sensitivity, system margin, repair access and the 100 Gb/s upgrade plan must all be considered.</w:t>
      </w:r>
    </w:p>
    <w:p w14:paraId="78F695FE"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Design Requirement Statement: Design a 60 km, 1550 nm optical link that supports 10 Gb/s with at least a 6 dB receiver margin, controls insertion and bending losses, keeps pulse broadening and PMD within acceptable limits, meets an OSNR target of 17 dB in 0.1 nm, follows applicable ITU-T fiber recommendations, and permits a verified migration path to 100 Gb/s.</w:t>
      </w:r>
    </w:p>
    <w:p w14:paraId="26E52E41" w14:textId="77777777" w:rsidR="009D6FAE" w:rsidRPr="00103A34" w:rsidRDefault="00000000">
      <w:pPr>
        <w:pStyle w:val="Heading1"/>
        <w:rPr>
          <w:rFonts w:ascii="Times New Roman" w:hAnsi="Times New Roman" w:cs="Times New Roman"/>
          <w:color w:val="auto"/>
          <w:sz w:val="28"/>
        </w:rPr>
      </w:pPr>
      <w:r w:rsidRPr="00103A34">
        <w:rPr>
          <w:rFonts w:ascii="Times New Roman" w:hAnsi="Times New Roman" w:cs="Times New Roman"/>
          <w:color w:val="auto"/>
          <w:sz w:val="28"/>
        </w:rPr>
        <w:t>4. Stage 2 – Fiber and Propagation Configuration</w:t>
      </w:r>
    </w:p>
    <w:p w14:paraId="412C4C8E"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4.1 Numerical aperture</w:t>
      </w:r>
    </w:p>
    <w:p w14:paraId="5B81AE5D"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 xml:space="preserve">For a step-index fiber in air, NA = </w:t>
      </w:r>
      <w:proofErr w:type="gramStart"/>
      <w:r w:rsidRPr="00103A34">
        <w:rPr>
          <w:rFonts w:ascii="Times New Roman" w:hAnsi="Times New Roman" w:cs="Times New Roman"/>
          <w:sz w:val="28"/>
          <w:szCs w:val="28"/>
        </w:rPr>
        <w:t>√(</w:t>
      </w:r>
      <w:proofErr w:type="gramEnd"/>
      <w:r w:rsidRPr="00103A34">
        <w:rPr>
          <w:rFonts w:ascii="Times New Roman" w:hAnsi="Times New Roman" w:cs="Times New Roman"/>
          <w:sz w:val="28"/>
          <w:szCs w:val="28"/>
        </w:rPr>
        <w:t>n₁² − n₂²).</w:t>
      </w:r>
    </w:p>
    <w:p w14:paraId="190B0A44"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 xml:space="preserve">Fiber A: NA = </w:t>
      </w:r>
      <w:proofErr w:type="gramStart"/>
      <w:r w:rsidRPr="00103A34">
        <w:rPr>
          <w:rFonts w:ascii="Times New Roman" w:hAnsi="Times New Roman" w:cs="Times New Roman"/>
          <w:b/>
          <w:sz w:val="28"/>
          <w:szCs w:val="28"/>
        </w:rPr>
        <w:t>√(</w:t>
      </w:r>
      <w:proofErr w:type="gramEnd"/>
      <w:r w:rsidRPr="00103A34">
        <w:rPr>
          <w:rFonts w:ascii="Times New Roman" w:hAnsi="Times New Roman" w:cs="Times New Roman"/>
          <w:b/>
          <w:sz w:val="28"/>
          <w:szCs w:val="28"/>
        </w:rPr>
        <w:t>1.4500² − 1.4450²) = 0.1203</w:t>
      </w:r>
    </w:p>
    <w:p w14:paraId="57959C6E"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 xml:space="preserve">Fiber B: NA = </w:t>
      </w:r>
      <w:proofErr w:type="gramStart"/>
      <w:r w:rsidRPr="00103A34">
        <w:rPr>
          <w:rFonts w:ascii="Times New Roman" w:hAnsi="Times New Roman" w:cs="Times New Roman"/>
          <w:b/>
          <w:sz w:val="28"/>
          <w:szCs w:val="28"/>
        </w:rPr>
        <w:t>√(</w:t>
      </w:r>
      <w:proofErr w:type="gramEnd"/>
      <w:r w:rsidRPr="00103A34">
        <w:rPr>
          <w:rFonts w:ascii="Times New Roman" w:hAnsi="Times New Roman" w:cs="Times New Roman"/>
          <w:b/>
          <w:sz w:val="28"/>
          <w:szCs w:val="28"/>
        </w:rPr>
        <w:t>1.480² − 1.465²) = 0.2103</w:t>
      </w:r>
    </w:p>
    <w:p w14:paraId="219F1DFA"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Fiber B has the larger acceptance cone and can accept light over a wider range of input angles. This does not make it the better 60 km, 10 Gb/s choice: its large core and high V-number allow many modes, which create modal dispersion.</w:t>
      </w:r>
    </w:p>
    <w:p w14:paraId="704DB684"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4.2 V-number and modal condition</w:t>
      </w:r>
    </w:p>
    <w:p w14:paraId="705FD6B8"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V = (2πa/λ) × NA, with λ = 1.55 μm</w:t>
      </w:r>
    </w:p>
    <w:p w14:paraId="27BD38EC"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Fiber A: V = (2π × 4/1.55) × 0.1203 ≈ 1.95</w:t>
      </w:r>
    </w:p>
    <w:p w14:paraId="213D74C0"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Fiber B: V = (2π × 25/1.55) × 0.2103 ≈ 21.30</w:t>
      </w:r>
    </w:p>
    <w:p w14:paraId="4DB4BA5F"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 xml:space="preserve">For an ideal step-index fiber, single-mode operation occurs when V &lt; 2.405. Fiber A therefore operates as single-mode at 1550 nm under the stated idealized parameters. Its </w:t>
      </w:r>
      <w:r w:rsidRPr="00103A34">
        <w:rPr>
          <w:rFonts w:ascii="Times New Roman" w:hAnsi="Times New Roman" w:cs="Times New Roman"/>
          <w:sz w:val="28"/>
          <w:szCs w:val="28"/>
        </w:rPr>
        <w:lastRenderedPageBreak/>
        <w:t>cut-off wavelength is λc = 2πa NA / 2.405 ≈ 1.234 μm, so 1550 nm is above the cut-off wavelength. Fiber B is strongly multimode at 1550 nm.</w:t>
      </w:r>
    </w:p>
    <w:p w14:paraId="295EB970"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4.3 Approximate guided-mode count</w:t>
      </w:r>
    </w:p>
    <w:p w14:paraId="31FCB8E2"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Step-index multimode: M ≈ V²/2</w:t>
      </w:r>
    </w:p>
    <w:p w14:paraId="474D7C9C"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Fiber B: M ≈ 21.30²/2 ≈ 227 guided modes (approximate)</w:t>
      </w:r>
    </w:p>
    <w:p w14:paraId="02B24398"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For a parabolic graded-index multimode fiber, a common approximation is M ≈ V²/4, which would give about 113 modes for the same V. The graded-index profile reduces modal delay by making rays travelling longer paths move faster through lower-index outer regions. The actual graded-index mode count depends on the profile and fiber design; fiber B itself is specified as step-index.</w:t>
      </w:r>
    </w:p>
    <w:p w14:paraId="0BD7C64F"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4.4 Fiber-category comparison and selection</w:t>
      </w:r>
    </w:p>
    <w:tbl>
      <w:tblPr>
        <w:tblStyle w:val="TableGrid"/>
        <w:tblW w:w="0" w:type="auto"/>
        <w:jc w:val="center"/>
        <w:tblLook w:val="04A0" w:firstRow="1" w:lastRow="0" w:firstColumn="1" w:lastColumn="0" w:noHBand="0" w:noVBand="1"/>
      </w:tblPr>
      <w:tblGrid>
        <w:gridCol w:w="2419"/>
        <w:gridCol w:w="3546"/>
        <w:gridCol w:w="4105"/>
      </w:tblGrid>
      <w:tr w:rsidR="009D6FAE" w:rsidRPr="00103A34" w14:paraId="215219FF" w14:textId="77777777">
        <w:trPr>
          <w:cantSplit/>
          <w:jc w:val="center"/>
        </w:trPr>
        <w:tc>
          <w:tcPr>
            <w:tcW w:w="2448" w:type="dxa"/>
            <w:shd w:val="clear" w:color="auto" w:fill="D9EAF7"/>
            <w:vAlign w:val="center"/>
          </w:tcPr>
          <w:p w14:paraId="6FDF7EF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Option</w:t>
            </w:r>
          </w:p>
        </w:tc>
        <w:tc>
          <w:tcPr>
            <w:tcW w:w="3600" w:type="dxa"/>
            <w:shd w:val="clear" w:color="auto" w:fill="D9EAF7"/>
            <w:vAlign w:val="center"/>
          </w:tcPr>
          <w:p w14:paraId="6C17D33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Advantages</w:t>
            </w:r>
          </w:p>
        </w:tc>
        <w:tc>
          <w:tcPr>
            <w:tcW w:w="4176" w:type="dxa"/>
            <w:shd w:val="clear" w:color="auto" w:fill="D9EAF7"/>
            <w:vAlign w:val="center"/>
          </w:tcPr>
          <w:p w14:paraId="690FE1B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Limitations / use</w:t>
            </w:r>
          </w:p>
        </w:tc>
      </w:tr>
      <w:tr w:rsidR="009D6FAE" w:rsidRPr="00103A34" w14:paraId="5E343FBD" w14:textId="77777777">
        <w:trPr>
          <w:cantSplit/>
          <w:jc w:val="center"/>
        </w:trPr>
        <w:tc>
          <w:tcPr>
            <w:tcW w:w="2448" w:type="dxa"/>
            <w:vAlign w:val="center"/>
          </w:tcPr>
          <w:p w14:paraId="65BC052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Single-mode G.652.D</w:t>
            </w:r>
          </w:p>
        </w:tc>
        <w:tc>
          <w:tcPr>
            <w:tcW w:w="3600" w:type="dxa"/>
            <w:vAlign w:val="center"/>
          </w:tcPr>
          <w:p w14:paraId="791FA2B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Low attenuation; no intermodal dispersion; mature 1310/1550 nm telecom infrastructure</w:t>
            </w:r>
          </w:p>
        </w:tc>
        <w:tc>
          <w:tcPr>
            <w:tcW w:w="4176" w:type="dxa"/>
            <w:vAlign w:val="center"/>
          </w:tcPr>
          <w:p w14:paraId="4DB2C4C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Standard bend performance is weaker than G.657; chromatic dispersion at 1550 nm must be managed</w:t>
            </w:r>
          </w:p>
        </w:tc>
      </w:tr>
      <w:tr w:rsidR="009D6FAE" w:rsidRPr="00103A34" w14:paraId="36CD734C" w14:textId="77777777">
        <w:trPr>
          <w:cantSplit/>
          <w:jc w:val="center"/>
        </w:trPr>
        <w:tc>
          <w:tcPr>
            <w:tcW w:w="2448" w:type="dxa"/>
            <w:vAlign w:val="center"/>
          </w:tcPr>
          <w:p w14:paraId="157E250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Single-mode G.655</w:t>
            </w:r>
          </w:p>
        </w:tc>
        <w:tc>
          <w:tcPr>
            <w:tcW w:w="3600" w:type="dxa"/>
            <w:vAlign w:val="center"/>
          </w:tcPr>
          <w:p w14:paraId="235E6E0F"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Non-zero dispersion-shifted fiber; lower stated dispersion at 1550 nm, 4.5 ps/(nm·km)</w:t>
            </w:r>
          </w:p>
        </w:tc>
        <w:tc>
          <w:tcPr>
            <w:tcW w:w="4176" w:type="dxa"/>
            <w:vAlign w:val="center"/>
          </w:tcPr>
          <w:p w14:paraId="78B0EEF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Availability, compatibility and nonlinear design must be confirmed; do not assume it is always the best choice</w:t>
            </w:r>
          </w:p>
        </w:tc>
      </w:tr>
      <w:tr w:rsidR="009D6FAE" w:rsidRPr="00103A34" w14:paraId="6DEF3708" w14:textId="77777777">
        <w:trPr>
          <w:cantSplit/>
          <w:jc w:val="center"/>
        </w:trPr>
        <w:tc>
          <w:tcPr>
            <w:tcW w:w="2448" w:type="dxa"/>
            <w:vAlign w:val="center"/>
          </w:tcPr>
          <w:p w14:paraId="02CCE92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Single-mode G.657.A entry section</w:t>
            </w:r>
          </w:p>
        </w:tc>
        <w:tc>
          <w:tcPr>
            <w:tcW w:w="3600" w:type="dxa"/>
            <w:vAlign w:val="center"/>
          </w:tcPr>
          <w:p w14:paraId="0A1A308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Improved bend tolerance for cabinets and building entry</w:t>
            </w:r>
          </w:p>
        </w:tc>
        <w:tc>
          <w:tcPr>
            <w:tcW w:w="4176" w:type="dxa"/>
            <w:vAlign w:val="center"/>
          </w:tcPr>
          <w:p w14:paraId="29C461F8"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Use as a bend-insensitive access/entry segment with compatible components</w:t>
            </w:r>
          </w:p>
        </w:tc>
      </w:tr>
      <w:tr w:rsidR="009D6FAE" w:rsidRPr="00103A34" w14:paraId="4B387C0D" w14:textId="77777777">
        <w:trPr>
          <w:cantSplit/>
          <w:jc w:val="center"/>
        </w:trPr>
        <w:tc>
          <w:tcPr>
            <w:tcW w:w="2448" w:type="dxa"/>
            <w:vAlign w:val="center"/>
          </w:tcPr>
          <w:p w14:paraId="0D1F179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Step-index multimode fiber B</w:t>
            </w:r>
          </w:p>
        </w:tc>
        <w:tc>
          <w:tcPr>
            <w:tcW w:w="3600" w:type="dxa"/>
            <w:vAlign w:val="center"/>
          </w:tcPr>
          <w:p w14:paraId="7CD8F0D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High NA and many guided modes</w:t>
            </w:r>
          </w:p>
        </w:tc>
        <w:tc>
          <w:tcPr>
            <w:tcW w:w="4176" w:type="dxa"/>
            <w:vAlign w:val="center"/>
          </w:tcPr>
          <w:p w14:paraId="299B708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Modal dispersion makes it unsuitable for this 60 km high-speed link</w:t>
            </w:r>
          </w:p>
        </w:tc>
      </w:tr>
      <w:tr w:rsidR="009D6FAE" w:rsidRPr="00103A34" w14:paraId="73723E8A" w14:textId="77777777">
        <w:trPr>
          <w:cantSplit/>
          <w:jc w:val="center"/>
        </w:trPr>
        <w:tc>
          <w:tcPr>
            <w:tcW w:w="2448" w:type="dxa"/>
            <w:vAlign w:val="center"/>
          </w:tcPr>
          <w:p w14:paraId="50FBE17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Graded-index multimode fiber</w:t>
            </w:r>
          </w:p>
        </w:tc>
        <w:tc>
          <w:tcPr>
            <w:tcW w:w="3600" w:type="dxa"/>
            <w:vAlign w:val="center"/>
          </w:tcPr>
          <w:p w14:paraId="6A05EE98"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Lower modal dispersion than step-index multimode</w:t>
            </w:r>
          </w:p>
        </w:tc>
        <w:tc>
          <w:tcPr>
            <w:tcW w:w="4176" w:type="dxa"/>
            <w:vAlign w:val="center"/>
          </w:tcPr>
          <w:p w14:paraId="009F1EE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Still not the preferred choice for a 60 km, 10 Gb/s telecom span</w:t>
            </w:r>
          </w:p>
        </w:tc>
      </w:tr>
    </w:tbl>
    <w:p w14:paraId="00D6292D" w14:textId="77777777" w:rsidR="009D6FAE" w:rsidRPr="00103A34" w:rsidRDefault="009D6FAE">
      <w:pPr>
        <w:rPr>
          <w:rFonts w:ascii="Times New Roman" w:hAnsi="Times New Roman" w:cs="Times New Roman"/>
          <w:sz w:val="28"/>
          <w:szCs w:val="28"/>
        </w:rPr>
      </w:pPr>
    </w:p>
    <w:p w14:paraId="32F657B9"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Design Decision 1: I recommend single-mode propagation using ITU-T G.652.D for the main 60 km span, with a G.657.A bend-insensitive section at the building entry. Fiber A has V ≈ 1.95, below 2.405, whereas fiber B has V ≈ 21.30 and approximately 227 step-index guided modes. Single-mode operation avoids intermodal dispersion and is appropriate for long-distance high-speed transmission. G.655 remains a valid alternative if its dispersion benefit, availability and system compatibility are confirmed during detailed design.</w:t>
      </w:r>
    </w:p>
    <w:p w14:paraId="2F902CC6" w14:textId="77777777" w:rsidR="009D6FAE" w:rsidRPr="00103A34" w:rsidRDefault="00000000">
      <w:pPr>
        <w:pStyle w:val="Heading1"/>
        <w:rPr>
          <w:rFonts w:ascii="Times New Roman" w:hAnsi="Times New Roman" w:cs="Times New Roman"/>
          <w:color w:val="auto"/>
          <w:sz w:val="28"/>
        </w:rPr>
      </w:pPr>
      <w:r w:rsidRPr="00103A34">
        <w:rPr>
          <w:rFonts w:ascii="Times New Roman" w:hAnsi="Times New Roman" w:cs="Times New Roman"/>
          <w:color w:val="auto"/>
          <w:sz w:val="28"/>
        </w:rPr>
        <w:lastRenderedPageBreak/>
        <w:t>5. Stage 3 – Optical Power Budget</w:t>
      </w:r>
    </w:p>
    <w:p w14:paraId="491281BB"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5.1 Combined attenuation coefficient</w:t>
      </w:r>
    </w:p>
    <w:p w14:paraId="6607C44D"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α_total = α_absorption + α_Rayleigh + α_bending</w:t>
      </w:r>
    </w:p>
    <w:p w14:paraId="5302AC91"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α_total = 0.04 + 0.11 + 0.03 = 0.18 dB/km</w:t>
      </w:r>
    </w:p>
    <w:p w14:paraId="28A3146A"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60 km fiber loss = 0.18 × 60 = 10.8 dB</w:t>
      </w:r>
    </w:p>
    <w:p w14:paraId="1352E2E7"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The total attenuation coefficient is the combined distributed attenuation per kilometre. Rayleigh scattering is the largest of the three specified distributed mechanisms at 0.11 dB/km; it contributes 6.6 dB over 60 km. It is intrinsic to the glass and cannot be eliminated by installation practice, so bending and connection losses are the more practical items to optimize.</w:t>
      </w:r>
    </w:p>
    <w:p w14:paraId="6DD77AD4"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5.2 Fixed losses and total link budget</w:t>
      </w:r>
    </w:p>
    <w:p w14:paraId="7E8FF8B8"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Connector loss = 4 × 0.4 = 1.6 dB</w:t>
      </w:r>
    </w:p>
    <w:p w14:paraId="7445A5A6"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Splice loss = 10 × 0.08 = 0.8 dB</w:t>
      </w:r>
    </w:p>
    <w:tbl>
      <w:tblPr>
        <w:tblStyle w:val="TableGrid"/>
        <w:tblW w:w="0" w:type="auto"/>
        <w:jc w:val="center"/>
        <w:tblLook w:val="04A0" w:firstRow="1" w:lastRow="0" w:firstColumn="1" w:lastColumn="0" w:noHBand="0" w:noVBand="1"/>
      </w:tblPr>
      <w:tblGrid>
        <w:gridCol w:w="3265"/>
        <w:gridCol w:w="3193"/>
        <w:gridCol w:w="3612"/>
      </w:tblGrid>
      <w:tr w:rsidR="009D6FAE" w:rsidRPr="00103A34" w14:paraId="30DCEF06" w14:textId="77777777">
        <w:trPr>
          <w:cantSplit/>
          <w:jc w:val="center"/>
        </w:trPr>
        <w:tc>
          <w:tcPr>
            <w:tcW w:w="3312" w:type="dxa"/>
            <w:shd w:val="clear" w:color="auto" w:fill="D9EAF7"/>
            <w:vAlign w:val="center"/>
          </w:tcPr>
          <w:p w14:paraId="2EF0C66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Budget item</w:t>
            </w:r>
          </w:p>
        </w:tc>
        <w:tc>
          <w:tcPr>
            <w:tcW w:w="3240" w:type="dxa"/>
            <w:shd w:val="clear" w:color="auto" w:fill="D9EAF7"/>
            <w:vAlign w:val="center"/>
          </w:tcPr>
          <w:p w14:paraId="65F8CD1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G.652.D main fiber</w:t>
            </w:r>
          </w:p>
        </w:tc>
        <w:tc>
          <w:tcPr>
            <w:tcW w:w="3672" w:type="dxa"/>
            <w:shd w:val="clear" w:color="auto" w:fill="D9EAF7"/>
            <w:vAlign w:val="center"/>
          </w:tcPr>
          <w:p w14:paraId="14E1AE0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G.657.A bend-insensitive entry</w:t>
            </w:r>
          </w:p>
        </w:tc>
      </w:tr>
      <w:tr w:rsidR="009D6FAE" w:rsidRPr="00103A34" w14:paraId="2D5D429B" w14:textId="77777777">
        <w:trPr>
          <w:cantSplit/>
          <w:jc w:val="center"/>
        </w:trPr>
        <w:tc>
          <w:tcPr>
            <w:tcW w:w="3312" w:type="dxa"/>
            <w:vAlign w:val="center"/>
          </w:tcPr>
          <w:p w14:paraId="26CA756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60 km distributed fiber loss</w:t>
            </w:r>
          </w:p>
        </w:tc>
        <w:tc>
          <w:tcPr>
            <w:tcW w:w="3240" w:type="dxa"/>
            <w:vAlign w:val="center"/>
          </w:tcPr>
          <w:p w14:paraId="40078B9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10.8 dB</w:t>
            </w:r>
          </w:p>
        </w:tc>
        <w:tc>
          <w:tcPr>
            <w:tcW w:w="3672" w:type="dxa"/>
            <w:vAlign w:val="center"/>
          </w:tcPr>
          <w:p w14:paraId="7C8249FC"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10.8 dB assumed for calculation</w:t>
            </w:r>
          </w:p>
        </w:tc>
      </w:tr>
      <w:tr w:rsidR="009D6FAE" w:rsidRPr="00103A34" w14:paraId="0D894765" w14:textId="77777777">
        <w:trPr>
          <w:cantSplit/>
          <w:jc w:val="center"/>
        </w:trPr>
        <w:tc>
          <w:tcPr>
            <w:tcW w:w="3312" w:type="dxa"/>
            <w:vAlign w:val="center"/>
          </w:tcPr>
          <w:p w14:paraId="6DD10A1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Four connector losses</w:t>
            </w:r>
          </w:p>
        </w:tc>
        <w:tc>
          <w:tcPr>
            <w:tcW w:w="3240" w:type="dxa"/>
            <w:vAlign w:val="center"/>
          </w:tcPr>
          <w:p w14:paraId="077D607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1.6 dB</w:t>
            </w:r>
          </w:p>
        </w:tc>
        <w:tc>
          <w:tcPr>
            <w:tcW w:w="3672" w:type="dxa"/>
            <w:vAlign w:val="center"/>
          </w:tcPr>
          <w:p w14:paraId="6FEA609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1.6 dB</w:t>
            </w:r>
          </w:p>
        </w:tc>
      </w:tr>
      <w:tr w:rsidR="009D6FAE" w:rsidRPr="00103A34" w14:paraId="39BE3715" w14:textId="77777777">
        <w:trPr>
          <w:cantSplit/>
          <w:jc w:val="center"/>
        </w:trPr>
        <w:tc>
          <w:tcPr>
            <w:tcW w:w="3312" w:type="dxa"/>
            <w:vAlign w:val="center"/>
          </w:tcPr>
          <w:p w14:paraId="6684B7F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Ten splice losses</w:t>
            </w:r>
          </w:p>
        </w:tc>
        <w:tc>
          <w:tcPr>
            <w:tcW w:w="3240" w:type="dxa"/>
            <w:vAlign w:val="center"/>
          </w:tcPr>
          <w:p w14:paraId="0C9198F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0.8 dB</w:t>
            </w:r>
          </w:p>
        </w:tc>
        <w:tc>
          <w:tcPr>
            <w:tcW w:w="3672" w:type="dxa"/>
            <w:vAlign w:val="center"/>
          </w:tcPr>
          <w:p w14:paraId="48A6956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0.8 dB</w:t>
            </w:r>
          </w:p>
        </w:tc>
      </w:tr>
      <w:tr w:rsidR="009D6FAE" w:rsidRPr="00103A34" w14:paraId="4BAB038E" w14:textId="77777777">
        <w:trPr>
          <w:cantSplit/>
          <w:jc w:val="center"/>
        </w:trPr>
        <w:tc>
          <w:tcPr>
            <w:tcW w:w="3312" w:type="dxa"/>
            <w:vAlign w:val="center"/>
          </w:tcPr>
          <w:p w14:paraId="5153EFF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Building-entry bend loss</w:t>
            </w:r>
          </w:p>
        </w:tc>
        <w:tc>
          <w:tcPr>
            <w:tcW w:w="3240" w:type="dxa"/>
            <w:vAlign w:val="center"/>
          </w:tcPr>
          <w:p w14:paraId="1C2A316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0.8 dB</w:t>
            </w:r>
          </w:p>
        </w:tc>
        <w:tc>
          <w:tcPr>
            <w:tcW w:w="3672" w:type="dxa"/>
            <w:vAlign w:val="center"/>
          </w:tcPr>
          <w:p w14:paraId="19B4E46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0.1 dB</w:t>
            </w:r>
          </w:p>
        </w:tc>
      </w:tr>
      <w:tr w:rsidR="009D6FAE" w:rsidRPr="00103A34" w14:paraId="5791EFD5" w14:textId="77777777">
        <w:trPr>
          <w:cantSplit/>
          <w:jc w:val="center"/>
        </w:trPr>
        <w:tc>
          <w:tcPr>
            <w:tcW w:w="3312" w:type="dxa"/>
            <w:vAlign w:val="center"/>
          </w:tcPr>
          <w:p w14:paraId="7AB44B0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Total specified link loss</w:t>
            </w:r>
          </w:p>
        </w:tc>
        <w:tc>
          <w:tcPr>
            <w:tcW w:w="3240" w:type="dxa"/>
            <w:vAlign w:val="center"/>
          </w:tcPr>
          <w:p w14:paraId="71AE5F3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14.0 dB</w:t>
            </w:r>
          </w:p>
        </w:tc>
        <w:tc>
          <w:tcPr>
            <w:tcW w:w="3672" w:type="dxa"/>
            <w:vAlign w:val="center"/>
          </w:tcPr>
          <w:p w14:paraId="4986E87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13.3 dB</w:t>
            </w:r>
          </w:p>
        </w:tc>
      </w:tr>
      <w:tr w:rsidR="009D6FAE" w:rsidRPr="00103A34" w14:paraId="023F5376" w14:textId="77777777">
        <w:trPr>
          <w:cantSplit/>
          <w:jc w:val="center"/>
        </w:trPr>
        <w:tc>
          <w:tcPr>
            <w:tcW w:w="3312" w:type="dxa"/>
            <w:vAlign w:val="center"/>
          </w:tcPr>
          <w:p w14:paraId="14AA91D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Transmitter power</w:t>
            </w:r>
          </w:p>
        </w:tc>
        <w:tc>
          <w:tcPr>
            <w:tcW w:w="3240" w:type="dxa"/>
            <w:vAlign w:val="center"/>
          </w:tcPr>
          <w:p w14:paraId="6EAA190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+3 dBm</w:t>
            </w:r>
          </w:p>
        </w:tc>
        <w:tc>
          <w:tcPr>
            <w:tcW w:w="3672" w:type="dxa"/>
            <w:vAlign w:val="center"/>
          </w:tcPr>
          <w:p w14:paraId="0E8E4024"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+3 dBm</w:t>
            </w:r>
          </w:p>
        </w:tc>
      </w:tr>
      <w:tr w:rsidR="009D6FAE" w:rsidRPr="00103A34" w14:paraId="5C25FFE8" w14:textId="77777777">
        <w:trPr>
          <w:cantSplit/>
          <w:jc w:val="center"/>
        </w:trPr>
        <w:tc>
          <w:tcPr>
            <w:tcW w:w="3312" w:type="dxa"/>
            <w:vAlign w:val="center"/>
          </w:tcPr>
          <w:p w14:paraId="52719A0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Estimated received power</w:t>
            </w:r>
          </w:p>
        </w:tc>
        <w:tc>
          <w:tcPr>
            <w:tcW w:w="3240" w:type="dxa"/>
            <w:vAlign w:val="center"/>
          </w:tcPr>
          <w:p w14:paraId="6B2FC9C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−11.0 dBm</w:t>
            </w:r>
          </w:p>
        </w:tc>
        <w:tc>
          <w:tcPr>
            <w:tcW w:w="3672" w:type="dxa"/>
            <w:vAlign w:val="center"/>
          </w:tcPr>
          <w:p w14:paraId="235DAF9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−10.3 dBm</w:t>
            </w:r>
          </w:p>
        </w:tc>
      </w:tr>
      <w:tr w:rsidR="009D6FAE" w:rsidRPr="00103A34" w14:paraId="268D4F20" w14:textId="77777777">
        <w:trPr>
          <w:cantSplit/>
          <w:jc w:val="center"/>
        </w:trPr>
        <w:tc>
          <w:tcPr>
            <w:tcW w:w="3312" w:type="dxa"/>
            <w:vAlign w:val="center"/>
          </w:tcPr>
          <w:p w14:paraId="38D74F2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Margin above −20 dBm sensitivity</w:t>
            </w:r>
          </w:p>
        </w:tc>
        <w:tc>
          <w:tcPr>
            <w:tcW w:w="3240" w:type="dxa"/>
            <w:vAlign w:val="center"/>
          </w:tcPr>
          <w:p w14:paraId="37039BC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9.0 dB</w:t>
            </w:r>
          </w:p>
        </w:tc>
        <w:tc>
          <w:tcPr>
            <w:tcW w:w="3672" w:type="dxa"/>
            <w:vAlign w:val="center"/>
          </w:tcPr>
          <w:p w14:paraId="207AEAC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9.7 dB</w:t>
            </w:r>
          </w:p>
        </w:tc>
      </w:tr>
      <w:tr w:rsidR="009D6FAE" w:rsidRPr="00103A34" w14:paraId="4BA46692" w14:textId="77777777">
        <w:trPr>
          <w:cantSplit/>
          <w:jc w:val="center"/>
        </w:trPr>
        <w:tc>
          <w:tcPr>
            <w:tcW w:w="3312" w:type="dxa"/>
            <w:vAlign w:val="center"/>
          </w:tcPr>
          <w:p w14:paraId="1621440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Excess margin after reserving 6 dB</w:t>
            </w:r>
          </w:p>
        </w:tc>
        <w:tc>
          <w:tcPr>
            <w:tcW w:w="3240" w:type="dxa"/>
            <w:vAlign w:val="center"/>
          </w:tcPr>
          <w:p w14:paraId="153AE23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3.0 dB</w:t>
            </w:r>
          </w:p>
        </w:tc>
        <w:tc>
          <w:tcPr>
            <w:tcW w:w="3672" w:type="dxa"/>
            <w:vAlign w:val="center"/>
          </w:tcPr>
          <w:p w14:paraId="0F04F12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3.7 dB</w:t>
            </w:r>
          </w:p>
        </w:tc>
      </w:tr>
      <w:tr w:rsidR="009D6FAE" w:rsidRPr="00103A34" w14:paraId="33C4A01B" w14:textId="77777777">
        <w:trPr>
          <w:cantSplit/>
          <w:jc w:val="center"/>
        </w:trPr>
        <w:tc>
          <w:tcPr>
            <w:tcW w:w="3312" w:type="dxa"/>
            <w:vAlign w:val="center"/>
          </w:tcPr>
          <w:p w14:paraId="7CFFBD1C"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Meets 6 dB requirement?</w:t>
            </w:r>
          </w:p>
        </w:tc>
        <w:tc>
          <w:tcPr>
            <w:tcW w:w="3240" w:type="dxa"/>
            <w:vAlign w:val="center"/>
          </w:tcPr>
          <w:p w14:paraId="7A06E5B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Yes, under stated assumptions</w:t>
            </w:r>
          </w:p>
        </w:tc>
        <w:tc>
          <w:tcPr>
            <w:tcW w:w="3672" w:type="dxa"/>
            <w:vAlign w:val="center"/>
          </w:tcPr>
          <w:p w14:paraId="75A771C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Yes, under stated assumptions</w:t>
            </w:r>
          </w:p>
        </w:tc>
      </w:tr>
    </w:tbl>
    <w:p w14:paraId="193F0A4C" w14:textId="77777777" w:rsidR="009D6FAE" w:rsidRPr="00103A34" w:rsidRDefault="009D6FAE">
      <w:pPr>
        <w:rPr>
          <w:rFonts w:ascii="Times New Roman" w:hAnsi="Times New Roman" w:cs="Times New Roman"/>
          <w:sz w:val="28"/>
          <w:szCs w:val="28"/>
        </w:rPr>
      </w:pPr>
    </w:p>
    <w:p w14:paraId="227ABAF6" w14:textId="5DD07386"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 xml:space="preserve">The received power is calculated as transmitter power minus total loss. Receiver margin is </w:t>
      </w:r>
      <w:proofErr w:type="spellStart"/>
      <w:r w:rsidRPr="00103A34">
        <w:rPr>
          <w:rFonts w:ascii="Times New Roman" w:hAnsi="Times New Roman" w:cs="Times New Roman"/>
          <w:sz w:val="28"/>
          <w:szCs w:val="28"/>
        </w:rPr>
        <w:t>Pr</w:t>
      </w:r>
      <w:proofErr w:type="spellEnd"/>
      <w:r w:rsidRPr="00103A34">
        <w:rPr>
          <w:rFonts w:ascii="Times New Roman" w:hAnsi="Times New Roman" w:cs="Times New Roman"/>
          <w:sz w:val="28"/>
          <w:szCs w:val="28"/>
        </w:rPr>
        <w:t xml:space="preserve"> </w:t>
      </w:r>
      <w:r w:rsidR="00103A34">
        <w:rPr>
          <w:rFonts w:ascii="Times New Roman" w:hAnsi="Times New Roman" w:cs="Times New Roman"/>
          <w:sz w:val="28"/>
          <w:szCs w:val="28"/>
        </w:rPr>
        <w:t>–</w:t>
      </w:r>
      <w:r w:rsidRPr="00103A34">
        <w:rPr>
          <w:rFonts w:ascii="Times New Roman" w:hAnsi="Times New Roman" w:cs="Times New Roman"/>
          <w:sz w:val="28"/>
          <w:szCs w:val="28"/>
        </w:rPr>
        <w:t xml:space="preserve"> sensitivity. To retain the required 6 dB system margin, the received power should be at least −14 dBm. Both calculated cases meet this requirement before adding any DCF, amplifier, aging, repair or other unlisted losses.</w:t>
      </w:r>
    </w:p>
    <w:p w14:paraId="59632F6E"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lastRenderedPageBreak/>
        <w:t>5.3 Loss optimization</w:t>
      </w:r>
    </w:p>
    <w:p w14:paraId="4D1F746A" w14:textId="33A08521"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Use a G.657.A bend-insensitive section at the building entry and follow the manufacturer</w:t>
      </w:r>
      <w:r w:rsidR="00103A34">
        <w:rPr>
          <w:rFonts w:ascii="Times New Roman" w:hAnsi="Times New Roman" w:cs="Times New Roman"/>
          <w:sz w:val="28"/>
          <w:szCs w:val="28"/>
        </w:rPr>
        <w:t>’</w:t>
      </w:r>
      <w:r w:rsidRPr="00103A34">
        <w:rPr>
          <w:rFonts w:ascii="Times New Roman" w:hAnsi="Times New Roman" w:cs="Times New Roman"/>
          <w:sz w:val="28"/>
          <w:szCs w:val="28"/>
        </w:rPr>
        <w:t>s minimum bend radius; avoid tight coils and sharp corners.</w:t>
      </w:r>
    </w:p>
    <w:p w14:paraId="4AC1DE19"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Use clean, low-loss connectors and fusion splices, inspect end faces, and test the completed span with an optical time-domain reflectometer (OTDR) and an optical power meter.</w:t>
      </w:r>
    </w:p>
    <w:p w14:paraId="0A724BE3"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Design Decision 2: I recommend a G.652.D main span with a G.657.A building-entry section. The calculated total loss falls from 14.0 dB to 13.3 dB and the estimated received power improves from −11.0 dBm to −10.3 dBm, giving 9.7 dB of sensitivity margin and 3.7 dB beyond the required 6 dB reserve. This result is a preliminary budget; DCF insertion loss and any extra amplifier or component losses must be added before deployment.</w:t>
      </w:r>
    </w:p>
    <w:p w14:paraId="5DD5FF08" w14:textId="77777777" w:rsidR="009D6FAE" w:rsidRPr="00103A34" w:rsidRDefault="00000000">
      <w:pPr>
        <w:pStyle w:val="Heading1"/>
        <w:rPr>
          <w:rFonts w:ascii="Times New Roman" w:hAnsi="Times New Roman" w:cs="Times New Roman"/>
          <w:color w:val="auto"/>
          <w:sz w:val="28"/>
        </w:rPr>
      </w:pPr>
      <w:r w:rsidRPr="00103A34">
        <w:rPr>
          <w:rFonts w:ascii="Times New Roman" w:hAnsi="Times New Roman" w:cs="Times New Roman"/>
          <w:color w:val="auto"/>
          <w:sz w:val="28"/>
        </w:rPr>
        <w:t>6. Stage 4 – Dispersion and Polarization Management</w:t>
      </w:r>
    </w:p>
    <w:p w14:paraId="75A5BF41"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6.1 Chromatic-dispersion broadening</w:t>
      </w:r>
    </w:p>
    <w:p w14:paraId="72A70949"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Δτ = |D| × Δλ × L</w:t>
      </w:r>
    </w:p>
    <w:p w14:paraId="0D1C2C49"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G.652.D: Δτ = 17 × 0.4 × 60 = 408 ps</w:t>
      </w:r>
    </w:p>
    <w:p w14:paraId="0CDB9C41"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G.655: Δτ = 4.5 × 0.4 × 60 = 108 ps</w:t>
      </w:r>
    </w:p>
    <w:p w14:paraId="600611C6"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 xml:space="preserve">Using the requested root-sum-square (RSS) estimate, total pulse width is </w:t>
      </w:r>
      <w:proofErr w:type="gramStart"/>
      <w:r w:rsidRPr="00103A34">
        <w:rPr>
          <w:rFonts w:ascii="Times New Roman" w:hAnsi="Times New Roman" w:cs="Times New Roman"/>
          <w:sz w:val="28"/>
          <w:szCs w:val="28"/>
        </w:rPr>
        <w:t>√(</w:t>
      </w:r>
      <w:proofErr w:type="gramEnd"/>
      <w:r w:rsidRPr="00103A34">
        <w:rPr>
          <w:rFonts w:ascii="Times New Roman" w:hAnsi="Times New Roman" w:cs="Times New Roman"/>
          <w:sz w:val="28"/>
          <w:szCs w:val="28"/>
        </w:rPr>
        <w:t>τin² + Δτ²). This assumes the broadening term can be treated as an independent width contribution; actual pulse shape and transmitter chirp can change the result.</w:t>
      </w:r>
    </w:p>
    <w:p w14:paraId="63E4C08E"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 xml:space="preserve">G.652.D total width ≈ </w:t>
      </w:r>
      <w:proofErr w:type="gramStart"/>
      <w:r w:rsidRPr="00103A34">
        <w:rPr>
          <w:rFonts w:ascii="Times New Roman" w:hAnsi="Times New Roman" w:cs="Times New Roman"/>
          <w:b/>
          <w:sz w:val="28"/>
          <w:szCs w:val="28"/>
        </w:rPr>
        <w:t>√(</w:t>
      </w:r>
      <w:proofErr w:type="gramEnd"/>
      <w:r w:rsidRPr="00103A34">
        <w:rPr>
          <w:rFonts w:ascii="Times New Roman" w:hAnsi="Times New Roman" w:cs="Times New Roman"/>
          <w:b/>
          <w:sz w:val="28"/>
          <w:szCs w:val="28"/>
        </w:rPr>
        <w:t>30² + 408²) = 409.1 ps</w:t>
      </w:r>
    </w:p>
    <w:p w14:paraId="59BBE971"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 xml:space="preserve">G.655 total width ≈ </w:t>
      </w:r>
      <w:proofErr w:type="gramStart"/>
      <w:r w:rsidRPr="00103A34">
        <w:rPr>
          <w:rFonts w:ascii="Times New Roman" w:hAnsi="Times New Roman" w:cs="Times New Roman"/>
          <w:b/>
          <w:sz w:val="28"/>
          <w:szCs w:val="28"/>
        </w:rPr>
        <w:t>√(</w:t>
      </w:r>
      <w:proofErr w:type="gramEnd"/>
      <w:r w:rsidRPr="00103A34">
        <w:rPr>
          <w:rFonts w:ascii="Times New Roman" w:hAnsi="Times New Roman" w:cs="Times New Roman"/>
          <w:b/>
          <w:sz w:val="28"/>
          <w:szCs w:val="28"/>
        </w:rPr>
        <w:t>30² + 108²) = 112.1 ps</w:t>
      </w:r>
    </w:p>
    <w:p w14:paraId="18F7766F"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Both estimates exceed the 100 ps bit period at 10 Gb/s. G.652.D has much larger broadening, while G.655 is closer to the bit period but still does not pass this simplified pulse-width check. Dispersion management or a suitably engineered transmitter/receiver is therefore required for the stated source spectral width.</w:t>
      </w:r>
    </w:p>
    <w:p w14:paraId="688746C1"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t>6.2 First-order DCF compensation</w:t>
      </w:r>
    </w:p>
    <w:p w14:paraId="28B2506D"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For first-order compensation, the accumulated dispersion should sum to approximately zero: Dfiber × Lfiber + DDCF × LDCF = 0.</w:t>
      </w:r>
    </w:p>
    <w:p w14:paraId="5BC4382B"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 xml:space="preserve">LDCF = </w:t>
      </w:r>
      <w:proofErr w:type="gramStart"/>
      <w:r w:rsidRPr="00103A34">
        <w:rPr>
          <w:rFonts w:ascii="Times New Roman" w:hAnsi="Times New Roman" w:cs="Times New Roman"/>
          <w:b/>
          <w:sz w:val="28"/>
          <w:szCs w:val="28"/>
        </w:rPr>
        <w:t>−(</w:t>
      </w:r>
      <w:proofErr w:type="gramEnd"/>
      <w:r w:rsidRPr="00103A34">
        <w:rPr>
          <w:rFonts w:ascii="Times New Roman" w:hAnsi="Times New Roman" w:cs="Times New Roman"/>
          <w:b/>
          <w:sz w:val="28"/>
          <w:szCs w:val="28"/>
        </w:rPr>
        <w:t>Dfiber × Lfiber) / DDCF</w:t>
      </w:r>
    </w:p>
    <w:p w14:paraId="11ABA9E8"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LDCF = −(17 × 60)</w:t>
      </w:r>
      <w:proofErr w:type="gramStart"/>
      <w:r w:rsidRPr="00103A34">
        <w:rPr>
          <w:rFonts w:ascii="Times New Roman" w:hAnsi="Times New Roman" w:cs="Times New Roman"/>
          <w:b/>
          <w:sz w:val="28"/>
          <w:szCs w:val="28"/>
        </w:rPr>
        <w:t>/(</w:t>
      </w:r>
      <w:proofErr w:type="gramEnd"/>
      <w:r w:rsidRPr="00103A34">
        <w:rPr>
          <w:rFonts w:ascii="Times New Roman" w:hAnsi="Times New Roman" w:cs="Times New Roman"/>
          <w:b/>
          <w:sz w:val="28"/>
          <w:szCs w:val="28"/>
        </w:rPr>
        <w:t>−100) = 10.2 km</w:t>
      </w:r>
    </w:p>
    <w:p w14:paraId="01A1EC6C"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DCF insertion loss = 10.2 × 0.5 = 5.1 dB</w:t>
      </w:r>
    </w:p>
    <w:p w14:paraId="3BF7951F" w14:textId="57B1A8B5" w:rsidR="009D6FAE" w:rsidRPr="00103A34" w:rsidRDefault="00000000" w:rsidP="00103A34">
      <w:pPr>
        <w:jc w:val="both"/>
        <w:rPr>
          <w:rFonts w:ascii="Times New Roman" w:hAnsi="Times New Roman" w:cs="Times New Roman"/>
          <w:sz w:val="28"/>
          <w:szCs w:val="28"/>
        </w:rPr>
      </w:pPr>
      <w:r w:rsidRPr="00103A34">
        <w:rPr>
          <w:rFonts w:ascii="Times New Roman" w:hAnsi="Times New Roman" w:cs="Times New Roman"/>
          <w:sz w:val="28"/>
          <w:szCs w:val="28"/>
        </w:rPr>
        <w:lastRenderedPageBreak/>
        <w:t xml:space="preserve">The DCF adds 5.1 dB loss, so it materially changes the power budget. Using the G.657.A entry-loss budget as the base, the estimated received power after adding DCF is −10.3 </w:t>
      </w:r>
      <w:r w:rsidR="00103A34">
        <w:rPr>
          <w:rFonts w:ascii="Times New Roman" w:hAnsi="Times New Roman" w:cs="Times New Roman"/>
          <w:sz w:val="28"/>
          <w:szCs w:val="28"/>
        </w:rPr>
        <w:t>–</w:t>
      </w:r>
      <w:r w:rsidRPr="00103A34">
        <w:rPr>
          <w:rFonts w:ascii="Times New Roman" w:hAnsi="Times New Roman" w:cs="Times New Roman"/>
          <w:sz w:val="28"/>
          <w:szCs w:val="28"/>
        </w:rPr>
        <w:t xml:space="preserve"> 5.1 = −15.4 dBm. The sensitivity margin is then 4.6 dB, which is below the required 6 dB. The DCF length cancels the nominal accumulated chromatic dispersion, but the added loss means this implementation cannot be accepted as-is.</w:t>
      </w:r>
    </w:p>
    <w:p w14:paraId="24208E59" w14:textId="466B5021" w:rsidR="009D6FAE" w:rsidRPr="00103A34" w:rsidRDefault="00103A34">
      <w:pPr>
        <w:rPr>
          <w:rFonts w:ascii="Times New Roman" w:hAnsi="Times New Roman" w:cs="Times New Roman"/>
          <w:sz w:val="28"/>
          <w:szCs w:val="28"/>
        </w:rPr>
      </w:pPr>
      <w:r>
        <w:rPr>
          <w:rFonts w:ascii="Times New Roman" w:hAnsi="Times New Roman" w:cs="Times New Roman"/>
          <w:sz w:val="28"/>
          <w:szCs w:val="28"/>
        </w:rPr>
        <w:t xml:space="preserve">   </w:t>
      </w:r>
      <w:r w:rsidR="00000000" w:rsidRPr="00103A34">
        <w:rPr>
          <w:rFonts w:ascii="Times New Roman" w:hAnsi="Times New Roman" w:cs="Times New Roman"/>
          <w:sz w:val="28"/>
          <w:szCs w:val="28"/>
        </w:rPr>
        <w:t>A practical redesign should compare a lower-loss dispersion-compensation module, a dispersion-managed optical amplifier arrangement, or a coherent receiver with electronic dispersion compensation. The final choice depends on transceiver specifications, nonlinear effects and actual end-to-end dispersion tolerance. For 100 Gb/s, coherent detection and digital signal processing are generally a more credible upgrade route than simply retaining the 10 Gb/s DCF architecture.</w:t>
      </w:r>
    </w:p>
    <w:p w14:paraId="1001A13C" w14:textId="77777777" w:rsidR="009D6FAE" w:rsidRPr="00103A34" w:rsidRDefault="00000000">
      <w:pPr>
        <w:pStyle w:val="Heading2"/>
        <w:rPr>
          <w:rFonts w:ascii="Times New Roman" w:hAnsi="Times New Roman" w:cs="Times New Roman"/>
          <w:sz w:val="28"/>
          <w:szCs w:val="28"/>
        </w:rPr>
      </w:pPr>
      <w:r w:rsidRPr="00103A34">
        <w:rPr>
          <w:rFonts w:ascii="Times New Roman" w:hAnsi="Times New Roman" w:cs="Times New Roman"/>
          <w:sz w:val="28"/>
          <w:szCs w:val="28"/>
        </w:rPr>
        <w:t>6.3 PMD and upgrade check</w:t>
      </w:r>
    </w:p>
    <w:p w14:paraId="2993376A"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PMD = D_PMD × √L = 0.1 × √60 ≈ 0.775 ps</w:t>
      </w:r>
    </w:p>
    <w:p w14:paraId="0FC1B554"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10 Gb/s limit = 0.1Tb = 0.1 × 100 = 10 ps</w:t>
      </w:r>
    </w:p>
    <w:p w14:paraId="15560680"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100 Gb/s limit = 0.1Tb = 0.1 × 10 = 1 ps</w:t>
      </w:r>
    </w:p>
    <w:p w14:paraId="20440BB5"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 xml:space="preserve">The calculated 0.775 ps PMD is below both the 10 ps </w:t>
      </w:r>
      <w:proofErr w:type="gramStart"/>
      <w:r w:rsidRPr="00103A34">
        <w:rPr>
          <w:rFonts w:ascii="Times New Roman" w:hAnsi="Times New Roman" w:cs="Times New Roman"/>
          <w:sz w:val="28"/>
          <w:szCs w:val="28"/>
        </w:rPr>
        <w:t>limit</w:t>
      </w:r>
      <w:proofErr w:type="gramEnd"/>
      <w:r w:rsidRPr="00103A34">
        <w:rPr>
          <w:rFonts w:ascii="Times New Roman" w:hAnsi="Times New Roman" w:cs="Times New Roman"/>
          <w:sz w:val="28"/>
          <w:szCs w:val="28"/>
        </w:rPr>
        <w:t xml:space="preserve"> for 10 Gb/s and the 1 ps limit for a 100 Gb/s upgrade, although the upgrade leaves only about 0.225 ps of nominal headroom. Actual PMD should be measured across the installed route and assessed against the selected 100 Gb/s transceiver. A mitigation method is to select low-PMD fiber and components, avoid unnecessary stress/twist, and use receiver-side polarization tracking/equalization where supported.</w:t>
      </w:r>
    </w:p>
    <w:p w14:paraId="6D81E2DC" w14:textId="77777777" w:rsidR="009D6FAE" w:rsidRPr="00103A34" w:rsidRDefault="00000000">
      <w:pPr>
        <w:pStyle w:val="Heading2"/>
        <w:rPr>
          <w:rFonts w:ascii="Times New Roman" w:hAnsi="Times New Roman" w:cs="Times New Roman"/>
          <w:sz w:val="28"/>
          <w:szCs w:val="28"/>
        </w:rPr>
      </w:pPr>
      <w:r w:rsidRPr="00103A34">
        <w:rPr>
          <w:rFonts w:ascii="Times New Roman" w:hAnsi="Times New Roman" w:cs="Times New Roman"/>
          <w:sz w:val="28"/>
          <w:szCs w:val="28"/>
        </w:rPr>
        <w:t>6.4 Birefringence and beat length</w:t>
      </w:r>
    </w:p>
    <w:p w14:paraId="2AE91666"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Birefringence is the difference in effective refractive index experienced by two orthogonal polarization modes. Beat length is LB = λ/B, with λ = 1.55 × 10⁻⁶ m.</w:t>
      </w:r>
    </w:p>
    <w:p w14:paraId="4B0CFFED"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Standard fiber: LB = 1.55 × 10⁻⁶ / 10⁻⁷ = 15.5 m</w:t>
      </w:r>
    </w:p>
    <w:p w14:paraId="4CC2FBC4"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PM fiber: LB = 1.55 × 10⁻⁶ / (4 × 10⁻⁴) = 3.875 mm</w:t>
      </w:r>
    </w:p>
    <w:p w14:paraId="6F4171C8"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Polarization-maintaining (PM) fiber has high intentional birefringence and keeps light aligned to one principal axis in applications that require stable polarization, such as certain lasers and interferometers. A conventional telecom data link does not normally require PM fiber throughout the 60 km route; low-PMD telecom fiber and receiver polarization handling are more appropriate.</w:t>
      </w:r>
    </w:p>
    <w:p w14:paraId="3CB6EEDB"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 xml:space="preserve">Design Decision 3: I recommend single-mode G.652.D for the main span with a G.657.A entry segment, and I would not deploy the 10.2 km DCF section without redesigning the power budget. The calculated DCF cancels nominal first-order dispersion but adds 5.1 dB </w:t>
      </w:r>
      <w:r w:rsidRPr="00103A34">
        <w:rPr>
          <w:rFonts w:ascii="Times New Roman" w:hAnsi="Times New Roman" w:cs="Times New Roman"/>
          <w:sz w:val="28"/>
          <w:szCs w:val="28"/>
        </w:rPr>
        <w:lastRenderedPageBreak/>
        <w:t>and reduces the estimated sensitivity margin to 4.6 dB. Dispersion must still be controlled, but the compensation method should preserve at least 6 dB margin. PMD is nominally acceptable at both bit rates, subject to measurement and transceiver verification.</w:t>
      </w:r>
    </w:p>
    <w:p w14:paraId="50F6224C" w14:textId="77777777" w:rsidR="009D6FAE" w:rsidRPr="00103A34" w:rsidRDefault="00000000">
      <w:pPr>
        <w:pStyle w:val="Heading1"/>
        <w:rPr>
          <w:rFonts w:ascii="Times New Roman" w:hAnsi="Times New Roman" w:cs="Times New Roman"/>
          <w:sz w:val="28"/>
        </w:rPr>
      </w:pPr>
      <w:r w:rsidRPr="00103A34">
        <w:rPr>
          <w:rFonts w:ascii="Times New Roman" w:hAnsi="Times New Roman" w:cs="Times New Roman"/>
          <w:sz w:val="28"/>
        </w:rPr>
        <w:t>7. Stage 5 – OSNR and Amplification Strategy</w:t>
      </w:r>
    </w:p>
    <w:p w14:paraId="0D8E962E" w14:textId="77777777" w:rsidR="009D6FAE" w:rsidRPr="00103A34" w:rsidRDefault="00000000">
      <w:pPr>
        <w:pStyle w:val="Heading2"/>
        <w:rPr>
          <w:rFonts w:ascii="Times New Roman" w:hAnsi="Times New Roman" w:cs="Times New Roman"/>
          <w:sz w:val="28"/>
          <w:szCs w:val="28"/>
        </w:rPr>
      </w:pPr>
      <w:r w:rsidRPr="00103A34">
        <w:rPr>
          <w:rFonts w:ascii="Times New Roman" w:hAnsi="Times New Roman" w:cs="Times New Roman"/>
          <w:sz w:val="28"/>
          <w:szCs w:val="28"/>
        </w:rPr>
        <w:t>7.1 Initial OSNR</w:t>
      </w:r>
    </w:p>
    <w:p w14:paraId="32240AA6"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 xml:space="preserve">OSNR = Ps(dBm) − </w:t>
      </w:r>
      <w:proofErr w:type="gramStart"/>
      <w:r w:rsidRPr="00103A34">
        <w:rPr>
          <w:rFonts w:ascii="Times New Roman" w:hAnsi="Times New Roman" w:cs="Times New Roman"/>
          <w:b/>
          <w:sz w:val="28"/>
          <w:szCs w:val="28"/>
        </w:rPr>
        <w:t>PASE(</w:t>
      </w:r>
      <w:proofErr w:type="gramEnd"/>
      <w:r w:rsidRPr="00103A34">
        <w:rPr>
          <w:rFonts w:ascii="Times New Roman" w:hAnsi="Times New Roman" w:cs="Times New Roman"/>
          <w:b/>
          <w:sz w:val="28"/>
          <w:szCs w:val="28"/>
        </w:rPr>
        <w:t>dBm)</w:t>
      </w:r>
    </w:p>
    <w:p w14:paraId="2BB95507"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Initial OSNR = (−16) − (−39) = 23 dB in 0.1 nm</w:t>
      </w:r>
    </w:p>
    <w:p w14:paraId="7FFFB565"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OSNR is measured by comparing the optical signal level with ASE noise in a stated reference bandwidth. The reference bandwidth must always be stated because the noise power depends on bandwidth.</w:t>
      </w:r>
    </w:p>
    <w:p w14:paraId="0FDEEB51" w14:textId="77777777" w:rsidR="009D6FAE" w:rsidRPr="00103A34" w:rsidRDefault="00000000">
      <w:pPr>
        <w:pStyle w:val="Heading2"/>
        <w:rPr>
          <w:rFonts w:ascii="Times New Roman" w:hAnsi="Times New Roman" w:cs="Times New Roman"/>
          <w:sz w:val="28"/>
          <w:szCs w:val="28"/>
        </w:rPr>
      </w:pPr>
      <w:r w:rsidRPr="00103A34">
        <w:rPr>
          <w:rFonts w:ascii="Times New Roman" w:hAnsi="Times New Roman" w:cs="Times New Roman"/>
          <w:sz w:val="28"/>
          <w:szCs w:val="28"/>
        </w:rPr>
        <w:t>7.2 Levels after the proposed amplifier</w:t>
      </w:r>
    </w:p>
    <w:p w14:paraId="75F62D35"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Signal after gain = −16 + 14 = −2 dBm</w:t>
      </w:r>
    </w:p>
    <w:p w14:paraId="00313F99"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ASE after noise increase = −39 + 16 = −23 dBm</w:t>
      </w:r>
    </w:p>
    <w:p w14:paraId="7C616F13" w14:textId="77777777" w:rsidR="009D6FAE" w:rsidRPr="00103A34" w:rsidRDefault="00000000">
      <w:pPr>
        <w:spacing w:before="40" w:after="100"/>
        <w:jc w:val="center"/>
        <w:rPr>
          <w:rFonts w:ascii="Times New Roman" w:hAnsi="Times New Roman" w:cs="Times New Roman"/>
          <w:sz w:val="28"/>
          <w:szCs w:val="28"/>
        </w:rPr>
      </w:pPr>
      <w:r w:rsidRPr="00103A34">
        <w:rPr>
          <w:rFonts w:ascii="Times New Roman" w:hAnsi="Times New Roman" w:cs="Times New Roman"/>
          <w:b/>
          <w:sz w:val="28"/>
          <w:szCs w:val="28"/>
        </w:rPr>
        <w:t>OSNR after amplifier = (−2) − (−23) = 21 dB</w:t>
      </w:r>
    </w:p>
    <w:p w14:paraId="40EF2956"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The amplifier increases the signal by 14 dB but increases ASE noise by 16 dB. As a result, OSNR decreases by 2 dB, from 23 dB to 21 dB. The resulting OSNR remains 4 dB above the required 17 dB, but the amplifier does not improve signal quality relative to ASE noise.</w:t>
      </w:r>
    </w:p>
    <w:tbl>
      <w:tblPr>
        <w:tblStyle w:val="TableGrid"/>
        <w:tblW w:w="0" w:type="auto"/>
        <w:jc w:val="center"/>
        <w:tblLook w:val="04A0" w:firstRow="1" w:lastRow="0" w:firstColumn="1" w:lastColumn="0" w:noHBand="0" w:noVBand="1"/>
      </w:tblPr>
      <w:tblGrid>
        <w:gridCol w:w="4603"/>
        <w:gridCol w:w="5467"/>
      </w:tblGrid>
      <w:tr w:rsidR="009D6FAE" w:rsidRPr="00103A34" w14:paraId="4E5703A2" w14:textId="77777777">
        <w:trPr>
          <w:cantSplit/>
          <w:jc w:val="center"/>
        </w:trPr>
        <w:tc>
          <w:tcPr>
            <w:tcW w:w="4608" w:type="dxa"/>
            <w:shd w:val="clear" w:color="auto" w:fill="D9EAF7"/>
            <w:vAlign w:val="center"/>
          </w:tcPr>
          <w:p w14:paraId="32118CA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OSNR check</w:t>
            </w:r>
          </w:p>
        </w:tc>
        <w:tc>
          <w:tcPr>
            <w:tcW w:w="5472" w:type="dxa"/>
            <w:shd w:val="clear" w:color="auto" w:fill="D9EAF7"/>
            <w:vAlign w:val="center"/>
          </w:tcPr>
          <w:p w14:paraId="664DB64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Result</w:t>
            </w:r>
          </w:p>
        </w:tc>
      </w:tr>
      <w:tr w:rsidR="009D6FAE" w:rsidRPr="00103A34" w14:paraId="47BDAF47" w14:textId="77777777">
        <w:trPr>
          <w:cantSplit/>
          <w:jc w:val="center"/>
        </w:trPr>
        <w:tc>
          <w:tcPr>
            <w:tcW w:w="4608" w:type="dxa"/>
            <w:vAlign w:val="center"/>
          </w:tcPr>
          <w:p w14:paraId="7B333404"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Initial signal / ASE</w:t>
            </w:r>
          </w:p>
        </w:tc>
        <w:tc>
          <w:tcPr>
            <w:tcW w:w="5472" w:type="dxa"/>
            <w:vAlign w:val="center"/>
          </w:tcPr>
          <w:p w14:paraId="765F794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−16 dBm / −39 dBm</w:t>
            </w:r>
          </w:p>
        </w:tc>
      </w:tr>
      <w:tr w:rsidR="009D6FAE" w:rsidRPr="00103A34" w14:paraId="69FA6B8B" w14:textId="77777777">
        <w:trPr>
          <w:cantSplit/>
          <w:jc w:val="center"/>
        </w:trPr>
        <w:tc>
          <w:tcPr>
            <w:tcW w:w="4608" w:type="dxa"/>
            <w:vAlign w:val="center"/>
          </w:tcPr>
          <w:p w14:paraId="52FA201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Initial OSNR</w:t>
            </w:r>
          </w:p>
        </w:tc>
        <w:tc>
          <w:tcPr>
            <w:tcW w:w="5472" w:type="dxa"/>
            <w:vAlign w:val="center"/>
          </w:tcPr>
          <w:p w14:paraId="60AD0DE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23 dB</w:t>
            </w:r>
          </w:p>
        </w:tc>
      </w:tr>
      <w:tr w:rsidR="009D6FAE" w:rsidRPr="00103A34" w14:paraId="057A29B6" w14:textId="77777777">
        <w:trPr>
          <w:cantSplit/>
          <w:jc w:val="center"/>
        </w:trPr>
        <w:tc>
          <w:tcPr>
            <w:tcW w:w="4608" w:type="dxa"/>
            <w:vAlign w:val="center"/>
          </w:tcPr>
          <w:p w14:paraId="46FCA88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After amplifier signal / ASE</w:t>
            </w:r>
          </w:p>
        </w:tc>
        <w:tc>
          <w:tcPr>
            <w:tcW w:w="5472" w:type="dxa"/>
            <w:vAlign w:val="center"/>
          </w:tcPr>
          <w:p w14:paraId="65DA5EF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−2 dBm / −23 dBm</w:t>
            </w:r>
          </w:p>
        </w:tc>
      </w:tr>
      <w:tr w:rsidR="009D6FAE" w:rsidRPr="00103A34" w14:paraId="1C6AD4AA" w14:textId="77777777">
        <w:trPr>
          <w:cantSplit/>
          <w:jc w:val="center"/>
        </w:trPr>
        <w:tc>
          <w:tcPr>
            <w:tcW w:w="4608" w:type="dxa"/>
            <w:vAlign w:val="center"/>
          </w:tcPr>
          <w:p w14:paraId="3A9EE7E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OSNR after amplifier</w:t>
            </w:r>
          </w:p>
        </w:tc>
        <w:tc>
          <w:tcPr>
            <w:tcW w:w="5472" w:type="dxa"/>
            <w:vAlign w:val="center"/>
          </w:tcPr>
          <w:p w14:paraId="7D32AED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21 dB</w:t>
            </w:r>
          </w:p>
        </w:tc>
      </w:tr>
      <w:tr w:rsidR="009D6FAE" w:rsidRPr="00103A34" w14:paraId="31067A04" w14:textId="77777777">
        <w:trPr>
          <w:cantSplit/>
          <w:jc w:val="center"/>
        </w:trPr>
        <w:tc>
          <w:tcPr>
            <w:tcW w:w="4608" w:type="dxa"/>
            <w:vAlign w:val="center"/>
          </w:tcPr>
          <w:p w14:paraId="496D2DC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Required OSNR</w:t>
            </w:r>
          </w:p>
        </w:tc>
        <w:tc>
          <w:tcPr>
            <w:tcW w:w="5472" w:type="dxa"/>
            <w:vAlign w:val="center"/>
          </w:tcPr>
          <w:p w14:paraId="7C82626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17 dB</w:t>
            </w:r>
          </w:p>
        </w:tc>
      </w:tr>
      <w:tr w:rsidR="009D6FAE" w:rsidRPr="00103A34" w14:paraId="2648FDBF" w14:textId="77777777">
        <w:trPr>
          <w:cantSplit/>
          <w:jc w:val="center"/>
        </w:trPr>
        <w:tc>
          <w:tcPr>
            <w:tcW w:w="4608" w:type="dxa"/>
            <w:vAlign w:val="center"/>
          </w:tcPr>
          <w:p w14:paraId="6083A88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Remaining OSNR margin</w:t>
            </w:r>
          </w:p>
        </w:tc>
        <w:tc>
          <w:tcPr>
            <w:tcW w:w="5472" w:type="dxa"/>
            <w:vAlign w:val="center"/>
          </w:tcPr>
          <w:p w14:paraId="35E4D194"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4 dB</w:t>
            </w:r>
          </w:p>
        </w:tc>
      </w:tr>
      <w:tr w:rsidR="009D6FAE" w:rsidRPr="00103A34" w14:paraId="06D2535E" w14:textId="77777777">
        <w:trPr>
          <w:cantSplit/>
          <w:jc w:val="center"/>
        </w:trPr>
        <w:tc>
          <w:tcPr>
            <w:tcW w:w="4608" w:type="dxa"/>
            <w:vAlign w:val="center"/>
          </w:tcPr>
          <w:p w14:paraId="593B6034"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Decision</w:t>
            </w:r>
          </w:p>
        </w:tc>
        <w:tc>
          <w:tcPr>
            <w:tcW w:w="5472" w:type="dxa"/>
            <w:vAlign w:val="center"/>
          </w:tcPr>
          <w:p w14:paraId="55E6803C"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Meets stated threshold, but amplifier noise performance should be improved if possible</w:t>
            </w:r>
          </w:p>
        </w:tc>
      </w:tr>
    </w:tbl>
    <w:p w14:paraId="4DD50142" w14:textId="77777777" w:rsidR="009D6FAE" w:rsidRPr="00103A34" w:rsidRDefault="009D6FAE">
      <w:pPr>
        <w:rPr>
          <w:rFonts w:ascii="Times New Roman" w:hAnsi="Times New Roman" w:cs="Times New Roman"/>
          <w:sz w:val="28"/>
          <w:szCs w:val="28"/>
        </w:rPr>
      </w:pPr>
    </w:p>
    <w:p w14:paraId="7F9E1F15"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Inadequate OSNR makes symbol decisions less reliable, generally lowers Q-factor and increases BER. A link can therefore have enough received power but still fail because its signal is too noisy.</w:t>
      </w:r>
    </w:p>
    <w:p w14:paraId="701B6E39" w14:textId="77777777" w:rsidR="009D6FAE" w:rsidRPr="00103A34" w:rsidRDefault="00000000">
      <w:pPr>
        <w:pStyle w:val="Heading2"/>
        <w:rPr>
          <w:rFonts w:ascii="Times New Roman" w:hAnsi="Times New Roman" w:cs="Times New Roman"/>
          <w:color w:val="auto"/>
          <w:sz w:val="28"/>
          <w:szCs w:val="28"/>
        </w:rPr>
      </w:pPr>
      <w:r w:rsidRPr="00103A34">
        <w:rPr>
          <w:rFonts w:ascii="Times New Roman" w:hAnsi="Times New Roman" w:cs="Times New Roman"/>
          <w:color w:val="auto"/>
          <w:sz w:val="28"/>
          <w:szCs w:val="28"/>
        </w:rPr>
        <w:lastRenderedPageBreak/>
        <w:t>7.3 Recommended OSNR measures</w:t>
      </w:r>
    </w:p>
    <w:p w14:paraId="67607BD0"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Choose an amplifier with a lower noise figure and avoid unnecessary cascaded amplification; set gain only as high as required to meet the receiver power target.</w:t>
      </w:r>
    </w:p>
    <w:p w14:paraId="7B7AC52F"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Reduce passive losses and use appropriate filtering and receiver specifications. Verify OSNR using an optical spectrum analyser at the 0.1 nm reference bandwidth.</w:t>
      </w:r>
    </w:p>
    <w:p w14:paraId="2FEB881F"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Design Decision 4: I recommend revising the amplifier strategy rather than accepting the supplied amplifier as the preferred quality-improvement solution. The resulting OSNR is 21 dB, which passes the 17 dB requirement by 4 dB, but it is 2 dB worse than the original 23 dB. It may be used for power restoration only if its placement, output level, saturation and noise figure are verified against the full link design.</w:t>
      </w:r>
    </w:p>
    <w:p w14:paraId="79D1E466" w14:textId="77777777" w:rsidR="009D6FAE" w:rsidRPr="00103A34" w:rsidRDefault="00000000">
      <w:pPr>
        <w:pStyle w:val="Heading1"/>
        <w:rPr>
          <w:rFonts w:ascii="Times New Roman" w:hAnsi="Times New Roman" w:cs="Times New Roman"/>
          <w:sz w:val="28"/>
        </w:rPr>
      </w:pPr>
      <w:r w:rsidRPr="00103A34">
        <w:rPr>
          <w:rFonts w:ascii="Times New Roman" w:hAnsi="Times New Roman" w:cs="Times New Roman"/>
          <w:sz w:val="28"/>
        </w:rPr>
        <w:t>8. Stage 6 – Verification of the Complete Link</w:t>
      </w:r>
    </w:p>
    <w:tbl>
      <w:tblPr>
        <w:tblStyle w:val="TableGrid"/>
        <w:tblW w:w="0" w:type="auto"/>
        <w:jc w:val="center"/>
        <w:tblLook w:val="04A0" w:firstRow="1" w:lastRow="0" w:firstColumn="1" w:lastColumn="0" w:noHBand="0" w:noVBand="1"/>
      </w:tblPr>
      <w:tblGrid>
        <w:gridCol w:w="2088"/>
        <w:gridCol w:w="2445"/>
        <w:gridCol w:w="3091"/>
        <w:gridCol w:w="2446"/>
      </w:tblGrid>
      <w:tr w:rsidR="009D6FAE" w:rsidRPr="00103A34" w14:paraId="504937EC" w14:textId="77777777">
        <w:trPr>
          <w:cantSplit/>
          <w:jc w:val="center"/>
        </w:trPr>
        <w:tc>
          <w:tcPr>
            <w:tcW w:w="2088" w:type="dxa"/>
            <w:shd w:val="clear" w:color="auto" w:fill="D9EAF7"/>
            <w:vAlign w:val="center"/>
          </w:tcPr>
          <w:p w14:paraId="043426C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Requirement</w:t>
            </w:r>
          </w:p>
        </w:tc>
        <w:tc>
          <w:tcPr>
            <w:tcW w:w="2448" w:type="dxa"/>
            <w:shd w:val="clear" w:color="auto" w:fill="D9EAF7"/>
            <w:vAlign w:val="center"/>
          </w:tcPr>
          <w:p w14:paraId="5FC04E5F"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Target</w:t>
            </w:r>
          </w:p>
        </w:tc>
        <w:tc>
          <w:tcPr>
            <w:tcW w:w="3096" w:type="dxa"/>
            <w:shd w:val="clear" w:color="auto" w:fill="D9EAF7"/>
            <w:vAlign w:val="center"/>
          </w:tcPr>
          <w:p w14:paraId="6F8B878C"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Calculated result</w:t>
            </w:r>
          </w:p>
        </w:tc>
        <w:tc>
          <w:tcPr>
            <w:tcW w:w="2448" w:type="dxa"/>
            <w:shd w:val="clear" w:color="auto" w:fill="D9EAF7"/>
            <w:vAlign w:val="center"/>
          </w:tcPr>
          <w:p w14:paraId="56DBFB6C"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Status / comment</w:t>
            </w:r>
          </w:p>
        </w:tc>
      </w:tr>
      <w:tr w:rsidR="009D6FAE" w:rsidRPr="00103A34" w14:paraId="55704CC8" w14:textId="77777777">
        <w:trPr>
          <w:cantSplit/>
          <w:jc w:val="center"/>
        </w:trPr>
        <w:tc>
          <w:tcPr>
            <w:tcW w:w="2088" w:type="dxa"/>
            <w:vAlign w:val="center"/>
          </w:tcPr>
          <w:p w14:paraId="23F342D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Modal condition / category</w:t>
            </w:r>
          </w:p>
        </w:tc>
        <w:tc>
          <w:tcPr>
            <w:tcW w:w="2448" w:type="dxa"/>
            <w:vAlign w:val="center"/>
          </w:tcPr>
          <w:p w14:paraId="4657C70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Single-mode telecom fiber</w:t>
            </w:r>
          </w:p>
        </w:tc>
        <w:tc>
          <w:tcPr>
            <w:tcW w:w="3096" w:type="dxa"/>
            <w:vAlign w:val="center"/>
          </w:tcPr>
          <w:p w14:paraId="307A8B9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Fiber A V ≈ 1.95; G.652.D main span + G.657.A entry</w:t>
            </w:r>
          </w:p>
        </w:tc>
        <w:tc>
          <w:tcPr>
            <w:tcW w:w="2448" w:type="dxa"/>
            <w:vAlign w:val="center"/>
          </w:tcPr>
          <w:p w14:paraId="68490C78"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Pass for 10 Gb/s</w:t>
            </w:r>
          </w:p>
        </w:tc>
      </w:tr>
      <w:tr w:rsidR="009D6FAE" w:rsidRPr="00103A34" w14:paraId="5CC6A19E" w14:textId="77777777">
        <w:trPr>
          <w:cantSplit/>
          <w:jc w:val="center"/>
        </w:trPr>
        <w:tc>
          <w:tcPr>
            <w:tcW w:w="2088" w:type="dxa"/>
            <w:vAlign w:val="center"/>
          </w:tcPr>
          <w:p w14:paraId="503E71C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Distributed attenuation</w:t>
            </w:r>
          </w:p>
        </w:tc>
        <w:tc>
          <w:tcPr>
            <w:tcW w:w="2448" w:type="dxa"/>
            <w:vAlign w:val="center"/>
          </w:tcPr>
          <w:p w14:paraId="06A04A1F"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Minimize loss</w:t>
            </w:r>
          </w:p>
        </w:tc>
        <w:tc>
          <w:tcPr>
            <w:tcW w:w="3096" w:type="dxa"/>
            <w:vAlign w:val="center"/>
          </w:tcPr>
          <w:p w14:paraId="4E4844C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0.18 dB/km; 10.8 dB over 60 km</w:t>
            </w:r>
          </w:p>
        </w:tc>
        <w:tc>
          <w:tcPr>
            <w:tcW w:w="2448" w:type="dxa"/>
            <w:vAlign w:val="center"/>
          </w:tcPr>
          <w:p w14:paraId="4583650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As specified; Rayleigh is largest component</w:t>
            </w:r>
          </w:p>
        </w:tc>
      </w:tr>
      <w:tr w:rsidR="009D6FAE" w:rsidRPr="00103A34" w14:paraId="7DB1D59A" w14:textId="77777777">
        <w:trPr>
          <w:cantSplit/>
          <w:jc w:val="center"/>
        </w:trPr>
        <w:tc>
          <w:tcPr>
            <w:tcW w:w="2088" w:type="dxa"/>
            <w:vAlign w:val="center"/>
          </w:tcPr>
          <w:p w14:paraId="4B33047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Total passive link loss</w:t>
            </w:r>
          </w:p>
        </w:tc>
        <w:tc>
          <w:tcPr>
            <w:tcW w:w="2448" w:type="dxa"/>
            <w:vAlign w:val="center"/>
          </w:tcPr>
          <w:p w14:paraId="7F3F097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Fit power budget</w:t>
            </w:r>
          </w:p>
        </w:tc>
        <w:tc>
          <w:tcPr>
            <w:tcW w:w="3096" w:type="dxa"/>
            <w:vAlign w:val="center"/>
          </w:tcPr>
          <w:p w14:paraId="305A277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13.3 dB with G.657.A entry</w:t>
            </w:r>
          </w:p>
        </w:tc>
        <w:tc>
          <w:tcPr>
            <w:tcW w:w="2448" w:type="dxa"/>
            <w:vAlign w:val="center"/>
          </w:tcPr>
          <w:p w14:paraId="0DA7E96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Pass before DCF/other unlisted losses</w:t>
            </w:r>
          </w:p>
        </w:tc>
      </w:tr>
      <w:tr w:rsidR="009D6FAE" w:rsidRPr="00103A34" w14:paraId="10CA5418" w14:textId="77777777">
        <w:trPr>
          <w:cantSplit/>
          <w:jc w:val="center"/>
        </w:trPr>
        <w:tc>
          <w:tcPr>
            <w:tcW w:w="2088" w:type="dxa"/>
            <w:vAlign w:val="center"/>
          </w:tcPr>
          <w:p w14:paraId="2A5C763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Received power / margin</w:t>
            </w:r>
          </w:p>
        </w:tc>
        <w:tc>
          <w:tcPr>
            <w:tcW w:w="2448" w:type="dxa"/>
            <w:vAlign w:val="center"/>
          </w:tcPr>
          <w:p w14:paraId="382F42B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At least −14 dBm to retain 6 dB margin</w:t>
            </w:r>
          </w:p>
        </w:tc>
        <w:tc>
          <w:tcPr>
            <w:tcW w:w="3096" w:type="dxa"/>
            <w:vAlign w:val="center"/>
          </w:tcPr>
          <w:p w14:paraId="0820400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−10.3 dBm; 9.7 dB margin before DCF</w:t>
            </w:r>
          </w:p>
        </w:tc>
        <w:tc>
          <w:tcPr>
            <w:tcW w:w="2448" w:type="dxa"/>
            <w:vAlign w:val="center"/>
          </w:tcPr>
          <w:p w14:paraId="5846021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Pass before DCF</w:t>
            </w:r>
          </w:p>
        </w:tc>
      </w:tr>
      <w:tr w:rsidR="009D6FAE" w:rsidRPr="00103A34" w14:paraId="2C562CB0" w14:textId="77777777">
        <w:trPr>
          <w:cantSplit/>
          <w:jc w:val="center"/>
        </w:trPr>
        <w:tc>
          <w:tcPr>
            <w:tcW w:w="2088" w:type="dxa"/>
            <w:vAlign w:val="center"/>
          </w:tcPr>
          <w:p w14:paraId="3D08D13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Pulse broadening</w:t>
            </w:r>
          </w:p>
        </w:tc>
        <w:tc>
          <w:tcPr>
            <w:tcW w:w="2448" w:type="dxa"/>
            <w:vAlign w:val="center"/>
          </w:tcPr>
          <w:p w14:paraId="16501E0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Compatible with 100 ps bit period</w:t>
            </w:r>
          </w:p>
        </w:tc>
        <w:tc>
          <w:tcPr>
            <w:tcW w:w="3096" w:type="dxa"/>
            <w:vAlign w:val="center"/>
          </w:tcPr>
          <w:p w14:paraId="1A9CB89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409.1 ps G.652.D; 112.1 ps G.655</w:t>
            </w:r>
          </w:p>
        </w:tc>
        <w:tc>
          <w:tcPr>
            <w:tcW w:w="2448" w:type="dxa"/>
            <w:vAlign w:val="center"/>
          </w:tcPr>
          <w:p w14:paraId="0962BF6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Fail without dispersion management under simplified model</w:t>
            </w:r>
          </w:p>
        </w:tc>
      </w:tr>
      <w:tr w:rsidR="009D6FAE" w:rsidRPr="00103A34" w14:paraId="686E17EE" w14:textId="77777777">
        <w:trPr>
          <w:cantSplit/>
          <w:jc w:val="center"/>
        </w:trPr>
        <w:tc>
          <w:tcPr>
            <w:tcW w:w="2088" w:type="dxa"/>
            <w:vAlign w:val="center"/>
          </w:tcPr>
          <w:p w14:paraId="00FD13F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DCF requirement</w:t>
            </w:r>
          </w:p>
        </w:tc>
        <w:tc>
          <w:tcPr>
            <w:tcW w:w="2448" w:type="dxa"/>
            <w:vAlign w:val="center"/>
          </w:tcPr>
          <w:p w14:paraId="07F47F4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Compensate dispersion without losing required margin</w:t>
            </w:r>
          </w:p>
        </w:tc>
        <w:tc>
          <w:tcPr>
            <w:tcW w:w="3096" w:type="dxa"/>
            <w:vAlign w:val="center"/>
          </w:tcPr>
          <w:p w14:paraId="49C4246F"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10.2 km; 5.1 dB added loss</w:t>
            </w:r>
          </w:p>
        </w:tc>
        <w:tc>
          <w:tcPr>
            <w:tcW w:w="2448" w:type="dxa"/>
            <w:vAlign w:val="center"/>
          </w:tcPr>
          <w:p w14:paraId="04B6808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Nominal compensation, but power margin fails</w:t>
            </w:r>
          </w:p>
        </w:tc>
      </w:tr>
      <w:tr w:rsidR="009D6FAE" w:rsidRPr="00103A34" w14:paraId="3A67DD99" w14:textId="77777777">
        <w:trPr>
          <w:cantSplit/>
          <w:jc w:val="center"/>
        </w:trPr>
        <w:tc>
          <w:tcPr>
            <w:tcW w:w="2088" w:type="dxa"/>
            <w:vAlign w:val="center"/>
          </w:tcPr>
          <w:p w14:paraId="6298F19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PMD</w:t>
            </w:r>
          </w:p>
        </w:tc>
        <w:tc>
          <w:tcPr>
            <w:tcW w:w="2448" w:type="dxa"/>
            <w:vAlign w:val="center"/>
          </w:tcPr>
          <w:p w14:paraId="2078BF1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≤10 ps at 10 Gb/s; ≤1 ps at 100 Gb/s</w:t>
            </w:r>
          </w:p>
        </w:tc>
        <w:tc>
          <w:tcPr>
            <w:tcW w:w="3096" w:type="dxa"/>
            <w:vAlign w:val="center"/>
          </w:tcPr>
          <w:p w14:paraId="5347A6A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0.775 ps</w:t>
            </w:r>
          </w:p>
        </w:tc>
        <w:tc>
          <w:tcPr>
            <w:tcW w:w="2448" w:type="dxa"/>
            <w:vAlign w:val="center"/>
          </w:tcPr>
          <w:p w14:paraId="7ED1319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Nominal pass; measure installed link</w:t>
            </w:r>
          </w:p>
        </w:tc>
      </w:tr>
      <w:tr w:rsidR="009D6FAE" w:rsidRPr="00103A34" w14:paraId="0287D0A6" w14:textId="77777777">
        <w:trPr>
          <w:cantSplit/>
          <w:jc w:val="center"/>
        </w:trPr>
        <w:tc>
          <w:tcPr>
            <w:tcW w:w="2088" w:type="dxa"/>
            <w:vAlign w:val="center"/>
          </w:tcPr>
          <w:p w14:paraId="3DAD008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OSNR</w:t>
            </w:r>
          </w:p>
        </w:tc>
        <w:tc>
          <w:tcPr>
            <w:tcW w:w="2448" w:type="dxa"/>
            <w:vAlign w:val="center"/>
          </w:tcPr>
          <w:p w14:paraId="30FA6C5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≥17 dB in 0.1 nm</w:t>
            </w:r>
          </w:p>
        </w:tc>
        <w:tc>
          <w:tcPr>
            <w:tcW w:w="3096" w:type="dxa"/>
            <w:vAlign w:val="center"/>
          </w:tcPr>
          <w:p w14:paraId="121A7CD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21 dB after amplifier</w:t>
            </w:r>
          </w:p>
        </w:tc>
        <w:tc>
          <w:tcPr>
            <w:tcW w:w="2448" w:type="dxa"/>
            <w:vAlign w:val="center"/>
          </w:tcPr>
          <w:p w14:paraId="1D3482B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Pass by 4 dB; amplifier worsens OSNR by 2 dB</w:t>
            </w:r>
          </w:p>
        </w:tc>
      </w:tr>
    </w:tbl>
    <w:p w14:paraId="2F5C10D3" w14:textId="77777777" w:rsidR="009D6FAE" w:rsidRPr="00103A34" w:rsidRDefault="009D6FAE">
      <w:pPr>
        <w:rPr>
          <w:rFonts w:ascii="Times New Roman" w:hAnsi="Times New Roman" w:cs="Times New Roman"/>
          <w:sz w:val="28"/>
          <w:szCs w:val="28"/>
        </w:rPr>
      </w:pPr>
    </w:p>
    <w:p w14:paraId="79FE420C"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lastRenderedPageBreak/>
        <w:t>The results are not all simultaneously satisfactory. The passive power budget passes, PMD passes nominally, and OSNR exceeds its threshold. However, the simple chromatic-dispersion calculation fails the 100 ps pulse-width comparison, and the specified DCF adds enough loss to reduce the sensitivity margin below 6 dB. The integrated design therefore needs a dispersion solution that does not compromise the power budget.</w:t>
      </w:r>
    </w:p>
    <w:p w14:paraId="2A38BD92" w14:textId="77777777" w:rsidR="009D6FAE" w:rsidRPr="00103A34" w:rsidRDefault="00000000">
      <w:pPr>
        <w:pStyle w:val="Heading1"/>
        <w:rPr>
          <w:rFonts w:ascii="Times New Roman" w:hAnsi="Times New Roman" w:cs="Times New Roman"/>
          <w:sz w:val="28"/>
        </w:rPr>
      </w:pPr>
      <w:r w:rsidRPr="00103A34">
        <w:rPr>
          <w:rFonts w:ascii="Times New Roman" w:hAnsi="Times New Roman" w:cs="Times New Roman"/>
          <w:sz w:val="28"/>
        </w:rPr>
        <w:t>9. Final System Design – Proposed Configuration</w:t>
      </w:r>
    </w:p>
    <w:p w14:paraId="5DCD6394" w14:textId="77777777" w:rsidR="009D6FAE" w:rsidRPr="00103A34" w:rsidRDefault="00000000">
      <w:pPr>
        <w:pStyle w:val="Heading2"/>
        <w:rPr>
          <w:rFonts w:ascii="Times New Roman" w:hAnsi="Times New Roman" w:cs="Times New Roman"/>
          <w:sz w:val="28"/>
          <w:szCs w:val="28"/>
        </w:rPr>
      </w:pPr>
      <w:r w:rsidRPr="00103A34">
        <w:rPr>
          <w:rFonts w:ascii="Times New Roman" w:hAnsi="Times New Roman" w:cs="Times New Roman"/>
          <w:sz w:val="28"/>
          <w:szCs w:val="28"/>
        </w:rPr>
        <w:t>9.1 Adopted design parameters</w:t>
      </w:r>
    </w:p>
    <w:tbl>
      <w:tblPr>
        <w:tblStyle w:val="TableGrid"/>
        <w:tblW w:w="0" w:type="auto"/>
        <w:jc w:val="center"/>
        <w:tblLook w:val="04A0" w:firstRow="1" w:lastRow="0" w:firstColumn="1" w:lastColumn="0" w:noHBand="0" w:noVBand="1"/>
      </w:tblPr>
      <w:tblGrid>
        <w:gridCol w:w="2374"/>
        <w:gridCol w:w="4173"/>
        <w:gridCol w:w="3523"/>
      </w:tblGrid>
      <w:tr w:rsidR="009D6FAE" w:rsidRPr="00103A34" w14:paraId="424F02EA" w14:textId="77777777">
        <w:trPr>
          <w:cantSplit/>
          <w:jc w:val="center"/>
        </w:trPr>
        <w:tc>
          <w:tcPr>
            <w:tcW w:w="2376" w:type="dxa"/>
            <w:shd w:val="clear" w:color="auto" w:fill="D9EAF7"/>
            <w:vAlign w:val="center"/>
          </w:tcPr>
          <w:p w14:paraId="2B7200E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Design item</w:t>
            </w:r>
          </w:p>
        </w:tc>
        <w:tc>
          <w:tcPr>
            <w:tcW w:w="4176" w:type="dxa"/>
            <w:shd w:val="clear" w:color="auto" w:fill="D9EAF7"/>
            <w:vAlign w:val="center"/>
          </w:tcPr>
          <w:p w14:paraId="4F9A6DF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Proposed value / decision</w:t>
            </w:r>
          </w:p>
        </w:tc>
        <w:tc>
          <w:tcPr>
            <w:tcW w:w="3528" w:type="dxa"/>
            <w:shd w:val="clear" w:color="auto" w:fill="D9EAF7"/>
            <w:vAlign w:val="center"/>
          </w:tcPr>
          <w:p w14:paraId="7279B62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Reason</w:t>
            </w:r>
          </w:p>
        </w:tc>
      </w:tr>
      <w:tr w:rsidR="009D6FAE" w:rsidRPr="00103A34" w14:paraId="5293E5C1" w14:textId="77777777">
        <w:trPr>
          <w:cantSplit/>
          <w:jc w:val="center"/>
        </w:trPr>
        <w:tc>
          <w:tcPr>
            <w:tcW w:w="2376" w:type="dxa"/>
            <w:vAlign w:val="center"/>
          </w:tcPr>
          <w:p w14:paraId="6C2F9CC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Operating wavelength</w:t>
            </w:r>
          </w:p>
        </w:tc>
        <w:tc>
          <w:tcPr>
            <w:tcW w:w="4176" w:type="dxa"/>
            <w:vAlign w:val="center"/>
          </w:tcPr>
          <w:p w14:paraId="799D7878"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1550 nm</w:t>
            </w:r>
          </w:p>
        </w:tc>
        <w:tc>
          <w:tcPr>
            <w:tcW w:w="3528" w:type="dxa"/>
            <w:vAlign w:val="center"/>
          </w:tcPr>
          <w:p w14:paraId="29238436"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Telecom low-loss region and amplifier ecosystem</w:t>
            </w:r>
          </w:p>
        </w:tc>
      </w:tr>
      <w:tr w:rsidR="009D6FAE" w:rsidRPr="00103A34" w14:paraId="080813B2" w14:textId="77777777">
        <w:trPr>
          <w:cantSplit/>
          <w:jc w:val="center"/>
        </w:trPr>
        <w:tc>
          <w:tcPr>
            <w:tcW w:w="2376" w:type="dxa"/>
            <w:vAlign w:val="center"/>
          </w:tcPr>
          <w:p w14:paraId="0EE20AA9"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Main transmission fiber</w:t>
            </w:r>
          </w:p>
        </w:tc>
        <w:tc>
          <w:tcPr>
            <w:tcW w:w="4176" w:type="dxa"/>
            <w:vAlign w:val="center"/>
          </w:tcPr>
          <w:p w14:paraId="10BFBE4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ITU-T G.652.D single-mode fiber, 60 km</w:t>
            </w:r>
          </w:p>
        </w:tc>
        <w:tc>
          <w:tcPr>
            <w:tcW w:w="3528" w:type="dxa"/>
            <w:vAlign w:val="center"/>
          </w:tcPr>
          <w:p w14:paraId="26F45FB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Long-distance single-mode propagation and broad compatibility</w:t>
            </w:r>
          </w:p>
        </w:tc>
      </w:tr>
      <w:tr w:rsidR="009D6FAE" w:rsidRPr="00103A34" w14:paraId="78C96232" w14:textId="77777777">
        <w:trPr>
          <w:cantSplit/>
          <w:jc w:val="center"/>
        </w:trPr>
        <w:tc>
          <w:tcPr>
            <w:tcW w:w="2376" w:type="dxa"/>
            <w:vAlign w:val="center"/>
          </w:tcPr>
          <w:p w14:paraId="38E859F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Building-entry fiber</w:t>
            </w:r>
          </w:p>
        </w:tc>
        <w:tc>
          <w:tcPr>
            <w:tcW w:w="4176" w:type="dxa"/>
            <w:vAlign w:val="center"/>
          </w:tcPr>
          <w:p w14:paraId="44CF814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ITU-T G.657.A bend-insensitive section</w:t>
            </w:r>
          </w:p>
        </w:tc>
        <w:tc>
          <w:tcPr>
            <w:tcW w:w="3528" w:type="dxa"/>
            <w:vAlign w:val="center"/>
          </w:tcPr>
          <w:p w14:paraId="679FCEB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Reduces specified entry bend loss from 0.8 to 0.1 dB</w:t>
            </w:r>
          </w:p>
        </w:tc>
      </w:tr>
      <w:tr w:rsidR="009D6FAE" w:rsidRPr="00103A34" w14:paraId="7DDD7ED6" w14:textId="77777777">
        <w:trPr>
          <w:cantSplit/>
          <w:jc w:val="center"/>
        </w:trPr>
        <w:tc>
          <w:tcPr>
            <w:tcW w:w="2376" w:type="dxa"/>
            <w:vAlign w:val="center"/>
          </w:tcPr>
          <w:p w14:paraId="60C908B4"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Launch power</w:t>
            </w:r>
          </w:p>
        </w:tc>
        <w:tc>
          <w:tcPr>
            <w:tcW w:w="4176" w:type="dxa"/>
            <w:vAlign w:val="center"/>
          </w:tcPr>
          <w:p w14:paraId="1B5FDB0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+3 dBm as given</w:t>
            </w:r>
          </w:p>
        </w:tc>
        <w:tc>
          <w:tcPr>
            <w:tcW w:w="3528" w:type="dxa"/>
            <w:vAlign w:val="center"/>
          </w:tcPr>
          <w:p w14:paraId="4761614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Used for the preliminary power budget; verify transmitter limits</w:t>
            </w:r>
          </w:p>
        </w:tc>
      </w:tr>
      <w:tr w:rsidR="009D6FAE" w:rsidRPr="00103A34" w14:paraId="4451827F" w14:textId="77777777">
        <w:trPr>
          <w:cantSplit/>
          <w:jc w:val="center"/>
        </w:trPr>
        <w:tc>
          <w:tcPr>
            <w:tcW w:w="2376" w:type="dxa"/>
            <w:vAlign w:val="center"/>
          </w:tcPr>
          <w:p w14:paraId="3557D1B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Passive link loss</w:t>
            </w:r>
          </w:p>
        </w:tc>
        <w:tc>
          <w:tcPr>
            <w:tcW w:w="4176" w:type="dxa"/>
            <w:vAlign w:val="center"/>
          </w:tcPr>
          <w:p w14:paraId="05159B5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13.3 dB</w:t>
            </w:r>
          </w:p>
        </w:tc>
        <w:tc>
          <w:tcPr>
            <w:tcW w:w="3528" w:type="dxa"/>
            <w:vAlign w:val="center"/>
          </w:tcPr>
          <w:p w14:paraId="28F46EF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Includes 10.8 dB fiber, 1.6 dB connectors, 0.8 dB splices and 0.1 dB entry bend</w:t>
            </w:r>
          </w:p>
        </w:tc>
      </w:tr>
      <w:tr w:rsidR="009D6FAE" w:rsidRPr="00103A34" w14:paraId="3AB381A4" w14:textId="77777777">
        <w:trPr>
          <w:cantSplit/>
          <w:jc w:val="center"/>
        </w:trPr>
        <w:tc>
          <w:tcPr>
            <w:tcW w:w="2376" w:type="dxa"/>
            <w:vAlign w:val="center"/>
          </w:tcPr>
          <w:p w14:paraId="060825A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Received power before DCF</w:t>
            </w:r>
          </w:p>
        </w:tc>
        <w:tc>
          <w:tcPr>
            <w:tcW w:w="4176" w:type="dxa"/>
            <w:vAlign w:val="center"/>
          </w:tcPr>
          <w:p w14:paraId="0198E6D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−10.3 dBm</w:t>
            </w:r>
          </w:p>
        </w:tc>
        <w:tc>
          <w:tcPr>
            <w:tcW w:w="3528" w:type="dxa"/>
            <w:vAlign w:val="center"/>
          </w:tcPr>
          <w:p w14:paraId="61DB720F"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9.7 dB above sensitivity; 3.7 dB beyond required reserve</w:t>
            </w:r>
          </w:p>
        </w:tc>
      </w:tr>
      <w:tr w:rsidR="009D6FAE" w:rsidRPr="00103A34" w14:paraId="2BBEB105" w14:textId="77777777">
        <w:trPr>
          <w:cantSplit/>
          <w:jc w:val="center"/>
        </w:trPr>
        <w:tc>
          <w:tcPr>
            <w:tcW w:w="2376" w:type="dxa"/>
            <w:vAlign w:val="center"/>
          </w:tcPr>
          <w:p w14:paraId="13814DD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Dispersion method</w:t>
            </w:r>
          </w:p>
        </w:tc>
        <w:tc>
          <w:tcPr>
            <w:tcW w:w="4176" w:type="dxa"/>
            <w:vAlign w:val="center"/>
          </w:tcPr>
          <w:p w14:paraId="6294F698"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Do not install 10.2 km DCF as-is; select a verified lower-loss compensation or coherent/electronic compensation solution</w:t>
            </w:r>
          </w:p>
        </w:tc>
        <w:tc>
          <w:tcPr>
            <w:tcW w:w="3528" w:type="dxa"/>
            <w:vAlign w:val="center"/>
          </w:tcPr>
          <w:p w14:paraId="07C500DC"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Specified DCF adds 5.1 dB and breaks the 6 dB margin</w:t>
            </w:r>
          </w:p>
        </w:tc>
      </w:tr>
      <w:tr w:rsidR="009D6FAE" w:rsidRPr="00103A34" w14:paraId="2ED35FA6" w14:textId="77777777">
        <w:trPr>
          <w:cantSplit/>
          <w:jc w:val="center"/>
        </w:trPr>
        <w:tc>
          <w:tcPr>
            <w:tcW w:w="2376" w:type="dxa"/>
            <w:vAlign w:val="center"/>
          </w:tcPr>
          <w:p w14:paraId="4D99D007"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PMD management</w:t>
            </w:r>
          </w:p>
        </w:tc>
        <w:tc>
          <w:tcPr>
            <w:tcW w:w="4176" w:type="dxa"/>
            <w:vAlign w:val="center"/>
          </w:tcPr>
          <w:p w14:paraId="20CE73C3"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Low-PMD fiber, controlled installation, receiver polarization handling; test the route</w:t>
            </w:r>
          </w:p>
        </w:tc>
        <w:tc>
          <w:tcPr>
            <w:tcW w:w="3528" w:type="dxa"/>
            <w:vAlign w:val="center"/>
          </w:tcPr>
          <w:p w14:paraId="2B3BC3C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Calculated PMD is 0.775 ps</w:t>
            </w:r>
          </w:p>
        </w:tc>
      </w:tr>
      <w:tr w:rsidR="009D6FAE" w:rsidRPr="00103A34" w14:paraId="653FF268" w14:textId="77777777">
        <w:trPr>
          <w:cantSplit/>
          <w:jc w:val="center"/>
        </w:trPr>
        <w:tc>
          <w:tcPr>
            <w:tcW w:w="2376" w:type="dxa"/>
            <w:vAlign w:val="center"/>
          </w:tcPr>
          <w:p w14:paraId="7E09246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Amplifier</w:t>
            </w:r>
          </w:p>
        </w:tc>
        <w:tc>
          <w:tcPr>
            <w:tcW w:w="4176" w:type="dxa"/>
            <w:vAlign w:val="center"/>
          </w:tcPr>
          <w:p w14:paraId="3FC6F0C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Do not use the stated amplifier as an OSNR-improvement measure; if required for power, validate placement/gain/noise figure</w:t>
            </w:r>
          </w:p>
        </w:tc>
        <w:tc>
          <w:tcPr>
            <w:tcW w:w="3528" w:type="dxa"/>
            <w:vAlign w:val="center"/>
          </w:tcPr>
          <w:p w14:paraId="4E10600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OSNR changes from 23 to 21 dB</w:t>
            </w:r>
          </w:p>
        </w:tc>
      </w:tr>
      <w:tr w:rsidR="009D6FAE" w:rsidRPr="00103A34" w14:paraId="47DBB3E4" w14:textId="77777777">
        <w:trPr>
          <w:cantSplit/>
          <w:jc w:val="center"/>
        </w:trPr>
        <w:tc>
          <w:tcPr>
            <w:tcW w:w="2376" w:type="dxa"/>
            <w:vAlign w:val="center"/>
          </w:tcPr>
          <w:p w14:paraId="61437D2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OSNR acceptance</w:t>
            </w:r>
          </w:p>
        </w:tc>
        <w:tc>
          <w:tcPr>
            <w:tcW w:w="4176" w:type="dxa"/>
            <w:vAlign w:val="center"/>
          </w:tcPr>
          <w:p w14:paraId="75247D2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≥17 dB in 0.1 nm; calculated 21 dB after stated amplifier</w:t>
            </w:r>
          </w:p>
        </w:tc>
        <w:tc>
          <w:tcPr>
            <w:tcW w:w="3528" w:type="dxa"/>
            <w:vAlign w:val="center"/>
          </w:tcPr>
          <w:p w14:paraId="13E15DE4"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4 dB OSNR margin</w:t>
            </w:r>
          </w:p>
        </w:tc>
      </w:tr>
      <w:tr w:rsidR="009D6FAE" w:rsidRPr="00103A34" w14:paraId="65459D5E" w14:textId="77777777">
        <w:trPr>
          <w:cantSplit/>
          <w:jc w:val="center"/>
        </w:trPr>
        <w:tc>
          <w:tcPr>
            <w:tcW w:w="2376" w:type="dxa"/>
            <w:vAlign w:val="center"/>
          </w:tcPr>
          <w:p w14:paraId="52911748"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lastRenderedPageBreak/>
              <w:t>100 Gb/s upgrade</w:t>
            </w:r>
          </w:p>
        </w:tc>
        <w:tc>
          <w:tcPr>
            <w:tcW w:w="4176" w:type="dxa"/>
            <w:vAlign w:val="center"/>
          </w:tcPr>
          <w:p w14:paraId="2336FCC0"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Re-engineer with compatible 100 Gb/s transceivers, coherent/DSP capability as appropriate, and end-to-end OSNR/dispersion/PMD testing</w:t>
            </w:r>
          </w:p>
        </w:tc>
        <w:tc>
          <w:tcPr>
            <w:tcW w:w="3528" w:type="dxa"/>
            <w:vAlign w:val="center"/>
          </w:tcPr>
          <w:p w14:paraId="0F8B123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 10 Gb/s design check alone does not certify 100 Gb/s performance</w:t>
            </w:r>
          </w:p>
        </w:tc>
      </w:tr>
    </w:tbl>
    <w:p w14:paraId="3AB30880" w14:textId="77777777" w:rsidR="009D6FAE" w:rsidRPr="00103A34" w:rsidRDefault="009D6FAE">
      <w:pPr>
        <w:rPr>
          <w:rFonts w:ascii="Times New Roman" w:hAnsi="Times New Roman" w:cs="Times New Roman"/>
          <w:sz w:val="28"/>
          <w:szCs w:val="28"/>
        </w:rPr>
      </w:pPr>
    </w:p>
    <w:p w14:paraId="0159D8D1" w14:textId="77777777" w:rsidR="009D6FAE" w:rsidRPr="00103A34" w:rsidRDefault="00000000">
      <w:pPr>
        <w:pStyle w:val="Heading2"/>
        <w:rPr>
          <w:rFonts w:ascii="Times New Roman" w:hAnsi="Times New Roman" w:cs="Times New Roman"/>
          <w:sz w:val="28"/>
          <w:szCs w:val="28"/>
        </w:rPr>
      </w:pPr>
      <w:r w:rsidRPr="00103A34">
        <w:rPr>
          <w:rFonts w:ascii="Times New Roman" w:hAnsi="Times New Roman" w:cs="Times New Roman"/>
          <w:sz w:val="28"/>
          <w:szCs w:val="28"/>
        </w:rPr>
        <w:t>9.2 Clearly labelled block diagram</w:t>
      </w:r>
    </w:p>
    <w:tbl>
      <w:tblPr>
        <w:tblStyle w:val="TableGrid"/>
        <w:tblW w:w="0" w:type="auto"/>
        <w:jc w:val="center"/>
        <w:tblLook w:val="04A0" w:firstRow="1" w:lastRow="0" w:firstColumn="1" w:lastColumn="0" w:noHBand="0" w:noVBand="1"/>
      </w:tblPr>
      <w:tblGrid>
        <w:gridCol w:w="1998"/>
        <w:gridCol w:w="1984"/>
        <w:gridCol w:w="2114"/>
        <w:gridCol w:w="1989"/>
        <w:gridCol w:w="1985"/>
      </w:tblGrid>
      <w:tr w:rsidR="009D6FAE" w:rsidRPr="00103A34" w14:paraId="19D60FAC" w14:textId="77777777">
        <w:trPr>
          <w:cantSplit/>
          <w:jc w:val="center"/>
        </w:trPr>
        <w:tc>
          <w:tcPr>
            <w:tcW w:w="2016" w:type="dxa"/>
            <w:shd w:val="clear" w:color="auto" w:fill="D9EAF7"/>
            <w:vAlign w:val="center"/>
          </w:tcPr>
          <w:p w14:paraId="6EDF73E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10 Gb/s</w:t>
            </w:r>
            <w:r w:rsidRPr="00103A34">
              <w:rPr>
                <w:rFonts w:ascii="Times New Roman" w:hAnsi="Times New Roman" w:cs="Times New Roman"/>
                <w:b/>
                <w:sz w:val="28"/>
                <w:szCs w:val="28"/>
              </w:rPr>
              <w:br/>
              <w:t>Transmitter</w:t>
            </w:r>
            <w:r w:rsidRPr="00103A34">
              <w:rPr>
                <w:rFonts w:ascii="Times New Roman" w:hAnsi="Times New Roman" w:cs="Times New Roman"/>
                <w:b/>
                <w:sz w:val="28"/>
                <w:szCs w:val="28"/>
              </w:rPr>
              <w:br/>
              <w:t>1550 nm, +3 dBm</w:t>
            </w:r>
          </w:p>
        </w:tc>
        <w:tc>
          <w:tcPr>
            <w:tcW w:w="2016" w:type="dxa"/>
            <w:shd w:val="clear" w:color="auto" w:fill="D9EAF7"/>
            <w:vAlign w:val="center"/>
          </w:tcPr>
          <w:p w14:paraId="0D6D9A85"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Launch</w:t>
            </w:r>
            <w:r w:rsidRPr="00103A34">
              <w:rPr>
                <w:rFonts w:ascii="Times New Roman" w:hAnsi="Times New Roman" w:cs="Times New Roman"/>
                <w:b/>
                <w:sz w:val="28"/>
                <w:szCs w:val="28"/>
              </w:rPr>
              <w:br/>
              <w:t>connector</w:t>
            </w:r>
          </w:p>
        </w:tc>
        <w:tc>
          <w:tcPr>
            <w:tcW w:w="2016" w:type="dxa"/>
            <w:shd w:val="clear" w:color="auto" w:fill="D9EAF7"/>
            <w:vAlign w:val="center"/>
          </w:tcPr>
          <w:p w14:paraId="40CD913F"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60 km G.652.D</w:t>
            </w:r>
            <w:r w:rsidRPr="00103A34">
              <w:rPr>
                <w:rFonts w:ascii="Times New Roman" w:hAnsi="Times New Roman" w:cs="Times New Roman"/>
                <w:b/>
                <w:sz w:val="28"/>
                <w:szCs w:val="28"/>
              </w:rPr>
              <w:br/>
              <w:t>single-mode span</w:t>
            </w:r>
          </w:p>
        </w:tc>
        <w:tc>
          <w:tcPr>
            <w:tcW w:w="2016" w:type="dxa"/>
            <w:shd w:val="clear" w:color="auto" w:fill="D9EAF7"/>
            <w:vAlign w:val="center"/>
          </w:tcPr>
          <w:p w14:paraId="2949E8D1"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Dispersion solution</w:t>
            </w:r>
            <w:r w:rsidRPr="00103A34">
              <w:rPr>
                <w:rFonts w:ascii="Times New Roman" w:hAnsi="Times New Roman" w:cs="Times New Roman"/>
                <w:b/>
                <w:sz w:val="28"/>
                <w:szCs w:val="28"/>
              </w:rPr>
              <w:br/>
              <w:t>selected after validation</w:t>
            </w:r>
          </w:p>
        </w:tc>
        <w:tc>
          <w:tcPr>
            <w:tcW w:w="2016" w:type="dxa"/>
            <w:shd w:val="clear" w:color="auto" w:fill="D9EAF7"/>
            <w:vAlign w:val="center"/>
          </w:tcPr>
          <w:p w14:paraId="137565FB"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b/>
                <w:sz w:val="28"/>
                <w:szCs w:val="28"/>
              </w:rPr>
              <w:t>Receiver</w:t>
            </w:r>
            <w:r w:rsidRPr="00103A34">
              <w:rPr>
                <w:rFonts w:ascii="Times New Roman" w:hAnsi="Times New Roman" w:cs="Times New Roman"/>
                <w:b/>
                <w:sz w:val="28"/>
                <w:szCs w:val="28"/>
              </w:rPr>
              <w:br/>
              <w:t>−20 dBm sensitivity</w:t>
            </w:r>
          </w:p>
        </w:tc>
      </w:tr>
      <w:tr w:rsidR="009D6FAE" w:rsidRPr="00103A34" w14:paraId="0407DEA3" w14:textId="77777777">
        <w:trPr>
          <w:cantSplit/>
          <w:jc w:val="center"/>
        </w:trPr>
        <w:tc>
          <w:tcPr>
            <w:tcW w:w="2016" w:type="dxa"/>
            <w:vAlign w:val="center"/>
          </w:tcPr>
          <w:p w14:paraId="442409E2" w14:textId="77777777" w:rsidR="009D6FAE" w:rsidRPr="00103A34" w:rsidRDefault="009D6FAE">
            <w:pPr>
              <w:spacing w:after="0"/>
              <w:rPr>
                <w:rFonts w:ascii="Times New Roman" w:hAnsi="Times New Roman" w:cs="Times New Roman"/>
                <w:sz w:val="28"/>
                <w:szCs w:val="28"/>
              </w:rPr>
            </w:pPr>
          </w:p>
        </w:tc>
        <w:tc>
          <w:tcPr>
            <w:tcW w:w="2016" w:type="dxa"/>
            <w:vAlign w:val="center"/>
          </w:tcPr>
          <w:p w14:paraId="359BF91F"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w:t>
            </w:r>
          </w:p>
        </w:tc>
        <w:tc>
          <w:tcPr>
            <w:tcW w:w="2016" w:type="dxa"/>
            <w:vAlign w:val="center"/>
          </w:tcPr>
          <w:p w14:paraId="3BB0E1D2"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w:t>
            </w:r>
          </w:p>
        </w:tc>
        <w:tc>
          <w:tcPr>
            <w:tcW w:w="2016" w:type="dxa"/>
            <w:vAlign w:val="center"/>
          </w:tcPr>
          <w:p w14:paraId="0BD3FAAD"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w:t>
            </w:r>
          </w:p>
        </w:tc>
        <w:tc>
          <w:tcPr>
            <w:tcW w:w="2016" w:type="dxa"/>
            <w:vAlign w:val="center"/>
          </w:tcPr>
          <w:p w14:paraId="5E4479F7" w14:textId="77777777" w:rsidR="009D6FAE" w:rsidRPr="00103A34" w:rsidRDefault="009D6FAE">
            <w:pPr>
              <w:spacing w:after="0"/>
              <w:rPr>
                <w:rFonts w:ascii="Times New Roman" w:hAnsi="Times New Roman" w:cs="Times New Roman"/>
                <w:sz w:val="28"/>
                <w:szCs w:val="28"/>
              </w:rPr>
            </w:pPr>
          </w:p>
        </w:tc>
      </w:tr>
      <w:tr w:rsidR="009D6FAE" w:rsidRPr="00103A34" w14:paraId="11941FC0" w14:textId="77777777">
        <w:trPr>
          <w:cantSplit/>
          <w:jc w:val="center"/>
        </w:trPr>
        <w:tc>
          <w:tcPr>
            <w:tcW w:w="2016" w:type="dxa"/>
            <w:vAlign w:val="center"/>
          </w:tcPr>
          <w:p w14:paraId="3CF4C7E4" w14:textId="77777777" w:rsidR="009D6FAE" w:rsidRPr="00103A34" w:rsidRDefault="009D6FAE">
            <w:pPr>
              <w:spacing w:after="0"/>
              <w:rPr>
                <w:rFonts w:ascii="Times New Roman" w:hAnsi="Times New Roman" w:cs="Times New Roman"/>
                <w:sz w:val="28"/>
                <w:szCs w:val="28"/>
              </w:rPr>
            </w:pPr>
          </w:p>
        </w:tc>
        <w:tc>
          <w:tcPr>
            <w:tcW w:w="2016" w:type="dxa"/>
            <w:vAlign w:val="center"/>
          </w:tcPr>
          <w:p w14:paraId="15A543E8"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G.657.A entry</w:t>
            </w:r>
            <w:r w:rsidRPr="00103A34">
              <w:rPr>
                <w:rFonts w:ascii="Times New Roman" w:hAnsi="Times New Roman" w:cs="Times New Roman"/>
                <w:sz w:val="28"/>
                <w:szCs w:val="28"/>
              </w:rPr>
              <w:br/>
              <w:t>section at bend</w:t>
            </w:r>
          </w:p>
        </w:tc>
        <w:tc>
          <w:tcPr>
            <w:tcW w:w="2016" w:type="dxa"/>
            <w:vAlign w:val="center"/>
          </w:tcPr>
          <w:p w14:paraId="002AD91A"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Connector/splice</w:t>
            </w:r>
            <w:r w:rsidRPr="00103A34">
              <w:rPr>
                <w:rFonts w:ascii="Times New Roman" w:hAnsi="Times New Roman" w:cs="Times New Roman"/>
                <w:sz w:val="28"/>
                <w:szCs w:val="28"/>
              </w:rPr>
              <w:br/>
              <w:t>loss control + OTDR</w:t>
            </w:r>
          </w:p>
        </w:tc>
        <w:tc>
          <w:tcPr>
            <w:tcW w:w="2016" w:type="dxa"/>
            <w:vAlign w:val="center"/>
          </w:tcPr>
          <w:p w14:paraId="06D7684E" w14:textId="77777777" w:rsidR="009D6FAE" w:rsidRPr="00103A34" w:rsidRDefault="00000000">
            <w:pPr>
              <w:spacing w:after="0"/>
              <w:rPr>
                <w:rFonts w:ascii="Times New Roman" w:hAnsi="Times New Roman" w:cs="Times New Roman"/>
                <w:sz w:val="28"/>
                <w:szCs w:val="28"/>
              </w:rPr>
            </w:pPr>
            <w:r w:rsidRPr="00103A34">
              <w:rPr>
                <w:rFonts w:ascii="Times New Roman" w:hAnsi="Times New Roman" w:cs="Times New Roman"/>
                <w:sz w:val="28"/>
                <w:szCs w:val="28"/>
              </w:rPr>
              <w:t>Amplifier only if needed;</w:t>
            </w:r>
            <w:r w:rsidRPr="00103A34">
              <w:rPr>
                <w:rFonts w:ascii="Times New Roman" w:hAnsi="Times New Roman" w:cs="Times New Roman"/>
                <w:sz w:val="28"/>
                <w:szCs w:val="28"/>
              </w:rPr>
              <w:br/>
              <w:t>OSNR ≥ 17 dB / 0.1 nm</w:t>
            </w:r>
          </w:p>
        </w:tc>
        <w:tc>
          <w:tcPr>
            <w:tcW w:w="2016" w:type="dxa"/>
            <w:vAlign w:val="center"/>
          </w:tcPr>
          <w:p w14:paraId="10C9321C" w14:textId="77777777" w:rsidR="009D6FAE" w:rsidRPr="00103A34" w:rsidRDefault="009D6FAE">
            <w:pPr>
              <w:spacing w:after="0"/>
              <w:rPr>
                <w:rFonts w:ascii="Times New Roman" w:hAnsi="Times New Roman" w:cs="Times New Roman"/>
                <w:sz w:val="28"/>
                <w:szCs w:val="28"/>
              </w:rPr>
            </w:pPr>
          </w:p>
        </w:tc>
      </w:tr>
    </w:tbl>
    <w:p w14:paraId="7A92CD32"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Diagram note: The dispersion block is intentionally shown as a design decision point, not as an approved 10.2 km DCF installation. The specified DCF length must not be installed until its 5.1 dB loss is recovered or a different compensation architecture is validated.</w:t>
      </w:r>
    </w:p>
    <w:p w14:paraId="6CD6E173" w14:textId="77777777" w:rsidR="009D6FAE" w:rsidRPr="00103A34" w:rsidRDefault="00000000">
      <w:pPr>
        <w:pStyle w:val="Heading2"/>
        <w:rPr>
          <w:rFonts w:ascii="Times New Roman" w:hAnsi="Times New Roman" w:cs="Times New Roman"/>
          <w:sz w:val="28"/>
          <w:szCs w:val="28"/>
        </w:rPr>
      </w:pPr>
      <w:r w:rsidRPr="00103A34">
        <w:rPr>
          <w:rFonts w:ascii="Times New Roman" w:hAnsi="Times New Roman" w:cs="Times New Roman"/>
          <w:sz w:val="28"/>
          <w:szCs w:val="28"/>
        </w:rPr>
        <w:t>9.3 Design integration</w:t>
      </w:r>
    </w:p>
    <w:p w14:paraId="0A93D8C4"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The design uses single-mode fiber to eliminate intermodal dispersion and G.657.A fiber only where tight building-entry bends are expected. The passive link budget has adequate margin before dispersion compensation. Chromatic dispersion is the critical unresolved 10 Gb/s issue under the supplied spectral-width assumption. A conventional DCF section gives first-order cancellation but fails the power-margin target unless its added loss is compensated without violating OSNR and receiver constraints. The amplifier passes the stated OSNR threshold but degrades OSNR, so the final equipment choice should prioritize low noise figure and avoid unnecessary gain. For a 100 Gb/s upgrade, the operator must verify the transceiver format, channel plan, end-to-end OSNR, PMD, dispersion tolerance and nonlinear limits; the upgrade cannot be assumed from the 10 Gb/s budget alone.</w:t>
      </w:r>
    </w:p>
    <w:p w14:paraId="64EF7E8A" w14:textId="77777777" w:rsidR="009D6FAE" w:rsidRPr="00103A34" w:rsidRDefault="00000000">
      <w:pPr>
        <w:pStyle w:val="Heading1"/>
        <w:rPr>
          <w:rFonts w:ascii="Times New Roman" w:hAnsi="Times New Roman" w:cs="Times New Roman"/>
          <w:sz w:val="28"/>
        </w:rPr>
      </w:pPr>
      <w:r w:rsidRPr="00103A34">
        <w:rPr>
          <w:rFonts w:ascii="Times New Roman" w:hAnsi="Times New Roman" w:cs="Times New Roman"/>
          <w:sz w:val="28"/>
        </w:rPr>
        <w:t>10. Final Engineering Decision: Would You Deploy This Design?</w:t>
      </w:r>
    </w:p>
    <w:p w14:paraId="52D65BD5"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b/>
          <w:color w:val="C00000"/>
          <w:sz w:val="28"/>
          <w:szCs w:val="28"/>
        </w:rPr>
        <w:t>Decision: NO — not in its current form. Conditional deployment is recommended after redesign and verification.</w:t>
      </w:r>
    </w:p>
    <w:p w14:paraId="048DE335"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 xml:space="preserve">The fiber choice and passive power budget are promising, but the complete design does not yet satisfy every requirement at the same time. The G.652.D single-mode span with a </w:t>
      </w:r>
      <w:r w:rsidRPr="00103A34">
        <w:rPr>
          <w:rFonts w:ascii="Times New Roman" w:hAnsi="Times New Roman" w:cs="Times New Roman"/>
          <w:sz w:val="28"/>
          <w:szCs w:val="28"/>
        </w:rPr>
        <w:lastRenderedPageBreak/>
        <w:t>G.657.A building-entry segment provides appropriate long-distance propagation and reduces entry bend loss. Before adding DCF, the estimated received power is −10.3 dBm, giving 9.7 dB sensitivity margin. However, the uncompensated G.652.D broadening estimate is 408 ps, far above the 100 ps bit period. The calculated 10.2 km DCF cancels nominal dispersion but adds 5.1 dB loss, dropping the estimated received power to −15.4 dBm and leaving only 4.6 dB sensitivity margin, below the required 6 dB. The supplied amplifier results in 21 dB OSNR, 4 dB above the target, but reduces OSNR from 23 dB.</w:t>
      </w:r>
    </w:p>
    <w:p w14:paraId="52522026" w14:textId="77777777" w:rsidR="009D6FAE" w:rsidRPr="00103A34" w:rsidRDefault="00000000">
      <w:pPr>
        <w:pStyle w:val="Heading2"/>
        <w:rPr>
          <w:rFonts w:ascii="Times New Roman" w:hAnsi="Times New Roman" w:cs="Times New Roman"/>
          <w:sz w:val="28"/>
          <w:szCs w:val="28"/>
        </w:rPr>
      </w:pPr>
      <w:r w:rsidRPr="00103A34">
        <w:rPr>
          <w:rFonts w:ascii="Times New Roman" w:hAnsi="Times New Roman" w:cs="Times New Roman"/>
          <w:sz w:val="28"/>
          <w:szCs w:val="28"/>
        </w:rPr>
        <w:t>10.1 Required redesign before deployment</w:t>
      </w:r>
    </w:p>
    <w:p w14:paraId="33A83EFA"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Retain the G.652.D main span and G.657.A bend-insensitive building-entry section, but confirm all installed fiber and components meet the relevant ITU-T specifications.</w:t>
      </w:r>
    </w:p>
    <w:p w14:paraId="5884C93F"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Replace the unqualified 10.2 km DCF solution with a verified lower-loss dispersion-compensation architecture, or select transceivers and receiver processing that meet the end-to-end dispersion requirement. Recalculate the power budget with all compensation losses included.</w:t>
      </w:r>
    </w:p>
    <w:p w14:paraId="79295A36"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Preserve at least 6 dB receiver margin after all components, not just in the passive link. If amplification is needed, select a low-noise amplifier and set gain based on receiver power and OSNR rather than power alone.</w:t>
      </w:r>
    </w:p>
    <w:p w14:paraId="4276D223"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Measure end-to-end insertion loss, OTDR events, chromatic dispersion, PMD and OSNR at the 0.1 nm reference bandwidth before acceptance.</w:t>
      </w:r>
    </w:p>
    <w:p w14:paraId="636860C1"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Treat 100 Gb/s as a planned upgrade requiring compatible transceivers, coherent/DSP design where appropriate, and fresh link-budget, OSNR and impairment checks.</w:t>
      </w:r>
    </w:p>
    <w:p w14:paraId="3654B65D"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Deployment acceptance criteria: received power must remain at or above −14 dBm to retain the stated 6 dB margin against −20 dBm sensitivity; OSNR must be at least 17 dB in 0.1 nm; pulse broadening and PMD must meet the selected transceiver's limits; and all losses from connectors, splices, bends, compensation devices and amplifiers must be included in the final measured budget.</w:t>
      </w:r>
    </w:p>
    <w:p w14:paraId="6AE4D6FD" w14:textId="77777777" w:rsidR="009D6FAE" w:rsidRPr="00103A34" w:rsidRDefault="00000000">
      <w:pPr>
        <w:pStyle w:val="Heading1"/>
        <w:rPr>
          <w:rFonts w:ascii="Times New Roman" w:hAnsi="Times New Roman" w:cs="Times New Roman"/>
          <w:sz w:val="28"/>
        </w:rPr>
      </w:pPr>
      <w:r w:rsidRPr="00103A34">
        <w:rPr>
          <w:rFonts w:ascii="Times New Roman" w:hAnsi="Times New Roman" w:cs="Times New Roman"/>
          <w:sz w:val="28"/>
        </w:rPr>
        <w:t>11. Conclusion</w:t>
      </w:r>
    </w:p>
    <w:p w14:paraId="68189381"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 xml:space="preserve">This engineering study identifies single-mode G.652.D as the preferred baseline for the 60 km telecom span and G.657.A as the preferred bend-insensitive entry segment. The two candidate fibers have NA values of approximately 0.120 and 0.210, and V-numbers of approximately 1.95 and 21.30, respectively; the latter supports roughly 227 step-index modes and is unsuitable for this long high-speed span. The specified distributed loss is 0.18 dB/km, and the passive G.657.A-entry budget gives 13.3 dB total loss and −10.3 dBm received power. Dispersion remains the main unresolved issue: G.652.D broadening is estimated at 408 ps, while the 10.2 km DCF required for first-order compensation adds </w:t>
      </w:r>
      <w:r w:rsidRPr="00103A34">
        <w:rPr>
          <w:rFonts w:ascii="Times New Roman" w:hAnsi="Times New Roman" w:cs="Times New Roman"/>
          <w:sz w:val="28"/>
          <w:szCs w:val="28"/>
        </w:rPr>
        <w:lastRenderedPageBreak/>
        <w:t>5.1 dB and violates the required power margin. PMD is nominally within the stated limits, and post-amplifier OSNR is 21 dB, above the 17 dB target but 2 dB lower than before amplification. The responsible deployment decision is therefore NO for the design exactly as specified, followed by redesign, testing and verification. Once dispersion is controlled without sacrificing the required power margin and OSNR, the link can be reconsidered for 10 Gb/s service. A 100 Gb/s upgrade requires a separate end-to-end engineering check.</w:t>
      </w:r>
    </w:p>
    <w:p w14:paraId="11DFB5C6" w14:textId="77777777" w:rsidR="009D6FAE" w:rsidRPr="00103A34" w:rsidRDefault="00000000">
      <w:pPr>
        <w:pStyle w:val="Heading1"/>
        <w:rPr>
          <w:rFonts w:ascii="Times New Roman" w:hAnsi="Times New Roman" w:cs="Times New Roman"/>
          <w:color w:val="auto"/>
          <w:sz w:val="28"/>
        </w:rPr>
      </w:pPr>
      <w:r w:rsidRPr="00103A34">
        <w:rPr>
          <w:rFonts w:ascii="Times New Roman" w:hAnsi="Times New Roman" w:cs="Times New Roman"/>
          <w:color w:val="auto"/>
          <w:sz w:val="28"/>
        </w:rPr>
        <w:t>References</w:t>
      </w:r>
    </w:p>
    <w:p w14:paraId="4E4D34B6"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ITU-T Recommendation G.652, Characteristics of a single-mode optical fibre and cable.</w:t>
      </w:r>
    </w:p>
    <w:p w14:paraId="02EC0469"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ITU-T Recommendation G.655, Characteristics of a non-zero dispersion-shifted single-mode optical fibre and cable.</w:t>
      </w:r>
    </w:p>
    <w:p w14:paraId="3371DEE7"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ITU-T Recommendation G.657, Characteristics of a bend-insensitive single-mode optical fibre and cable.</w:t>
      </w:r>
    </w:p>
    <w:p w14:paraId="32810496"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ITU-T Recommendation G.650.1, Definitions and test methods for linear, deterministic attributes of single-mode fibre and cable.</w:t>
      </w:r>
    </w:p>
    <w:p w14:paraId="1A99AF9C"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G. P. Agrawal, Fiber-Optic Communication Systems, 4th ed., Wiley, 2010.</w:t>
      </w:r>
    </w:p>
    <w:p w14:paraId="14F2A13B"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J. M. Senior and M. Y. Jamro, Optical Fiber Communications: Principles and Practice, 3rd ed., Pearson, 2009.</w:t>
      </w:r>
    </w:p>
    <w:p w14:paraId="3B2018B2" w14:textId="77777777" w:rsidR="009D6FAE" w:rsidRPr="00103A34" w:rsidRDefault="00000000">
      <w:pPr>
        <w:pStyle w:val="ListBullet"/>
        <w:spacing w:after="40"/>
        <w:rPr>
          <w:rFonts w:ascii="Times New Roman" w:hAnsi="Times New Roman" w:cs="Times New Roman"/>
          <w:sz w:val="28"/>
          <w:szCs w:val="28"/>
        </w:rPr>
      </w:pPr>
      <w:r w:rsidRPr="00103A34">
        <w:rPr>
          <w:rFonts w:ascii="Times New Roman" w:hAnsi="Times New Roman" w:cs="Times New Roman"/>
          <w:sz w:val="28"/>
          <w:szCs w:val="28"/>
        </w:rPr>
        <w:t>G. P. Agrawal, Nonlinear Fiber Optics, 6th ed., Academic Press, 2019.</w:t>
      </w:r>
    </w:p>
    <w:p w14:paraId="59602A59" w14:textId="77777777" w:rsidR="009D6FAE" w:rsidRPr="00103A34" w:rsidRDefault="00000000">
      <w:pPr>
        <w:rPr>
          <w:rFonts w:ascii="Times New Roman" w:hAnsi="Times New Roman" w:cs="Times New Roman"/>
          <w:sz w:val="28"/>
          <w:szCs w:val="28"/>
        </w:rPr>
      </w:pPr>
      <w:r w:rsidRPr="00103A34">
        <w:rPr>
          <w:rFonts w:ascii="Times New Roman" w:hAnsi="Times New Roman" w:cs="Times New Roman"/>
          <w:sz w:val="28"/>
          <w:szCs w:val="28"/>
        </w:rPr>
        <w:t>Note: Check the latest applicable ITU-T editions and your institution's required citation style before submission. The calculations use the values supplied in the assignment and simplified engineering assumptions; final deployment requires component datasheets and measurements.</w:t>
      </w:r>
    </w:p>
    <w:sectPr w:rsidR="009D6FAE" w:rsidRPr="00103A34"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C1745" w14:textId="77777777" w:rsidR="000B07AA" w:rsidRDefault="000B07AA">
      <w:pPr>
        <w:spacing w:after="0" w:line="240" w:lineRule="auto"/>
      </w:pPr>
      <w:r>
        <w:separator/>
      </w:r>
    </w:p>
  </w:endnote>
  <w:endnote w:type="continuationSeparator" w:id="0">
    <w:p w14:paraId="0558ED96" w14:textId="77777777" w:rsidR="000B07AA" w:rsidRDefault="000B0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02CA" w14:textId="39BEC0FA" w:rsidR="009D6FAE" w:rsidRDefault="009D6FA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42752" w14:textId="77777777" w:rsidR="000B07AA" w:rsidRDefault="000B07AA">
      <w:pPr>
        <w:spacing w:after="0" w:line="240" w:lineRule="auto"/>
      </w:pPr>
      <w:r>
        <w:separator/>
      </w:r>
    </w:p>
  </w:footnote>
  <w:footnote w:type="continuationSeparator" w:id="0">
    <w:p w14:paraId="3508ABA7" w14:textId="77777777" w:rsidR="000B07AA" w:rsidRDefault="000B0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97BF" w14:textId="2B3AB91B" w:rsidR="009D6FAE" w:rsidRDefault="009D6FA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916841"/>
    <w:multiLevelType w:val="hybridMultilevel"/>
    <w:tmpl w:val="A9165AC2"/>
    <w:lvl w:ilvl="0" w:tplc="4009000F">
      <w:start w:val="6"/>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2126473">
    <w:abstractNumId w:val="8"/>
  </w:num>
  <w:num w:numId="2" w16cid:durableId="1425108878">
    <w:abstractNumId w:val="6"/>
  </w:num>
  <w:num w:numId="3" w16cid:durableId="695740046">
    <w:abstractNumId w:val="5"/>
  </w:num>
  <w:num w:numId="4" w16cid:durableId="406849639">
    <w:abstractNumId w:val="4"/>
  </w:num>
  <w:num w:numId="5" w16cid:durableId="2117553093">
    <w:abstractNumId w:val="7"/>
  </w:num>
  <w:num w:numId="6" w16cid:durableId="2028018135">
    <w:abstractNumId w:val="3"/>
  </w:num>
  <w:num w:numId="7" w16cid:durableId="1401712194">
    <w:abstractNumId w:val="2"/>
  </w:num>
  <w:num w:numId="8" w16cid:durableId="247034977">
    <w:abstractNumId w:val="1"/>
  </w:num>
  <w:num w:numId="9" w16cid:durableId="1206025620">
    <w:abstractNumId w:val="0"/>
  </w:num>
  <w:num w:numId="10" w16cid:durableId="9791177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7AA"/>
    <w:rsid w:val="00103A34"/>
    <w:rsid w:val="0015074B"/>
    <w:rsid w:val="0029639D"/>
    <w:rsid w:val="00326F90"/>
    <w:rsid w:val="007C7EC1"/>
    <w:rsid w:val="00872F23"/>
    <w:rsid w:val="009D6FAE"/>
    <w:rsid w:val="00AA1D8D"/>
    <w:rsid w:val="00B47730"/>
    <w:rsid w:val="00CB0664"/>
    <w:rsid w:val="00F12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EE9BD"/>
  <w14:defaultImageDpi w14:val="300"/>
  <w15:docId w15:val="{8E4FB0B2-C4AA-40D3-8F50-CA4D8967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3724</Words>
  <Characters>21228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janakijanu7879@gmail.com</cp:lastModifiedBy>
  <cp:revision>2</cp:revision>
  <dcterms:created xsi:type="dcterms:W3CDTF">2026-10-12T09:27:00Z</dcterms:created>
  <dcterms:modified xsi:type="dcterms:W3CDTF">2026-10-12T09:27:00Z</dcterms:modified>
  <cp:category/>
</cp:coreProperties>
</file>