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jc w:val="left"/>
      </w:pPr>
      <w:r>
        <w:rPr>
          <w:rFonts w:ascii="Times New Roman" w:cs="Times New Roman" w:eastAsia="Times New Roman" w:hAnsi="Times New Roman"/>
          <w:b/>
          <w:bCs/>
          <w:color w:val="000000"/>
          <w:sz w:val="32"/>
          <w:szCs w:val="32"/>
        </w:rPr>
        <w:t xml:space="preserve">Sample Dataset — Climate-Resilient Crop Yield Forecasting</w:t>
      </w:r>
    </w:p>
    <w:p>
      <w:pPr>
        <w:spacing w:after="200"/>
        <w:jc w:val="both"/>
      </w:pPr>
      <w:r>
        <w:rPr>
          <w:rFonts w:ascii="Times New Roman" w:cs="Times New Roman" w:eastAsia="Times New Roman" w:hAnsi="Times New Roman"/>
          <w:b w:val="false"/>
          <w:bCs w:val="false"/>
          <w:i w:val="false"/>
          <w:iCs w:val="false"/>
          <w:color w:val="000000"/>
          <w:sz w:val="24"/>
          <w:szCs w:val="24"/>
        </w:rPr>
        <w:t xml:space="preserve">The table below is an illustrative, synthetically generated sample dataset representing the district–season agro-climatic feature space referred to in Part (A) and Part (B) of the assignment. It contains twenty-five district–season records drawn from five districts across five cropping seasons, with the core engineered features used by the k-Nearest-Neighbour regressor and the Locally Weighted Regression model: rainfall, temperature, humidity, soil moisture, Growing-Degree-Days (GDD), and the resulting crop yield (the target variable). In an actual implementation, these fields would be populated from real sources such as FAOSTAT, NASA POWER, CHIRPS and USDA crop-yield records, as noted in the Data Acquisition and Merging step of Part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400"/>
        <w:gridCol w:w="1000"/>
        <w:gridCol w:w="900"/>
        <w:gridCol w:w="1000"/>
        <w:gridCol w:w="1176"/>
        <w:gridCol w:w="950"/>
        <w:gridCol w:w="800"/>
      </w:tblGrid>
      <w:tr>
        <w:trPr>
          <w:tblHeader/>
        </w:trPr>
        <w:tc>
          <w:tcPr>
            <w:tcW w:type="dxa" w:w="500"/>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color w:val="000000"/>
                <w:sz w:val="20"/>
                <w:szCs w:val="20"/>
              </w:rPr>
              <w:t xml:space="preserve">S.No</w:t>
            </w:r>
          </w:p>
        </w:tc>
        <w:tc>
          <w:tcPr>
            <w:tcW w:type="dxa" w:w="1300"/>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color w:val="000000"/>
                <w:sz w:val="20"/>
                <w:szCs w:val="20"/>
              </w:rPr>
              <w:t xml:space="preserve">District</w:t>
            </w:r>
          </w:p>
        </w:tc>
        <w:tc>
          <w:tcPr>
            <w:tcW w:type="dxa" w:w="1400"/>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color w:val="000000"/>
                <w:sz w:val="20"/>
                <w:szCs w:val="20"/>
              </w:rPr>
              <w:t xml:space="preserve">Season</w:t>
            </w:r>
          </w:p>
        </w:tc>
        <w:tc>
          <w:tcPr>
            <w:tcW w:type="dxa" w:w="1000"/>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color w:val="000000"/>
                <w:sz w:val="20"/>
                <w:szCs w:val="20"/>
              </w:rPr>
              <w:t xml:space="preserve">Rainfall (mm)</w:t>
            </w:r>
          </w:p>
        </w:tc>
        <w:tc>
          <w:tcPr>
            <w:tcW w:type="dxa" w:w="900"/>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color w:val="000000"/>
                <w:sz w:val="20"/>
                <w:szCs w:val="20"/>
              </w:rPr>
              <w:t xml:space="preserve">Temp (°C)</w:t>
            </w:r>
          </w:p>
        </w:tc>
        <w:tc>
          <w:tcPr>
            <w:tcW w:type="dxa" w:w="1000"/>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color w:val="000000"/>
                <w:sz w:val="20"/>
                <w:szCs w:val="20"/>
              </w:rPr>
              <w:t xml:space="preserve">Humidity (%)</w:t>
            </w:r>
          </w:p>
        </w:tc>
        <w:tc>
          <w:tcPr>
            <w:tcW w:type="dxa" w:w="1176"/>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color w:val="000000"/>
                <w:sz w:val="20"/>
                <w:szCs w:val="20"/>
              </w:rPr>
              <w:t xml:space="preserve">Soil Moisture (%)</w:t>
            </w:r>
          </w:p>
        </w:tc>
        <w:tc>
          <w:tcPr>
            <w:tcW w:type="dxa" w:w="950"/>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color w:val="000000"/>
                <w:sz w:val="20"/>
                <w:szCs w:val="20"/>
              </w:rPr>
              <w:t xml:space="preserve">GDD</w:t>
            </w:r>
          </w:p>
        </w:tc>
        <w:tc>
          <w:tcPr>
            <w:tcW w:type="dxa" w:w="800"/>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color w:val="000000"/>
                <w:sz w:val="20"/>
                <w:szCs w:val="20"/>
              </w:rPr>
              <w:t xml:space="preserve">Yield (t/ha)</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Krishna</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1042.9</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30.5</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83.6</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50.8</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1850</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4.13</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Krishna</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898</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24.4</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74.6</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51.2</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1968</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Krishna</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970.6</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31.6</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84.8</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55.7</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1546</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3.61</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Krishna</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927.5</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30.7</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55.7</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37.7</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1650</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3.9</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Krishna</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Kharif-2021</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935.3</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24.3</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69.1</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50.3</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1746</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4.1</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Guntur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630.7</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31.7</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66.6</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27.1</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2102</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3.37</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Guntur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740.3</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30.5</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59.9</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21.2</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2184</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3.83</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Guntur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900.9</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32</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60.7</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46.1</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1458</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3.53</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9</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Guntur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779.1</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30.7</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80.6</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35</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1791</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3.73</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10</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Guntur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Kharif-2021</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1041.5</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29.3</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61.3</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41.4</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1851</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4.18</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11</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Nellore</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824.9</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30.9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84.4</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38.5</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1903</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3.96</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12</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Nellore</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855.8</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29.4</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56.6</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39.7</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1414</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3.5</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13</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Nellore</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771.1</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27.8</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59.7</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58.3</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1451</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3.59</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14</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Nellore</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737.2</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28.8</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70.1</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27.6</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1481</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3.57</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15</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Nellore</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Kharif-2021</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920.9</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27.1</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64.7</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41</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1770</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4.18</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16</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Kurnool</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958.9</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25.7</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55.1</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31.8</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1785</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4.13</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17</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Kurnool</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577.8</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26.4</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53</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53.4</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1793</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3.2</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18</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Kurnool</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914.3</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32.5</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70</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39</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2059</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4.19</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19</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Kurnool</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635.1</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30.4</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82.7</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42</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2052</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3.31</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20</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Kurnool</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Kharif-2021</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906.8</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31</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67.9</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35.8</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2037</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4.17</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21</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Anantapur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866.1</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29.2</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72.2</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33.7</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1482</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3.63</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22</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Anantapur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Rabi-2019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739.6</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26.9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72.4</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48.9</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1453</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3.52</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23</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Anantapur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664.1</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27.3</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79.9</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54.9</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1416</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3.25</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24</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Anantapur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Rabi-2020</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806.2</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32.9</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71.6</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25</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1638</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4.07</w:t>
            </w:r>
          </w:p>
        </w:tc>
      </w:tr>
      <w:tr>
        <w:tc>
          <w:tcPr>
            <w:tcW w:type="dxa" w:w="5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25</w:t>
            </w:r>
          </w:p>
        </w:tc>
        <w:tc>
          <w:tcPr>
            <w:tcW w:type="dxa" w:w="13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Anantapur</w:t>
            </w:r>
          </w:p>
        </w:tc>
        <w:tc>
          <w:tcPr>
            <w:tcW w:type="dxa" w:w="1400"/>
            <w:tcMar>
              <w:top w:type="dxa" w:w="40"/>
              <w:left w:type="dxa" w:w="80"/>
              <w:bottom w:type="dxa" w:w="40"/>
              <w:right w:type="dxa" w:w="80"/>
            </w:tcMar>
          </w:tcPr>
          <w:p>
            <w:pPr>
              <w:jc w:val="left"/>
            </w:pPr>
            <w:r>
              <w:rPr>
                <w:rFonts w:ascii="Times New Roman" w:cs="Times New Roman" w:eastAsia="Times New Roman" w:hAnsi="Times New Roman"/>
                <w:color w:val="000000"/>
                <w:sz w:val="20"/>
                <w:szCs w:val="20"/>
              </w:rPr>
              <w:t xml:space="preserve">Kharif-2021</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832.5</w:t>
            </w:r>
          </w:p>
        </w:tc>
        <w:tc>
          <w:tcPr>
            <w:tcW w:type="dxa" w:w="9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30.4</w:t>
            </w:r>
          </w:p>
        </w:tc>
        <w:tc>
          <w:tcPr>
            <w:tcW w:type="dxa" w:w="10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59.1</w:t>
            </w:r>
          </w:p>
        </w:tc>
        <w:tc>
          <w:tcPr>
            <w:tcW w:type="dxa" w:w="1176"/>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52.4</w:t>
            </w:r>
          </w:p>
        </w:tc>
        <w:tc>
          <w:tcPr>
            <w:tcW w:type="dxa" w:w="95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1586</w:t>
            </w:r>
          </w:p>
        </w:tc>
        <w:tc>
          <w:tcPr>
            <w:tcW w:type="dxa" w:w="800"/>
            <w:tcMar>
              <w:top w:type="dxa" w:w="40"/>
              <w:left w:type="dxa" w:w="80"/>
              <w:bottom w:type="dxa" w:w="40"/>
              <w:right w:type="dxa" w:w="80"/>
            </w:tcMar>
          </w:tcPr>
          <w:p>
            <w:pPr>
              <w:jc w:val="center"/>
            </w:pPr>
            <w:r>
              <w:rPr>
                <w:rFonts w:ascii="Times New Roman" w:cs="Times New Roman" w:eastAsia="Times New Roman" w:hAnsi="Times New Roman"/>
                <w:color w:val="000000"/>
                <w:sz w:val="20"/>
                <w:szCs w:val="20"/>
              </w:rPr>
              <w:t xml:space="preserve">3.93</w:t>
            </w:r>
          </w:p>
        </w:tc>
      </w:tr>
    </w:tbl>
    <w:p>
      <w:pPr>
        <w:spacing w:before="300"/>
      </w:pPr>
    </w:p>
    <w:p>
      <w:pPr>
        <w:spacing w:after="200"/>
        <w:jc w:val="both"/>
      </w:pPr>
      <w:r>
        <w:rPr>
          <w:rFonts w:ascii="Times New Roman" w:cs="Times New Roman" w:eastAsia="Times New Roman" w:hAnsi="Times New Roman"/>
          <w:b w:val="false"/>
          <w:bCs w:val="false"/>
          <w:i w:val="false"/>
          <w:iCs w:val="false"/>
          <w:color w:val="000000"/>
          <w:sz w:val="24"/>
          <w:szCs w:val="24"/>
        </w:rPr>
        <w:t xml:space="preserve">Note: values shown here are synthetic and generated for illustration only. They preserve realistic ranges for each feature (rainfall approximately 500–1100 mm, temperature approximately 24–32 °C, humidity approximately 50–85%, soil moisture approximately 20–60%, and GDD approximately 1400–2200) so that the table can be used directly to test the k-NN, LWR and Candidate-Elimination pipelines described earlier in this report before real agro-climatic data is merged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2026-09-02T05:35:10.501Z</dcterms:created>
  <dcterms:modified xsi:type="dcterms:W3CDTF">2026-09-02T05:35:10.510Z</dcterms:modified>
</cp:coreProperties>
</file>

<file path=docProps/custom.xml><?xml version="1.0" encoding="utf-8"?>
<Properties xmlns="http://schemas.openxmlformats.org/officeDocument/2006/custom-properties" xmlns:vt="http://schemas.openxmlformats.org/officeDocument/2006/docPropsVTypes"/>
</file>