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4A0" w:firstRow="1" w:lastRow="0" w:firstColumn="1" w:lastColumn="0" w:noHBand="0" w:noVBand="1"/>
      </w:tblPr>
      <w:tblGrid>
        <w:gridCol w:w="1872"/>
        <w:gridCol w:w="7776"/>
      </w:tblGrid>
      <w:tr w:rsidR="007C18AA" w14:paraId="5F26750E" w14:textId="77777777">
        <w:trPr>
          <w:jc w:val="center"/>
        </w:trPr>
        <w:tc>
          <w:tcPr>
            <w:tcW w:w="1440" w:type="dxa"/>
          </w:tcPr>
          <w:p w14:paraId="7789B7DC" w14:textId="77777777" w:rsidR="007C18AA" w:rsidRDefault="00000000">
            <w:pPr>
              <w:jc w:val="center"/>
              <w:rPr>
                <w:rFonts w:hint="eastAsia"/>
              </w:rPr>
            </w:pPr>
            <w:r>
              <w:rPr>
                <w:noProof/>
              </w:rPr>
              <w:drawing>
                <wp:inline distT="0" distB="0" distL="0" distR="0" wp14:anchorId="17760AE9" wp14:editId="268D540E">
                  <wp:extent cx="1051560" cy="13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795F7C0A" w14:textId="77777777" w:rsidR="007C18AA" w:rsidRDefault="00000000">
            <w:pPr>
              <w:rPr>
                <w:rFonts w:hint="eastAsia"/>
              </w:rPr>
            </w:pPr>
            <w:r>
              <w:rPr>
                <w:b/>
                <w:color w:val="0B2748"/>
                <w:sz w:val="26"/>
              </w:rPr>
              <w:t>SIMATS ENGINEERING</w:t>
            </w:r>
            <w:r>
              <w:rPr>
                <w:b/>
                <w:color w:val="0B2748"/>
                <w:sz w:val="26"/>
              </w:rPr>
              <w:br/>
              <w:t>Department of Computer Science and Engineering</w:t>
            </w:r>
          </w:p>
        </w:tc>
      </w:tr>
    </w:tbl>
    <w:p w14:paraId="616589CD" w14:textId="77777777" w:rsidR="007C18AA" w:rsidRDefault="00000000">
      <w:pPr>
        <w:jc w:val="center"/>
        <w:rPr>
          <w:rFonts w:hint="eastAsia"/>
        </w:rPr>
      </w:pPr>
      <w:r>
        <w:rPr>
          <w:rFonts w:ascii="Aptos Display" w:hAnsi="Aptos Display"/>
          <w:b/>
          <w:color w:val="0B2748"/>
          <w:sz w:val="40"/>
        </w:rPr>
        <w:t>CSA15 Cloud Computing and Big Data Analytics</w:t>
      </w:r>
    </w:p>
    <w:p w14:paraId="0F647702" w14:textId="77777777" w:rsidR="007C18AA" w:rsidRDefault="00000000">
      <w:pPr>
        <w:jc w:val="center"/>
        <w:rPr>
          <w:rFonts w:hint="eastAsia"/>
        </w:rPr>
      </w:pPr>
      <w:r>
        <w:rPr>
          <w:b/>
          <w:color w:val="1565C0"/>
          <w:sz w:val="22"/>
        </w:rPr>
        <w:t>CO3 AT2 - Capstone Cloud Access and Service Integration Case Study Student Template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944"/>
        <w:gridCol w:w="2808"/>
        <w:gridCol w:w="1944"/>
        <w:gridCol w:w="2808"/>
      </w:tblGrid>
      <w:tr w:rsidR="007C18AA" w14:paraId="16BAF75D" w14:textId="77777777">
        <w:trPr>
          <w:jc w:val="center"/>
        </w:trPr>
        <w:tc>
          <w:tcPr>
            <w:tcW w:w="1944" w:type="dxa"/>
            <w:shd w:val="clear" w:color="auto" w:fill="EAF4FF"/>
            <w:tcMar>
              <w:top w:w="90" w:type="dxa"/>
              <w:left w:w="120" w:type="dxa"/>
              <w:bottom w:w="90" w:type="dxa"/>
              <w:right w:w="120" w:type="dxa"/>
            </w:tcMar>
            <w:vAlign w:val="center"/>
          </w:tcPr>
          <w:p w14:paraId="1C365308" w14:textId="77777777" w:rsidR="007C18AA" w:rsidRDefault="00000000">
            <w:pPr>
              <w:rPr>
                <w:rFonts w:hint="eastAsia"/>
              </w:rPr>
            </w:pPr>
            <w:r>
              <w:rPr>
                <w:b/>
                <w:color w:val="0B2748"/>
                <w:sz w:val="17"/>
              </w:rPr>
              <w:t>Course Code</w:t>
            </w:r>
          </w:p>
        </w:tc>
        <w:tc>
          <w:tcPr>
            <w:tcW w:w="2808" w:type="dxa"/>
            <w:shd w:val="clear" w:color="auto" w:fill="FFFFFF"/>
            <w:tcMar>
              <w:top w:w="90" w:type="dxa"/>
              <w:left w:w="120" w:type="dxa"/>
              <w:bottom w:w="90" w:type="dxa"/>
              <w:right w:w="120" w:type="dxa"/>
            </w:tcMar>
            <w:vAlign w:val="center"/>
          </w:tcPr>
          <w:p w14:paraId="6B1C226F" w14:textId="77777777" w:rsidR="007C18AA" w:rsidRDefault="00000000">
            <w:pPr>
              <w:rPr>
                <w:rFonts w:hint="eastAsia"/>
              </w:rPr>
            </w:pPr>
            <w:r>
              <w:rPr>
                <w:color w:val="0B2748"/>
                <w:sz w:val="17"/>
              </w:rPr>
              <w:t>CSA15</w:t>
            </w:r>
          </w:p>
        </w:tc>
        <w:tc>
          <w:tcPr>
            <w:tcW w:w="1944" w:type="dxa"/>
            <w:shd w:val="clear" w:color="auto" w:fill="EAF4FF"/>
            <w:tcMar>
              <w:top w:w="90" w:type="dxa"/>
              <w:left w:w="120" w:type="dxa"/>
              <w:bottom w:w="90" w:type="dxa"/>
              <w:right w:w="120" w:type="dxa"/>
            </w:tcMar>
            <w:vAlign w:val="center"/>
          </w:tcPr>
          <w:p w14:paraId="3161F5EF" w14:textId="77777777" w:rsidR="007C18AA" w:rsidRDefault="00000000">
            <w:pPr>
              <w:rPr>
                <w:rFonts w:hint="eastAsia"/>
              </w:rPr>
            </w:pPr>
            <w:r>
              <w:rPr>
                <w:b/>
                <w:color w:val="0B2748"/>
                <w:sz w:val="17"/>
              </w:rPr>
              <w:t>Course Title</w:t>
            </w:r>
          </w:p>
        </w:tc>
        <w:tc>
          <w:tcPr>
            <w:tcW w:w="2808" w:type="dxa"/>
            <w:shd w:val="clear" w:color="auto" w:fill="FFFFFF"/>
            <w:tcMar>
              <w:top w:w="90" w:type="dxa"/>
              <w:left w:w="120" w:type="dxa"/>
              <w:bottom w:w="90" w:type="dxa"/>
              <w:right w:w="120" w:type="dxa"/>
            </w:tcMar>
            <w:vAlign w:val="center"/>
          </w:tcPr>
          <w:p w14:paraId="1624A42C" w14:textId="633E71CA" w:rsidR="007C18AA" w:rsidRDefault="00EB3BCA">
            <w:pPr>
              <w:rPr>
                <w:rFonts w:hint="eastAsia"/>
              </w:rPr>
            </w:pPr>
            <w:r>
              <w:rPr>
                <w:color w:val="0B2748"/>
                <w:sz w:val="19"/>
              </w:rPr>
              <w:t>AI-Powered Big Data Analytics on Cloud Platforms</w:t>
            </w:r>
          </w:p>
        </w:tc>
      </w:tr>
      <w:tr w:rsidR="007C18AA" w14:paraId="3418DC67" w14:textId="77777777">
        <w:trPr>
          <w:jc w:val="center"/>
        </w:trPr>
        <w:tc>
          <w:tcPr>
            <w:tcW w:w="1944" w:type="dxa"/>
            <w:shd w:val="clear" w:color="auto" w:fill="EAF4FF"/>
            <w:tcMar>
              <w:top w:w="90" w:type="dxa"/>
              <w:left w:w="120" w:type="dxa"/>
              <w:bottom w:w="90" w:type="dxa"/>
              <w:right w:w="120" w:type="dxa"/>
            </w:tcMar>
            <w:vAlign w:val="center"/>
          </w:tcPr>
          <w:p w14:paraId="1DB07A49" w14:textId="77777777" w:rsidR="007C18AA" w:rsidRDefault="00000000">
            <w:pPr>
              <w:rPr>
                <w:rFonts w:hint="eastAsia"/>
              </w:rPr>
            </w:pPr>
            <w:r>
              <w:rPr>
                <w:b/>
                <w:color w:val="0B2748"/>
                <w:sz w:val="17"/>
              </w:rPr>
              <w:t>Assessment</w:t>
            </w:r>
          </w:p>
        </w:tc>
        <w:tc>
          <w:tcPr>
            <w:tcW w:w="2808" w:type="dxa"/>
            <w:shd w:val="clear" w:color="auto" w:fill="FFFFFF"/>
            <w:tcMar>
              <w:top w:w="90" w:type="dxa"/>
              <w:left w:w="120" w:type="dxa"/>
              <w:bottom w:w="90" w:type="dxa"/>
              <w:right w:w="120" w:type="dxa"/>
            </w:tcMar>
            <w:vAlign w:val="center"/>
          </w:tcPr>
          <w:p w14:paraId="165011A6" w14:textId="77777777" w:rsidR="007C18AA" w:rsidRDefault="00000000">
            <w:pPr>
              <w:rPr>
                <w:rFonts w:hint="eastAsia"/>
              </w:rPr>
            </w:pPr>
            <w:r>
              <w:rPr>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18C1B997" w14:textId="77777777" w:rsidR="007C18AA" w:rsidRDefault="00000000">
            <w:pPr>
              <w:rPr>
                <w:rFonts w:hint="eastAsia"/>
              </w:rPr>
            </w:pPr>
            <w:r>
              <w:rPr>
                <w:b/>
                <w:color w:val="0B2748"/>
                <w:sz w:val="17"/>
              </w:rPr>
              <w:t>Submission Type</w:t>
            </w:r>
          </w:p>
        </w:tc>
        <w:tc>
          <w:tcPr>
            <w:tcW w:w="2808" w:type="dxa"/>
            <w:shd w:val="clear" w:color="auto" w:fill="FFFFFF"/>
            <w:tcMar>
              <w:top w:w="90" w:type="dxa"/>
              <w:left w:w="120" w:type="dxa"/>
              <w:bottom w:w="90" w:type="dxa"/>
              <w:right w:w="120" w:type="dxa"/>
            </w:tcMar>
            <w:vAlign w:val="center"/>
          </w:tcPr>
          <w:p w14:paraId="5AF996BE" w14:textId="77777777" w:rsidR="007C18AA" w:rsidRDefault="00000000">
            <w:pPr>
              <w:rPr>
                <w:rFonts w:hint="eastAsia"/>
              </w:rPr>
            </w:pPr>
            <w:r>
              <w:rPr>
                <w:color w:val="0B2748"/>
                <w:sz w:val="17"/>
              </w:rPr>
              <w:t>Individual digital case-study document</w:t>
            </w:r>
          </w:p>
        </w:tc>
      </w:tr>
      <w:tr w:rsidR="007C18AA" w14:paraId="7271DD31" w14:textId="77777777">
        <w:trPr>
          <w:jc w:val="center"/>
        </w:trPr>
        <w:tc>
          <w:tcPr>
            <w:tcW w:w="1944" w:type="dxa"/>
            <w:shd w:val="clear" w:color="auto" w:fill="EAF4FF"/>
            <w:tcMar>
              <w:top w:w="90" w:type="dxa"/>
              <w:left w:w="120" w:type="dxa"/>
              <w:bottom w:w="90" w:type="dxa"/>
              <w:right w:w="120" w:type="dxa"/>
            </w:tcMar>
            <w:vAlign w:val="center"/>
          </w:tcPr>
          <w:p w14:paraId="38CC2C0B" w14:textId="77777777" w:rsidR="007C18AA" w:rsidRDefault="00000000">
            <w:pPr>
              <w:rPr>
                <w:rFonts w:hint="eastAsia"/>
              </w:rPr>
            </w:pPr>
            <w:r>
              <w:rPr>
                <w:b/>
                <w:color w:val="0B2748"/>
                <w:sz w:val="17"/>
              </w:rPr>
              <w:t>Faculty</w:t>
            </w:r>
          </w:p>
        </w:tc>
        <w:tc>
          <w:tcPr>
            <w:tcW w:w="2808" w:type="dxa"/>
            <w:shd w:val="clear" w:color="auto" w:fill="FFFFFF"/>
            <w:tcMar>
              <w:top w:w="90" w:type="dxa"/>
              <w:left w:w="120" w:type="dxa"/>
              <w:bottom w:w="90" w:type="dxa"/>
              <w:right w:w="120" w:type="dxa"/>
            </w:tcMar>
            <w:vAlign w:val="center"/>
          </w:tcPr>
          <w:p w14:paraId="0BC2668F" w14:textId="77777777" w:rsidR="007C18AA" w:rsidRDefault="00000000">
            <w:pPr>
              <w:rPr>
                <w:rFonts w:hint="eastAsia"/>
              </w:rPr>
            </w:pPr>
            <w:r>
              <w:rPr>
                <w:color w:val="0B2748"/>
                <w:sz w:val="17"/>
              </w:rPr>
              <w:t>Dr C. Rajesh Babu</w:t>
            </w:r>
          </w:p>
        </w:tc>
        <w:tc>
          <w:tcPr>
            <w:tcW w:w="1944" w:type="dxa"/>
            <w:shd w:val="clear" w:color="auto" w:fill="EAF4FF"/>
            <w:tcMar>
              <w:top w:w="90" w:type="dxa"/>
              <w:left w:w="120" w:type="dxa"/>
              <w:bottom w:w="90" w:type="dxa"/>
              <w:right w:w="120" w:type="dxa"/>
            </w:tcMar>
            <w:vAlign w:val="center"/>
          </w:tcPr>
          <w:p w14:paraId="3BE53725" w14:textId="77777777" w:rsidR="007C18AA" w:rsidRDefault="00000000">
            <w:pPr>
              <w:rPr>
                <w:rFonts w:hint="eastAsia"/>
              </w:rPr>
            </w:pPr>
            <w:r>
              <w:rPr>
                <w:b/>
                <w:color w:val="0B2748"/>
                <w:sz w:val="17"/>
              </w:rPr>
              <w:t>Employee ID</w:t>
            </w:r>
          </w:p>
        </w:tc>
        <w:tc>
          <w:tcPr>
            <w:tcW w:w="2808" w:type="dxa"/>
            <w:shd w:val="clear" w:color="auto" w:fill="FFFFFF"/>
            <w:tcMar>
              <w:top w:w="90" w:type="dxa"/>
              <w:left w:w="120" w:type="dxa"/>
              <w:bottom w:w="90" w:type="dxa"/>
              <w:right w:w="120" w:type="dxa"/>
            </w:tcMar>
            <w:vAlign w:val="center"/>
          </w:tcPr>
          <w:p w14:paraId="63814CF2" w14:textId="77777777" w:rsidR="007C18AA" w:rsidRDefault="00000000">
            <w:pPr>
              <w:rPr>
                <w:rFonts w:hint="eastAsia"/>
              </w:rPr>
            </w:pPr>
            <w:r>
              <w:rPr>
                <w:color w:val="0B2748"/>
                <w:sz w:val="17"/>
              </w:rPr>
              <w:t>SSETSCS415</w:t>
            </w:r>
          </w:p>
        </w:tc>
      </w:tr>
      <w:tr w:rsidR="007C18AA" w14:paraId="5F7A97A1" w14:textId="77777777">
        <w:trPr>
          <w:jc w:val="center"/>
        </w:trPr>
        <w:tc>
          <w:tcPr>
            <w:tcW w:w="1944" w:type="dxa"/>
            <w:shd w:val="clear" w:color="auto" w:fill="EAF4FF"/>
            <w:tcMar>
              <w:top w:w="90" w:type="dxa"/>
              <w:left w:w="120" w:type="dxa"/>
              <w:bottom w:w="90" w:type="dxa"/>
              <w:right w:w="120" w:type="dxa"/>
            </w:tcMar>
            <w:vAlign w:val="center"/>
          </w:tcPr>
          <w:p w14:paraId="153F959E" w14:textId="77777777" w:rsidR="007C18AA" w:rsidRDefault="00000000">
            <w:pPr>
              <w:rPr>
                <w:rFonts w:hint="eastAsia"/>
              </w:rPr>
            </w:pPr>
            <w:r>
              <w:rPr>
                <w:b/>
                <w:color w:val="0B2748"/>
                <w:sz w:val="17"/>
              </w:rPr>
              <w:t>Mode</w:t>
            </w:r>
          </w:p>
        </w:tc>
        <w:tc>
          <w:tcPr>
            <w:tcW w:w="2808" w:type="dxa"/>
            <w:shd w:val="clear" w:color="auto" w:fill="FFFFFF"/>
            <w:tcMar>
              <w:top w:w="90" w:type="dxa"/>
              <w:left w:w="120" w:type="dxa"/>
              <w:bottom w:w="90" w:type="dxa"/>
              <w:right w:w="120" w:type="dxa"/>
            </w:tcMar>
            <w:vAlign w:val="center"/>
          </w:tcPr>
          <w:p w14:paraId="435B88C5" w14:textId="77777777" w:rsidR="007C18AA" w:rsidRDefault="00000000">
            <w:pPr>
              <w:rPr>
                <w:rFonts w:hint="eastAsia"/>
              </w:rPr>
            </w:pPr>
            <w:r>
              <w:rPr>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299AB427" w14:textId="77777777" w:rsidR="007C18AA" w:rsidRDefault="00000000">
            <w:pPr>
              <w:rPr>
                <w:rFonts w:hint="eastAsia"/>
              </w:rPr>
            </w:pPr>
            <w:r>
              <w:rPr>
                <w:b/>
                <w:color w:val="0B2748"/>
                <w:sz w:val="17"/>
              </w:rPr>
              <w:t>Submission</w:t>
            </w:r>
          </w:p>
        </w:tc>
        <w:tc>
          <w:tcPr>
            <w:tcW w:w="2808" w:type="dxa"/>
            <w:shd w:val="clear" w:color="auto" w:fill="FFFFFF"/>
            <w:tcMar>
              <w:top w:w="90" w:type="dxa"/>
              <w:left w:w="120" w:type="dxa"/>
              <w:bottom w:w="90" w:type="dxa"/>
              <w:right w:w="120" w:type="dxa"/>
            </w:tcMar>
            <w:vAlign w:val="center"/>
          </w:tcPr>
          <w:p w14:paraId="2EFDF3B1" w14:textId="77777777" w:rsidR="007C18AA" w:rsidRDefault="00000000">
            <w:pPr>
              <w:rPr>
                <w:rFonts w:hint="eastAsia"/>
              </w:rPr>
            </w:pPr>
            <w:r>
              <w:rPr>
                <w:color w:val="0B2748"/>
                <w:sz w:val="17"/>
              </w:rPr>
              <w:t>GitHub repository link through Google Classroom</w:t>
            </w:r>
          </w:p>
        </w:tc>
      </w:tr>
    </w:tbl>
    <w:p w14:paraId="7D17DC84" w14:textId="77777777" w:rsidR="007C18AA" w:rsidRDefault="007C18AA">
      <w:pPr>
        <w:rPr>
          <w:rFonts w:hint="eastAsia"/>
        </w:rPr>
      </w:pP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4E1DC57B" w14:textId="77777777">
        <w:trPr>
          <w:jc w:val="center"/>
        </w:trPr>
        <w:tc>
          <w:tcPr>
            <w:tcW w:w="9576" w:type="dxa"/>
            <w:shd w:val="clear" w:color="auto" w:fill="EAF4FF"/>
            <w:tcMar>
              <w:top w:w="90" w:type="dxa"/>
              <w:left w:w="120" w:type="dxa"/>
              <w:bottom w:w="90" w:type="dxa"/>
              <w:right w:w="120" w:type="dxa"/>
            </w:tcMar>
            <w:vAlign w:val="center"/>
          </w:tcPr>
          <w:p w14:paraId="1773BCC6" w14:textId="77777777" w:rsidR="007C18AA" w:rsidRDefault="00000000">
            <w:pPr>
              <w:rPr>
                <w:rFonts w:hint="eastAsia"/>
              </w:rPr>
            </w:pPr>
            <w:r>
              <w:rPr>
                <w:b/>
                <w:color w:val="0B2748"/>
                <w:sz w:val="19"/>
              </w:rPr>
              <w:t>How This Template Works</w:t>
            </w:r>
            <w:r>
              <w:rPr>
                <w:b/>
                <w:color w:val="0B2748"/>
                <w:sz w:val="19"/>
              </w:rPr>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672DD972" w14:textId="77777777" w:rsidR="007C18AA" w:rsidRDefault="00000000">
      <w:pPr>
        <w:pStyle w:val="Heading1"/>
      </w:pPr>
      <w:r>
        <w:t>Student and Capstone Details</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5073"/>
        <w:gridCol w:w="5073"/>
      </w:tblGrid>
      <w:tr w:rsidR="007C18AA" w14:paraId="3A28DB04" w14:textId="77777777">
        <w:trPr>
          <w:jc w:val="center"/>
        </w:trPr>
        <w:tc>
          <w:tcPr>
            <w:tcW w:w="5083" w:type="dxa"/>
            <w:shd w:val="clear" w:color="auto" w:fill="EAF4FF"/>
            <w:tcMar>
              <w:top w:w="90" w:type="dxa"/>
              <w:left w:w="120" w:type="dxa"/>
              <w:bottom w:w="90" w:type="dxa"/>
              <w:right w:w="120" w:type="dxa"/>
            </w:tcMar>
            <w:vAlign w:val="center"/>
          </w:tcPr>
          <w:p w14:paraId="64FBDB7B" w14:textId="77777777" w:rsidR="007C18AA" w:rsidRDefault="00000000">
            <w:pPr>
              <w:rPr>
                <w:rFonts w:hint="eastAsia"/>
              </w:rPr>
            </w:pPr>
            <w:r>
              <w:rPr>
                <w:b/>
                <w:color w:val="0B2748"/>
                <w:sz w:val="19"/>
              </w:rPr>
              <w:t>Student Name</w:t>
            </w:r>
          </w:p>
        </w:tc>
        <w:tc>
          <w:tcPr>
            <w:tcW w:w="5083" w:type="dxa"/>
            <w:tcMar>
              <w:top w:w="90" w:type="dxa"/>
              <w:left w:w="120" w:type="dxa"/>
              <w:bottom w:w="90" w:type="dxa"/>
              <w:right w:w="120" w:type="dxa"/>
            </w:tcMar>
            <w:vAlign w:val="center"/>
          </w:tcPr>
          <w:p w14:paraId="2D1FDB32" w14:textId="7D02A316" w:rsidR="007C18AA" w:rsidRDefault="00EB3BCA">
            <w:pPr>
              <w:rPr>
                <w:rFonts w:hint="eastAsia"/>
              </w:rPr>
            </w:pPr>
            <w:r>
              <w:t>Deva G</w:t>
            </w:r>
          </w:p>
        </w:tc>
      </w:tr>
      <w:tr w:rsidR="007C18AA" w14:paraId="4F93662D" w14:textId="77777777">
        <w:trPr>
          <w:jc w:val="center"/>
        </w:trPr>
        <w:tc>
          <w:tcPr>
            <w:tcW w:w="5083" w:type="dxa"/>
            <w:shd w:val="clear" w:color="auto" w:fill="EAF4FF"/>
            <w:tcMar>
              <w:top w:w="90" w:type="dxa"/>
              <w:left w:w="120" w:type="dxa"/>
              <w:bottom w:w="90" w:type="dxa"/>
              <w:right w:w="120" w:type="dxa"/>
            </w:tcMar>
            <w:vAlign w:val="center"/>
          </w:tcPr>
          <w:p w14:paraId="4C66F7BA" w14:textId="77777777" w:rsidR="007C18AA" w:rsidRDefault="00000000">
            <w:pPr>
              <w:rPr>
                <w:rFonts w:hint="eastAsia"/>
              </w:rPr>
            </w:pPr>
            <w:r>
              <w:rPr>
                <w:b/>
                <w:color w:val="0B2748"/>
                <w:sz w:val="19"/>
              </w:rPr>
              <w:t>Register Number</w:t>
            </w:r>
          </w:p>
        </w:tc>
        <w:tc>
          <w:tcPr>
            <w:tcW w:w="5083" w:type="dxa"/>
            <w:tcMar>
              <w:top w:w="90" w:type="dxa"/>
              <w:left w:w="120" w:type="dxa"/>
              <w:bottom w:w="90" w:type="dxa"/>
              <w:right w:w="120" w:type="dxa"/>
            </w:tcMar>
            <w:vAlign w:val="center"/>
          </w:tcPr>
          <w:p w14:paraId="253A7B28" w14:textId="4CF7B0F6" w:rsidR="007C18AA" w:rsidRDefault="00EB3BCA">
            <w:pPr>
              <w:rPr>
                <w:rFonts w:hint="eastAsia"/>
              </w:rPr>
            </w:pPr>
            <w:r>
              <w:t>192421344</w:t>
            </w:r>
          </w:p>
        </w:tc>
      </w:tr>
      <w:tr w:rsidR="007C18AA" w14:paraId="780F4EA1" w14:textId="77777777">
        <w:trPr>
          <w:jc w:val="center"/>
        </w:trPr>
        <w:tc>
          <w:tcPr>
            <w:tcW w:w="5083" w:type="dxa"/>
            <w:shd w:val="clear" w:color="auto" w:fill="EAF4FF"/>
            <w:tcMar>
              <w:top w:w="90" w:type="dxa"/>
              <w:left w:w="120" w:type="dxa"/>
              <w:bottom w:w="90" w:type="dxa"/>
              <w:right w:w="120" w:type="dxa"/>
            </w:tcMar>
            <w:vAlign w:val="center"/>
          </w:tcPr>
          <w:p w14:paraId="64C3B279" w14:textId="77777777" w:rsidR="007C18AA" w:rsidRDefault="00000000">
            <w:pPr>
              <w:rPr>
                <w:rFonts w:hint="eastAsia"/>
              </w:rPr>
            </w:pPr>
            <w:r>
              <w:rPr>
                <w:b/>
                <w:color w:val="0B2748"/>
                <w:sz w:val="19"/>
              </w:rPr>
              <w:t>Class / Slot</w:t>
            </w:r>
          </w:p>
        </w:tc>
        <w:tc>
          <w:tcPr>
            <w:tcW w:w="5083" w:type="dxa"/>
            <w:tcMar>
              <w:top w:w="90" w:type="dxa"/>
              <w:left w:w="120" w:type="dxa"/>
              <w:bottom w:w="90" w:type="dxa"/>
              <w:right w:w="120" w:type="dxa"/>
            </w:tcMar>
            <w:vAlign w:val="center"/>
          </w:tcPr>
          <w:p w14:paraId="42A2BBE6" w14:textId="76BAA4D0" w:rsidR="007C18AA" w:rsidRDefault="00000000">
            <w:pPr>
              <w:rPr>
                <w:rFonts w:hint="eastAsia"/>
              </w:rPr>
            </w:pPr>
            <w:r>
              <w:rPr>
                <w:color w:val="0B2748"/>
                <w:sz w:val="19"/>
              </w:rPr>
              <w:t xml:space="preserve">Slot </w:t>
            </w:r>
            <w:r w:rsidR="00EB3BCA">
              <w:rPr>
                <w:color w:val="0B2748"/>
                <w:sz w:val="19"/>
              </w:rPr>
              <w:t>c</w:t>
            </w:r>
          </w:p>
        </w:tc>
      </w:tr>
      <w:tr w:rsidR="007C18AA" w14:paraId="5AAAEC2C" w14:textId="77777777">
        <w:trPr>
          <w:jc w:val="center"/>
        </w:trPr>
        <w:tc>
          <w:tcPr>
            <w:tcW w:w="5083" w:type="dxa"/>
            <w:shd w:val="clear" w:color="auto" w:fill="EAF4FF"/>
            <w:tcMar>
              <w:top w:w="90" w:type="dxa"/>
              <w:left w:w="120" w:type="dxa"/>
              <w:bottom w:w="90" w:type="dxa"/>
              <w:right w:w="120" w:type="dxa"/>
            </w:tcMar>
            <w:vAlign w:val="center"/>
          </w:tcPr>
          <w:p w14:paraId="7E485BCA" w14:textId="77777777" w:rsidR="007C18AA" w:rsidRDefault="00000000">
            <w:pPr>
              <w:rPr>
                <w:rFonts w:hint="eastAsia"/>
              </w:rPr>
            </w:pPr>
            <w:r>
              <w:rPr>
                <w:b/>
                <w:color w:val="0B2748"/>
                <w:sz w:val="19"/>
              </w:rPr>
              <w:t>Capstone Title</w:t>
            </w:r>
          </w:p>
        </w:tc>
        <w:tc>
          <w:tcPr>
            <w:tcW w:w="5083" w:type="dxa"/>
            <w:tcMar>
              <w:top w:w="90" w:type="dxa"/>
              <w:left w:w="120" w:type="dxa"/>
              <w:bottom w:w="90" w:type="dxa"/>
              <w:right w:w="120" w:type="dxa"/>
            </w:tcMar>
            <w:vAlign w:val="center"/>
          </w:tcPr>
          <w:p w14:paraId="38F64467" w14:textId="77777777" w:rsidR="007C18AA" w:rsidRDefault="00000000">
            <w:pPr>
              <w:rPr>
                <w:rFonts w:hint="eastAsia"/>
              </w:rPr>
            </w:pPr>
            <w:r>
              <w:rPr>
                <w:color w:val="0B2748"/>
                <w:sz w:val="19"/>
              </w:rPr>
              <w:t>AI-Powered Big Data Analytics on Cloud Platforms</w:t>
            </w:r>
          </w:p>
        </w:tc>
      </w:tr>
      <w:tr w:rsidR="007C18AA" w14:paraId="16CE4FA9" w14:textId="77777777">
        <w:trPr>
          <w:jc w:val="center"/>
        </w:trPr>
        <w:tc>
          <w:tcPr>
            <w:tcW w:w="5083" w:type="dxa"/>
            <w:shd w:val="clear" w:color="auto" w:fill="EAF4FF"/>
            <w:tcMar>
              <w:top w:w="90" w:type="dxa"/>
              <w:left w:w="120" w:type="dxa"/>
              <w:bottom w:w="90" w:type="dxa"/>
              <w:right w:w="120" w:type="dxa"/>
            </w:tcMar>
            <w:vAlign w:val="center"/>
          </w:tcPr>
          <w:p w14:paraId="6A333C22" w14:textId="77777777" w:rsidR="007C18AA" w:rsidRDefault="00000000">
            <w:pPr>
              <w:rPr>
                <w:rFonts w:hint="eastAsia"/>
              </w:rPr>
            </w:pPr>
            <w:r>
              <w:rPr>
                <w:b/>
                <w:color w:val="0B2748"/>
                <w:sz w:val="19"/>
              </w:rPr>
              <w:t>CO3 AT1 Evidence Link</w:t>
            </w:r>
          </w:p>
        </w:tc>
        <w:tc>
          <w:tcPr>
            <w:tcW w:w="5083" w:type="dxa"/>
            <w:tcMar>
              <w:top w:w="90" w:type="dxa"/>
              <w:left w:w="120" w:type="dxa"/>
              <w:bottom w:w="90" w:type="dxa"/>
              <w:right w:w="120" w:type="dxa"/>
            </w:tcMar>
            <w:vAlign w:val="center"/>
          </w:tcPr>
          <w:p w14:paraId="4A96D09F" w14:textId="683973BE" w:rsidR="007C18AA" w:rsidRDefault="007C18AA">
            <w:pPr>
              <w:rPr>
                <w:rFonts w:hint="eastAsia"/>
              </w:rPr>
            </w:pPr>
          </w:p>
        </w:tc>
      </w:tr>
      <w:tr w:rsidR="007C18AA" w14:paraId="011A407B" w14:textId="77777777">
        <w:trPr>
          <w:jc w:val="center"/>
        </w:trPr>
        <w:tc>
          <w:tcPr>
            <w:tcW w:w="5083" w:type="dxa"/>
            <w:shd w:val="clear" w:color="auto" w:fill="EAF4FF"/>
            <w:tcMar>
              <w:top w:w="90" w:type="dxa"/>
              <w:left w:w="120" w:type="dxa"/>
              <w:bottom w:w="90" w:type="dxa"/>
              <w:right w:w="120" w:type="dxa"/>
            </w:tcMar>
            <w:vAlign w:val="center"/>
          </w:tcPr>
          <w:p w14:paraId="03D2CF74" w14:textId="77777777" w:rsidR="007C18AA" w:rsidRDefault="00000000">
            <w:pPr>
              <w:rPr>
                <w:rFonts w:hint="eastAsia"/>
              </w:rPr>
            </w:pPr>
            <w:r>
              <w:rPr>
                <w:b/>
                <w:color w:val="0B2748"/>
                <w:sz w:val="19"/>
              </w:rPr>
              <w:t>GitHub Repository Link</w:t>
            </w:r>
          </w:p>
        </w:tc>
        <w:tc>
          <w:tcPr>
            <w:tcW w:w="5083" w:type="dxa"/>
            <w:tcMar>
              <w:top w:w="90" w:type="dxa"/>
              <w:left w:w="120" w:type="dxa"/>
              <w:bottom w:w="90" w:type="dxa"/>
              <w:right w:w="120" w:type="dxa"/>
            </w:tcMar>
            <w:vAlign w:val="center"/>
          </w:tcPr>
          <w:p w14:paraId="496D4C70" w14:textId="7151BFD6" w:rsidR="007C18AA" w:rsidRDefault="007C18AA">
            <w:pPr>
              <w:rPr>
                <w:rFonts w:hint="eastAsia"/>
              </w:rPr>
            </w:pPr>
          </w:p>
        </w:tc>
      </w:tr>
      <w:tr w:rsidR="007C18AA" w14:paraId="0F8F1CFA" w14:textId="77777777">
        <w:trPr>
          <w:jc w:val="center"/>
        </w:trPr>
        <w:tc>
          <w:tcPr>
            <w:tcW w:w="5083" w:type="dxa"/>
            <w:shd w:val="clear" w:color="auto" w:fill="EAF4FF"/>
            <w:tcMar>
              <w:top w:w="90" w:type="dxa"/>
              <w:left w:w="120" w:type="dxa"/>
              <w:bottom w:w="90" w:type="dxa"/>
              <w:right w:w="120" w:type="dxa"/>
            </w:tcMar>
            <w:vAlign w:val="center"/>
          </w:tcPr>
          <w:p w14:paraId="67284F5A" w14:textId="77777777" w:rsidR="007C18AA" w:rsidRDefault="00000000">
            <w:pPr>
              <w:rPr>
                <w:rFonts w:hint="eastAsia"/>
              </w:rPr>
            </w:pPr>
            <w:r>
              <w:rPr>
                <w:b/>
                <w:color w:val="0B2748"/>
                <w:sz w:val="19"/>
              </w:rPr>
              <w:t>Submission Date</w:t>
            </w:r>
          </w:p>
        </w:tc>
        <w:tc>
          <w:tcPr>
            <w:tcW w:w="5083" w:type="dxa"/>
            <w:tcMar>
              <w:top w:w="90" w:type="dxa"/>
              <w:left w:w="120" w:type="dxa"/>
              <w:bottom w:w="90" w:type="dxa"/>
              <w:right w:w="120" w:type="dxa"/>
            </w:tcMar>
            <w:vAlign w:val="center"/>
          </w:tcPr>
          <w:p w14:paraId="10791108" w14:textId="104A137F" w:rsidR="007C18AA" w:rsidRDefault="00EB3BCA">
            <w:pPr>
              <w:rPr>
                <w:rFonts w:hint="eastAsia"/>
              </w:rPr>
            </w:pPr>
            <w:r>
              <w:t>20-08-2026</w:t>
            </w:r>
          </w:p>
        </w:tc>
      </w:tr>
    </w:tbl>
    <w:p w14:paraId="005757B9" w14:textId="77777777" w:rsidR="007C18AA" w:rsidRDefault="00000000">
      <w:pPr>
        <w:pStyle w:val="Heading1"/>
      </w:pPr>
      <w:r>
        <w:t>Case 1: Cloud-Native Backend and Web API Architecture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230B4679" w14:textId="77777777">
        <w:trPr>
          <w:jc w:val="center"/>
        </w:trPr>
        <w:tc>
          <w:tcPr>
            <w:tcW w:w="9576" w:type="dxa"/>
            <w:shd w:val="clear" w:color="auto" w:fill="E7F8FC"/>
            <w:tcMar>
              <w:top w:w="90" w:type="dxa"/>
              <w:left w:w="120" w:type="dxa"/>
              <w:bottom w:w="90" w:type="dxa"/>
              <w:right w:w="120" w:type="dxa"/>
            </w:tcMar>
            <w:vAlign w:val="center"/>
          </w:tcPr>
          <w:p w14:paraId="31CD10D3" w14:textId="77777777" w:rsidR="007C18AA" w:rsidRDefault="00000000">
            <w:pPr>
              <w:rPr>
                <w:rFonts w:hint="eastAsia"/>
              </w:rPr>
            </w:pPr>
            <w:r>
              <w:rPr>
                <w:b/>
                <w:color w:val="0B2748"/>
                <w:sz w:val="19"/>
              </w:rPr>
              <w:t>Scenario</w:t>
            </w:r>
            <w:r>
              <w:rPr>
                <w:b/>
                <w:color w:val="0B2748"/>
                <w:sz w:val="19"/>
              </w:rPr>
              <w:br/>
              <w:t>A food delivery company wants to deploy a cloud-native backend with web APIs, browser/mobile clients and shared cloud storage for receipts and delivery images. Design the architecture and explain the role of each component.</w:t>
            </w:r>
          </w:p>
        </w:tc>
      </w:tr>
    </w:tbl>
    <w:p w14:paraId="029B4D54" w14:textId="77777777" w:rsidR="007C18AA" w:rsidRDefault="00000000">
      <w:pPr>
        <w:pStyle w:val="Heading3"/>
      </w:pPr>
      <w:r>
        <w:lastRenderedPageBreak/>
        <w:t>A. Case Architecture Diagram</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59A50B98" w14:textId="77777777">
        <w:trPr>
          <w:jc w:val="center"/>
        </w:trPr>
        <w:tc>
          <w:tcPr>
            <w:tcW w:w="9576" w:type="dxa"/>
            <w:tcMar>
              <w:top w:w="90" w:type="dxa"/>
              <w:left w:w="120" w:type="dxa"/>
              <w:bottom w:w="90" w:type="dxa"/>
              <w:right w:w="120" w:type="dxa"/>
            </w:tcMar>
            <w:vAlign w:val="center"/>
          </w:tcPr>
          <w:p w14:paraId="1AF239ED" w14:textId="77777777" w:rsidR="007C18AA" w:rsidRDefault="00000000">
            <w:pPr>
              <w:rPr>
                <w:rFonts w:hint="eastAsia"/>
              </w:rPr>
            </w:pPr>
            <w:r>
              <w:rPr>
                <w:color w:val="0B2748"/>
                <w:sz w:val="19"/>
              </w:rPr>
              <w:t>Browser/Mobile Client -&gt; Hosted Frontend -&gt; API Gateway (authentication check) -&gt; Backend Service (order/business logic) -&gt; Database (orders, users, delivery status) and Object Storage (receipt images, delivery-proof photos) -&gt; Notification Service (order status alerts) -&gt; response back to client. Monitoring/logging observes every request across all components.</w:t>
            </w:r>
            <w:r>
              <w:rPr>
                <w:color w:val="0B2748"/>
                <w:sz w:val="19"/>
              </w:rPr>
              <w:br/>
            </w:r>
            <w:r>
              <w:rPr>
                <w:color w:val="0B2748"/>
                <w:sz w:val="19"/>
              </w:rPr>
              <w:br/>
            </w:r>
            <w:r>
              <w:rPr>
                <w:color w:val="0B2748"/>
                <w:sz w:val="19"/>
              </w:rPr>
              <w:br/>
            </w:r>
            <w:r>
              <w:rPr>
                <w:color w:val="0B2748"/>
                <w:sz w:val="19"/>
              </w:rPr>
              <w:br/>
            </w:r>
          </w:p>
        </w:tc>
      </w:tr>
    </w:tbl>
    <w:p w14:paraId="2BBAB68A" w14:textId="77777777" w:rsidR="007C18AA" w:rsidRDefault="00000000">
      <w:pPr>
        <w:pStyle w:val="Heading3"/>
      </w:pPr>
      <w:r>
        <w:t>B. Component Role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643C62D9" w14:textId="77777777">
        <w:trPr>
          <w:jc w:val="center"/>
        </w:trPr>
        <w:tc>
          <w:tcPr>
            <w:tcW w:w="9576" w:type="dxa"/>
            <w:tcMar>
              <w:top w:w="90" w:type="dxa"/>
              <w:left w:w="120" w:type="dxa"/>
              <w:bottom w:w="90" w:type="dxa"/>
              <w:right w:w="120" w:type="dxa"/>
            </w:tcMar>
            <w:vAlign w:val="center"/>
          </w:tcPr>
          <w:p w14:paraId="34F98A53" w14:textId="77777777" w:rsidR="007C18AA" w:rsidRDefault="00000000">
            <w:pPr>
              <w:rPr>
                <w:rFonts w:hint="eastAsia"/>
              </w:rPr>
            </w:pPr>
            <w:r>
              <w:rPr>
                <w:color w:val="0B2748"/>
                <w:sz w:val="19"/>
              </w:rPr>
              <w:t>Browser/Mobile Client: where the customer/rider interacts with the app. Hosted Frontend: serves the UI and calls the backend only through defined API endpoints. API Gateway + Authentication: validates every request's identity/role (customer, rider, restaurant, admin) before it reaches business logic. Backend Service: applies order/delivery business rules and decides what to read/write. Database: stores structured, frequently-queried data (orders, accounts, delivery status). Object Storage: stores unstructured large files (receipts, delivery-proof photos) cheaply, referenced by a URL/path from the database rather than stored inline. Notification Service: pushes status updates without the client needing to poll. Monitoring/Logging: tracks latency, errors and usage across every component.</w:t>
            </w:r>
            <w:r>
              <w:rPr>
                <w:color w:val="0B2748"/>
                <w:sz w:val="19"/>
              </w:rPr>
              <w:br/>
            </w:r>
            <w:r>
              <w:rPr>
                <w:color w:val="0B2748"/>
                <w:sz w:val="19"/>
              </w:rPr>
              <w:br/>
            </w:r>
            <w:r>
              <w:rPr>
                <w:color w:val="0B2748"/>
                <w:sz w:val="19"/>
              </w:rPr>
              <w:br/>
            </w:r>
            <w:r>
              <w:rPr>
                <w:color w:val="0B2748"/>
                <w:sz w:val="19"/>
              </w:rPr>
              <w:br/>
            </w:r>
          </w:p>
        </w:tc>
      </w:tr>
    </w:tbl>
    <w:p w14:paraId="7BA910B8" w14:textId="77777777" w:rsidR="007C18AA" w:rsidRDefault="00000000">
      <w:pPr>
        <w:pStyle w:val="Heading3"/>
      </w:pPr>
      <w:r>
        <w:t>C. Capstone Extension: user-to-cloud workflow for your product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57B58EE6" w14:textId="77777777">
        <w:trPr>
          <w:jc w:val="center"/>
        </w:trPr>
        <w:tc>
          <w:tcPr>
            <w:tcW w:w="9576" w:type="dxa"/>
            <w:tcMar>
              <w:top w:w="90" w:type="dxa"/>
              <w:left w:w="120" w:type="dxa"/>
              <w:bottom w:w="90" w:type="dxa"/>
              <w:right w:w="120" w:type="dxa"/>
            </w:tcMar>
            <w:vAlign w:val="center"/>
          </w:tcPr>
          <w:p w14:paraId="1FF366A5" w14:textId="77777777" w:rsidR="007C18AA" w:rsidRDefault="00000000">
            <w:pPr>
              <w:rPr>
                <w:rFonts w:hint="eastAsia"/>
              </w:rPr>
            </w:pPr>
            <w:r>
              <w:rPr>
                <w:color w:val="0B2748"/>
                <w:sz w:val="19"/>
              </w:rPr>
              <w:t>For the AI-Powered Big Data Analytics platform: the analyst logs into the React dashboard (hosted frontend) -&gt; requests go through API Gateway with Cognito authentication -&gt; the backend service queries Redshift for aggregated data and calls the SageMaker endpoint for AI predictions -&gt; results render on the dashboard. On the ingestion side, raw files land in S3 (object storage) and are processed by Glue/EMR into Redshift; SNS notifies analysts when an anomaly is detected. This mirrors the food-delivery case: API Gateway/auth guards access, the database holds structured aggregates, object storage holds raw large files, and a notification service closes the loop.</w:t>
            </w:r>
            <w:r>
              <w:rPr>
                <w:color w:val="0B2748"/>
                <w:sz w:val="19"/>
              </w:rPr>
              <w:br/>
            </w:r>
            <w:r>
              <w:rPr>
                <w:color w:val="0B2748"/>
                <w:sz w:val="19"/>
              </w:rPr>
              <w:br/>
            </w:r>
            <w:r>
              <w:rPr>
                <w:color w:val="0B2748"/>
                <w:sz w:val="19"/>
              </w:rPr>
              <w:br/>
            </w:r>
            <w:r>
              <w:rPr>
                <w:color w:val="0B2748"/>
                <w:sz w:val="19"/>
              </w:rPr>
              <w:br/>
            </w:r>
          </w:p>
        </w:tc>
      </w:tr>
    </w:tbl>
    <w:p w14:paraId="6B37E7EA" w14:textId="77777777" w:rsidR="007C18AA" w:rsidRDefault="00000000">
      <w:pPr>
        <w:pStyle w:val="Heading1"/>
      </w:pPr>
      <w:r>
        <w:t>Case 2: Storage and Serverless Upload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2232"/>
        <w:gridCol w:w="2232"/>
        <w:gridCol w:w="2520"/>
        <w:gridCol w:w="2592"/>
      </w:tblGrid>
      <w:tr w:rsidR="007C18AA" w14:paraId="6BD6B17B" w14:textId="77777777">
        <w:trPr>
          <w:jc w:val="center"/>
        </w:trPr>
        <w:tc>
          <w:tcPr>
            <w:tcW w:w="9576" w:type="dxa"/>
            <w:gridSpan w:val="4"/>
            <w:shd w:val="clear" w:color="auto" w:fill="EAF4FF"/>
            <w:tcMar>
              <w:top w:w="90" w:type="dxa"/>
              <w:left w:w="120" w:type="dxa"/>
              <w:bottom w:w="90" w:type="dxa"/>
              <w:right w:w="120" w:type="dxa"/>
            </w:tcMar>
            <w:vAlign w:val="center"/>
          </w:tcPr>
          <w:p w14:paraId="5AC8FE75" w14:textId="77777777" w:rsidR="007C18AA" w:rsidRDefault="00000000">
            <w:pPr>
              <w:rPr>
                <w:rFonts w:hint="eastAsia"/>
              </w:rPr>
            </w:pPr>
            <w:r>
              <w:rPr>
                <w:b/>
                <w:color w:val="0B2748"/>
                <w:sz w:val="19"/>
              </w:rPr>
              <w:t>Scenario</w:t>
            </w:r>
            <w:r>
              <w:rPr>
                <w:b/>
                <w:color w:val="0B2748"/>
                <w:sz w:val="19"/>
              </w:rPr>
              <w:br/>
              <w:t>A media startup must decide between SAN-backed storage, object storage and serverless processing for upload workflows. Recommend a deployment model and justify it.</w:t>
            </w:r>
          </w:p>
        </w:tc>
      </w:tr>
      <w:tr w:rsidR="007C18AA" w14:paraId="1B425110" w14:textId="77777777">
        <w:trPr>
          <w:jc w:val="center"/>
        </w:trPr>
        <w:tc>
          <w:tcPr>
            <w:tcW w:w="2232" w:type="dxa"/>
            <w:shd w:val="clear" w:color="auto" w:fill="0B2748"/>
            <w:tcMar>
              <w:top w:w="90" w:type="dxa"/>
              <w:left w:w="120" w:type="dxa"/>
              <w:bottom w:w="90" w:type="dxa"/>
              <w:right w:w="120" w:type="dxa"/>
            </w:tcMar>
            <w:vAlign w:val="center"/>
          </w:tcPr>
          <w:p w14:paraId="2663B9DD" w14:textId="77777777" w:rsidR="007C18AA" w:rsidRDefault="00000000">
            <w:pPr>
              <w:rPr>
                <w:rFonts w:hint="eastAsia"/>
              </w:rPr>
            </w:pPr>
            <w:r>
              <w:rPr>
                <w:b/>
                <w:color w:val="FFFFFF"/>
                <w:sz w:val="17"/>
              </w:rPr>
              <w:t>Data / Event</w:t>
            </w:r>
          </w:p>
        </w:tc>
        <w:tc>
          <w:tcPr>
            <w:tcW w:w="2232" w:type="dxa"/>
            <w:shd w:val="clear" w:color="auto" w:fill="0B2748"/>
            <w:tcMar>
              <w:top w:w="90" w:type="dxa"/>
              <w:left w:w="120" w:type="dxa"/>
              <w:bottom w:w="90" w:type="dxa"/>
              <w:right w:w="120" w:type="dxa"/>
            </w:tcMar>
            <w:vAlign w:val="center"/>
          </w:tcPr>
          <w:p w14:paraId="5ADE28A1" w14:textId="77777777" w:rsidR="007C18AA" w:rsidRDefault="00000000">
            <w:pPr>
              <w:rPr>
                <w:rFonts w:hint="eastAsia"/>
              </w:rPr>
            </w:pPr>
            <w:r>
              <w:rPr>
                <w:b/>
                <w:color w:val="FFFFFF"/>
                <w:sz w:val="17"/>
              </w:rPr>
              <w:t>Best Storage</w:t>
            </w:r>
          </w:p>
        </w:tc>
        <w:tc>
          <w:tcPr>
            <w:tcW w:w="2520" w:type="dxa"/>
            <w:shd w:val="clear" w:color="auto" w:fill="0B2748"/>
            <w:tcMar>
              <w:top w:w="90" w:type="dxa"/>
              <w:left w:w="120" w:type="dxa"/>
              <w:bottom w:w="90" w:type="dxa"/>
              <w:right w:w="120" w:type="dxa"/>
            </w:tcMar>
            <w:vAlign w:val="center"/>
          </w:tcPr>
          <w:p w14:paraId="17C97E0F" w14:textId="77777777" w:rsidR="007C18AA" w:rsidRDefault="00000000">
            <w:pPr>
              <w:rPr>
                <w:rFonts w:hint="eastAsia"/>
              </w:rPr>
            </w:pPr>
            <w:r>
              <w:rPr>
                <w:b/>
                <w:color w:val="FFFFFF"/>
                <w:sz w:val="17"/>
              </w:rPr>
              <w:t>Serverless Action</w:t>
            </w:r>
          </w:p>
        </w:tc>
        <w:tc>
          <w:tcPr>
            <w:tcW w:w="2592" w:type="dxa"/>
            <w:shd w:val="clear" w:color="auto" w:fill="0B2748"/>
            <w:tcMar>
              <w:top w:w="90" w:type="dxa"/>
              <w:left w:w="120" w:type="dxa"/>
              <w:bottom w:w="90" w:type="dxa"/>
              <w:right w:w="120" w:type="dxa"/>
            </w:tcMar>
            <w:vAlign w:val="center"/>
          </w:tcPr>
          <w:p w14:paraId="27F5C990" w14:textId="77777777" w:rsidR="007C18AA" w:rsidRDefault="00000000">
            <w:pPr>
              <w:rPr>
                <w:rFonts w:hint="eastAsia"/>
              </w:rPr>
            </w:pPr>
            <w:r>
              <w:rPr>
                <w:b/>
                <w:color w:val="FFFFFF"/>
                <w:sz w:val="17"/>
              </w:rPr>
              <w:t>Reason</w:t>
            </w:r>
          </w:p>
        </w:tc>
      </w:tr>
      <w:tr w:rsidR="007C18AA" w14:paraId="6435298C" w14:textId="77777777">
        <w:trPr>
          <w:jc w:val="center"/>
        </w:trPr>
        <w:tc>
          <w:tcPr>
            <w:tcW w:w="2232" w:type="dxa"/>
            <w:tcMar>
              <w:top w:w="90" w:type="dxa"/>
              <w:left w:w="120" w:type="dxa"/>
              <w:bottom w:w="90" w:type="dxa"/>
              <w:right w:w="120" w:type="dxa"/>
            </w:tcMar>
            <w:vAlign w:val="center"/>
          </w:tcPr>
          <w:p w14:paraId="5A2C8BAF" w14:textId="77777777" w:rsidR="007C18AA" w:rsidRDefault="00000000">
            <w:pPr>
              <w:rPr>
                <w:rFonts w:hint="eastAsia"/>
              </w:rPr>
            </w:pPr>
            <w:r>
              <w:rPr>
                <w:color w:val="0B2748"/>
                <w:sz w:val="17"/>
              </w:rPr>
              <w:t>Profile photo upload</w:t>
            </w:r>
          </w:p>
        </w:tc>
        <w:tc>
          <w:tcPr>
            <w:tcW w:w="2232" w:type="dxa"/>
            <w:tcMar>
              <w:top w:w="90" w:type="dxa"/>
              <w:left w:w="120" w:type="dxa"/>
              <w:bottom w:w="90" w:type="dxa"/>
              <w:right w:w="120" w:type="dxa"/>
            </w:tcMar>
            <w:vAlign w:val="center"/>
          </w:tcPr>
          <w:p w14:paraId="79F78D3D" w14:textId="77777777" w:rsidR="007C18AA" w:rsidRDefault="00000000">
            <w:pPr>
              <w:rPr>
                <w:rFonts w:hint="eastAsia"/>
              </w:rPr>
            </w:pPr>
            <w:r>
              <w:rPr>
                <w:color w:val="0B2748"/>
                <w:sz w:val="17"/>
              </w:rPr>
              <w:t>Object storage (S3/Firebase Storage)</w:t>
            </w:r>
          </w:p>
        </w:tc>
        <w:tc>
          <w:tcPr>
            <w:tcW w:w="2520" w:type="dxa"/>
            <w:tcMar>
              <w:top w:w="90" w:type="dxa"/>
              <w:left w:w="120" w:type="dxa"/>
              <w:bottom w:w="90" w:type="dxa"/>
              <w:right w:w="120" w:type="dxa"/>
            </w:tcMar>
            <w:vAlign w:val="center"/>
          </w:tcPr>
          <w:p w14:paraId="28F2671B" w14:textId="77777777" w:rsidR="007C18AA" w:rsidRDefault="00000000">
            <w:pPr>
              <w:rPr>
                <w:rFonts w:hint="eastAsia"/>
              </w:rPr>
            </w:pPr>
            <w:r>
              <w:rPr>
                <w:color w:val="0B2748"/>
                <w:sz w:val="17"/>
              </w:rPr>
              <w:t>Resize/generate thumbnail function</w:t>
            </w:r>
          </w:p>
        </w:tc>
        <w:tc>
          <w:tcPr>
            <w:tcW w:w="2592" w:type="dxa"/>
            <w:tcMar>
              <w:top w:w="90" w:type="dxa"/>
              <w:left w:w="120" w:type="dxa"/>
              <w:bottom w:w="90" w:type="dxa"/>
              <w:right w:w="120" w:type="dxa"/>
            </w:tcMar>
            <w:vAlign w:val="center"/>
          </w:tcPr>
          <w:p w14:paraId="766A39B7" w14:textId="77777777" w:rsidR="007C18AA" w:rsidRDefault="00000000">
            <w:pPr>
              <w:rPr>
                <w:rFonts w:hint="eastAsia"/>
              </w:rPr>
            </w:pPr>
            <w:r>
              <w:rPr>
                <w:color w:val="0B2748"/>
                <w:sz w:val="17"/>
              </w:rPr>
              <w:t xml:space="preserve">Large binary file written once and read often - object storage </w:t>
            </w:r>
            <w:r>
              <w:rPr>
                <w:color w:val="0B2748"/>
                <w:sz w:val="17"/>
              </w:rPr>
              <w:lastRenderedPageBreak/>
              <w:t>is cheapest and serverless resize avoids an always-on image server</w:t>
            </w:r>
          </w:p>
        </w:tc>
      </w:tr>
      <w:tr w:rsidR="007C18AA" w14:paraId="2D2C1932" w14:textId="77777777">
        <w:trPr>
          <w:jc w:val="center"/>
        </w:trPr>
        <w:tc>
          <w:tcPr>
            <w:tcW w:w="2232" w:type="dxa"/>
            <w:tcMar>
              <w:top w:w="90" w:type="dxa"/>
              <w:left w:w="120" w:type="dxa"/>
              <w:bottom w:w="90" w:type="dxa"/>
              <w:right w:w="120" w:type="dxa"/>
            </w:tcMar>
            <w:vAlign w:val="center"/>
          </w:tcPr>
          <w:p w14:paraId="6687DAAA" w14:textId="77777777" w:rsidR="007C18AA" w:rsidRDefault="00000000">
            <w:pPr>
              <w:rPr>
                <w:rFonts w:hint="eastAsia"/>
              </w:rPr>
            </w:pPr>
            <w:r>
              <w:rPr>
                <w:color w:val="0B2748"/>
                <w:sz w:val="17"/>
              </w:rPr>
              <w:lastRenderedPageBreak/>
              <w:t>Video/media file upload</w:t>
            </w:r>
          </w:p>
        </w:tc>
        <w:tc>
          <w:tcPr>
            <w:tcW w:w="2232" w:type="dxa"/>
            <w:tcMar>
              <w:top w:w="90" w:type="dxa"/>
              <w:left w:w="120" w:type="dxa"/>
              <w:bottom w:w="90" w:type="dxa"/>
              <w:right w:w="120" w:type="dxa"/>
            </w:tcMar>
            <w:vAlign w:val="center"/>
          </w:tcPr>
          <w:p w14:paraId="04DCA0CD" w14:textId="77777777" w:rsidR="007C18AA" w:rsidRDefault="00000000">
            <w:pPr>
              <w:rPr>
                <w:rFonts w:hint="eastAsia"/>
              </w:rPr>
            </w:pPr>
            <w:r>
              <w:rPr>
                <w:color w:val="0B2748"/>
                <w:sz w:val="17"/>
              </w:rPr>
              <w:t>Object storage (S3) with lifecycle tiering</w:t>
            </w:r>
          </w:p>
        </w:tc>
        <w:tc>
          <w:tcPr>
            <w:tcW w:w="2520" w:type="dxa"/>
            <w:tcMar>
              <w:top w:w="90" w:type="dxa"/>
              <w:left w:w="120" w:type="dxa"/>
              <w:bottom w:w="90" w:type="dxa"/>
              <w:right w:w="120" w:type="dxa"/>
            </w:tcMar>
            <w:vAlign w:val="center"/>
          </w:tcPr>
          <w:p w14:paraId="1F118150" w14:textId="77777777" w:rsidR="007C18AA" w:rsidRDefault="00000000">
            <w:pPr>
              <w:rPr>
                <w:rFonts w:hint="eastAsia"/>
              </w:rPr>
            </w:pPr>
            <w:r>
              <w:rPr>
                <w:color w:val="0B2748"/>
                <w:sz w:val="17"/>
              </w:rPr>
              <w:t>Transcode to streaming format function</w:t>
            </w:r>
          </w:p>
        </w:tc>
        <w:tc>
          <w:tcPr>
            <w:tcW w:w="2592" w:type="dxa"/>
            <w:tcMar>
              <w:top w:w="90" w:type="dxa"/>
              <w:left w:w="120" w:type="dxa"/>
              <w:bottom w:w="90" w:type="dxa"/>
              <w:right w:w="120" w:type="dxa"/>
            </w:tcMar>
            <w:vAlign w:val="center"/>
          </w:tcPr>
          <w:p w14:paraId="7D9A8D4F" w14:textId="77777777" w:rsidR="007C18AA" w:rsidRDefault="00000000">
            <w:pPr>
              <w:rPr>
                <w:rFonts w:hint="eastAsia"/>
              </w:rPr>
            </w:pPr>
            <w:r>
              <w:rPr>
                <w:color w:val="0B2748"/>
                <w:sz w:val="17"/>
              </w:rPr>
              <w:t>Very large files benefit from low per-GB storage cost; transcoding is CPU-bursty and event-driven, ideal for serverless</w:t>
            </w:r>
          </w:p>
        </w:tc>
      </w:tr>
      <w:tr w:rsidR="007C18AA" w14:paraId="18FF91A1" w14:textId="77777777">
        <w:trPr>
          <w:jc w:val="center"/>
        </w:trPr>
        <w:tc>
          <w:tcPr>
            <w:tcW w:w="2232" w:type="dxa"/>
            <w:tcMar>
              <w:top w:w="90" w:type="dxa"/>
              <w:left w:w="120" w:type="dxa"/>
              <w:bottom w:w="90" w:type="dxa"/>
              <w:right w:w="120" w:type="dxa"/>
            </w:tcMar>
            <w:vAlign w:val="center"/>
          </w:tcPr>
          <w:p w14:paraId="0FCF52A2" w14:textId="77777777" w:rsidR="007C18AA" w:rsidRDefault="00000000">
            <w:pPr>
              <w:rPr>
                <w:rFonts w:hint="eastAsia"/>
              </w:rPr>
            </w:pPr>
            <w:r>
              <w:rPr>
                <w:color w:val="0B2748"/>
                <w:sz w:val="17"/>
              </w:rPr>
              <w:t>VM/application disk</w:t>
            </w:r>
          </w:p>
        </w:tc>
        <w:tc>
          <w:tcPr>
            <w:tcW w:w="2232" w:type="dxa"/>
            <w:tcMar>
              <w:top w:w="90" w:type="dxa"/>
              <w:left w:w="120" w:type="dxa"/>
              <w:bottom w:w="90" w:type="dxa"/>
              <w:right w:w="120" w:type="dxa"/>
            </w:tcMar>
            <w:vAlign w:val="center"/>
          </w:tcPr>
          <w:p w14:paraId="1FA1BE8F" w14:textId="77777777" w:rsidR="007C18AA" w:rsidRDefault="00000000">
            <w:pPr>
              <w:rPr>
                <w:rFonts w:hint="eastAsia"/>
              </w:rPr>
            </w:pPr>
            <w:r>
              <w:rPr>
                <w:color w:val="0B2748"/>
                <w:sz w:val="17"/>
              </w:rPr>
              <w:t>Block storage (managed disk/EBS)</w:t>
            </w:r>
          </w:p>
        </w:tc>
        <w:tc>
          <w:tcPr>
            <w:tcW w:w="2520" w:type="dxa"/>
            <w:tcMar>
              <w:top w:w="90" w:type="dxa"/>
              <w:left w:w="120" w:type="dxa"/>
              <w:bottom w:w="90" w:type="dxa"/>
              <w:right w:w="120" w:type="dxa"/>
            </w:tcMar>
            <w:vAlign w:val="center"/>
          </w:tcPr>
          <w:p w14:paraId="1B184626" w14:textId="77777777" w:rsidR="007C18AA" w:rsidRDefault="00000000">
            <w:pPr>
              <w:rPr>
                <w:rFonts w:hint="eastAsia"/>
              </w:rPr>
            </w:pPr>
            <w:r>
              <w:rPr>
                <w:color w:val="0B2748"/>
                <w:sz w:val="17"/>
              </w:rPr>
              <w:t>Not applicable - block storage is attached storage, not event-triggered</w:t>
            </w:r>
          </w:p>
        </w:tc>
        <w:tc>
          <w:tcPr>
            <w:tcW w:w="2592" w:type="dxa"/>
            <w:tcMar>
              <w:top w:w="90" w:type="dxa"/>
              <w:left w:w="120" w:type="dxa"/>
              <w:bottom w:w="90" w:type="dxa"/>
              <w:right w:w="120" w:type="dxa"/>
            </w:tcMar>
            <w:vAlign w:val="center"/>
          </w:tcPr>
          <w:p w14:paraId="0D47DD40" w14:textId="77777777" w:rsidR="007C18AA" w:rsidRDefault="00000000">
            <w:pPr>
              <w:rPr>
                <w:rFonts w:hint="eastAsia"/>
              </w:rPr>
            </w:pPr>
            <w:r>
              <w:rPr>
                <w:color w:val="0B2748"/>
                <w:sz w:val="17"/>
              </w:rPr>
              <w:t>Needs low-latency, byte-level read/write that only block storage provides</w:t>
            </w:r>
          </w:p>
        </w:tc>
      </w:tr>
      <w:tr w:rsidR="007C18AA" w14:paraId="69B0FED1" w14:textId="77777777">
        <w:trPr>
          <w:jc w:val="center"/>
        </w:trPr>
        <w:tc>
          <w:tcPr>
            <w:tcW w:w="2232" w:type="dxa"/>
            <w:tcMar>
              <w:top w:w="90" w:type="dxa"/>
              <w:left w:w="120" w:type="dxa"/>
              <w:bottom w:w="90" w:type="dxa"/>
              <w:right w:w="120" w:type="dxa"/>
            </w:tcMar>
            <w:vAlign w:val="center"/>
          </w:tcPr>
          <w:p w14:paraId="1F829BDE" w14:textId="77777777" w:rsidR="007C18AA" w:rsidRDefault="00000000">
            <w:pPr>
              <w:rPr>
                <w:rFonts w:hint="eastAsia"/>
              </w:rPr>
            </w:pPr>
            <w:r>
              <w:rPr>
                <w:color w:val="0B2748"/>
                <w:sz w:val="17"/>
              </w:rPr>
              <w:t>Shared team documents (SAN-backed)</w:t>
            </w:r>
          </w:p>
        </w:tc>
        <w:tc>
          <w:tcPr>
            <w:tcW w:w="2232" w:type="dxa"/>
            <w:tcMar>
              <w:top w:w="90" w:type="dxa"/>
              <w:left w:w="120" w:type="dxa"/>
              <w:bottom w:w="90" w:type="dxa"/>
              <w:right w:w="120" w:type="dxa"/>
            </w:tcMar>
            <w:vAlign w:val="center"/>
          </w:tcPr>
          <w:p w14:paraId="70A246F9" w14:textId="77777777" w:rsidR="007C18AA" w:rsidRDefault="00000000">
            <w:pPr>
              <w:rPr>
                <w:rFonts w:hint="eastAsia"/>
              </w:rPr>
            </w:pPr>
            <w:r>
              <w:rPr>
                <w:color w:val="0B2748"/>
                <w:sz w:val="17"/>
              </w:rPr>
              <w:t>File storage / SAN-backed NAS</w:t>
            </w:r>
          </w:p>
        </w:tc>
        <w:tc>
          <w:tcPr>
            <w:tcW w:w="2520" w:type="dxa"/>
            <w:tcMar>
              <w:top w:w="90" w:type="dxa"/>
              <w:left w:w="120" w:type="dxa"/>
              <w:bottom w:w="90" w:type="dxa"/>
              <w:right w:w="120" w:type="dxa"/>
            </w:tcMar>
            <w:vAlign w:val="center"/>
          </w:tcPr>
          <w:p w14:paraId="1C89A88F" w14:textId="77777777" w:rsidR="007C18AA" w:rsidRDefault="00000000">
            <w:pPr>
              <w:rPr>
                <w:rFonts w:hint="eastAsia"/>
              </w:rPr>
            </w:pPr>
            <w:r>
              <w:rPr>
                <w:color w:val="0B2748"/>
                <w:sz w:val="17"/>
              </w:rPr>
              <w:t>Optional virus-scan function on upload</w:t>
            </w:r>
          </w:p>
        </w:tc>
        <w:tc>
          <w:tcPr>
            <w:tcW w:w="2592" w:type="dxa"/>
            <w:tcMar>
              <w:top w:w="90" w:type="dxa"/>
              <w:left w:w="120" w:type="dxa"/>
              <w:bottom w:w="90" w:type="dxa"/>
              <w:right w:w="120" w:type="dxa"/>
            </w:tcMar>
            <w:vAlign w:val="center"/>
          </w:tcPr>
          <w:p w14:paraId="68143137" w14:textId="77777777" w:rsidR="007C18AA" w:rsidRDefault="00000000">
            <w:pPr>
              <w:rPr>
                <w:rFonts w:hint="eastAsia"/>
              </w:rPr>
            </w:pPr>
            <w:r>
              <w:rPr>
                <w:color w:val="0B2748"/>
                <w:sz w:val="17"/>
              </w:rPr>
              <w:t>Multiple users need concurrent hierarchical folder access with file-level locking, which object storage does not provide</w:t>
            </w:r>
          </w:p>
        </w:tc>
      </w:tr>
    </w:tbl>
    <w:p w14:paraId="462C9116" w14:textId="77777777" w:rsidR="007C18AA" w:rsidRDefault="00000000">
      <w:pPr>
        <w:pStyle w:val="Heading3"/>
      </w:pPr>
      <w:r>
        <w:t>A. Storage and Serverless Recommendation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02EC7A11" w14:textId="77777777">
        <w:trPr>
          <w:jc w:val="center"/>
        </w:trPr>
        <w:tc>
          <w:tcPr>
            <w:tcW w:w="9576" w:type="dxa"/>
            <w:tcMar>
              <w:top w:w="90" w:type="dxa"/>
              <w:left w:w="120" w:type="dxa"/>
              <w:bottom w:w="90" w:type="dxa"/>
              <w:right w:w="120" w:type="dxa"/>
            </w:tcMar>
            <w:vAlign w:val="center"/>
          </w:tcPr>
          <w:p w14:paraId="36C6C7D1" w14:textId="77777777" w:rsidR="007C18AA" w:rsidRDefault="00000000">
            <w:pPr>
              <w:rPr>
                <w:rFonts w:hint="eastAsia"/>
              </w:rPr>
            </w:pPr>
            <w:r>
              <w:rPr>
                <w:color w:val="0B2748"/>
                <w:sz w:val="19"/>
              </w:rPr>
              <w:t>For a media startup's upload workflow, object storage (S3-class) is the right default for uploaded media because files are large, written once and read many times, and serverless functions can react to each upload event (resize, transcode, virus-scan) without a server running idle between uploads. SAN-backed block/file storage is reserved for workloads that need low-latency attached disks (VM volumes) or shared hierarchical file access (team documents) - neither of which describes user-uploaded media. Recommendation: object storage + serverless event processing for all user-generated uploads; SAN/block storage only for internal VM disks and shared enterprise file shares.</w:t>
            </w:r>
            <w:r>
              <w:rPr>
                <w:color w:val="0B2748"/>
                <w:sz w:val="19"/>
              </w:rPr>
              <w:br/>
            </w:r>
            <w:r>
              <w:rPr>
                <w:color w:val="0B2748"/>
                <w:sz w:val="19"/>
              </w:rPr>
              <w:br/>
            </w:r>
            <w:r>
              <w:rPr>
                <w:color w:val="0B2748"/>
                <w:sz w:val="19"/>
              </w:rPr>
              <w:br/>
            </w:r>
            <w:r>
              <w:rPr>
                <w:color w:val="0B2748"/>
                <w:sz w:val="19"/>
              </w:rPr>
              <w:br/>
            </w:r>
          </w:p>
        </w:tc>
      </w:tr>
    </w:tbl>
    <w:p w14:paraId="4513892F" w14:textId="77777777" w:rsidR="007C18AA" w:rsidRDefault="00000000">
      <w:pPr>
        <w:pStyle w:val="Heading3"/>
      </w:pPr>
      <w:r>
        <w:t>B. Failure Handling and Cost/Performance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463E8D5A" w14:textId="77777777">
        <w:trPr>
          <w:jc w:val="center"/>
        </w:trPr>
        <w:tc>
          <w:tcPr>
            <w:tcW w:w="9576" w:type="dxa"/>
            <w:tcMar>
              <w:top w:w="90" w:type="dxa"/>
              <w:left w:w="120" w:type="dxa"/>
              <w:bottom w:w="90" w:type="dxa"/>
              <w:right w:w="120" w:type="dxa"/>
            </w:tcMar>
            <w:vAlign w:val="center"/>
          </w:tcPr>
          <w:p w14:paraId="1982B3F5" w14:textId="77777777" w:rsidR="007C18AA" w:rsidRDefault="00000000">
            <w:pPr>
              <w:rPr>
                <w:rFonts w:hint="eastAsia"/>
              </w:rPr>
            </w:pPr>
            <w:r>
              <w:rPr>
                <w:color w:val="0B2748"/>
                <w:sz w:val="19"/>
              </w:rPr>
              <w:t>If a serverless upload-processing function fails (e.g. a corrupt image crashes the resize function), the event should not simply be dropped: a dead-letter queue captures the failed event for retry or manual review, and a log/alert notifies the team. On cost/performance: object storage charges per GB stored plus per-request, far cheaper than provisioning a fixed VM sized for peak upload traffic; serverless functions bill per invocation, so idle time between uploads costs nothing. The trade-off is cold-start latency on the first invocation after idle time, acceptable for background processing (thumbnails, transcoding) but would need provisioned concurrency if it sat on a real-time user-facing path.</w:t>
            </w:r>
            <w:r>
              <w:rPr>
                <w:color w:val="0B2748"/>
                <w:sz w:val="19"/>
              </w:rPr>
              <w:br/>
            </w:r>
            <w:r>
              <w:rPr>
                <w:color w:val="0B2748"/>
                <w:sz w:val="19"/>
              </w:rPr>
              <w:br/>
            </w:r>
            <w:r>
              <w:rPr>
                <w:color w:val="0B2748"/>
                <w:sz w:val="19"/>
              </w:rPr>
              <w:br/>
            </w:r>
            <w:r>
              <w:rPr>
                <w:color w:val="0B2748"/>
                <w:sz w:val="19"/>
              </w:rPr>
              <w:br/>
            </w:r>
          </w:p>
        </w:tc>
      </w:tr>
    </w:tbl>
    <w:p w14:paraId="68C19D3E" w14:textId="77777777" w:rsidR="007C18AA" w:rsidRDefault="00000000">
      <w:pPr>
        <w:pStyle w:val="Heading3"/>
      </w:pPr>
      <w:r>
        <w:t>C. Capstone Extension: one upload/event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1553166F" w14:textId="77777777">
        <w:trPr>
          <w:jc w:val="center"/>
        </w:trPr>
        <w:tc>
          <w:tcPr>
            <w:tcW w:w="9576" w:type="dxa"/>
            <w:tcMar>
              <w:top w:w="90" w:type="dxa"/>
              <w:left w:w="120" w:type="dxa"/>
              <w:bottom w:w="90" w:type="dxa"/>
              <w:right w:w="120" w:type="dxa"/>
            </w:tcMar>
            <w:vAlign w:val="center"/>
          </w:tcPr>
          <w:p w14:paraId="66BA54C6" w14:textId="77777777" w:rsidR="007C18AA" w:rsidRDefault="00000000">
            <w:pPr>
              <w:rPr>
                <w:rFonts w:hint="eastAsia"/>
              </w:rPr>
            </w:pPr>
            <w:r>
              <w:rPr>
                <w:color w:val="0B2748"/>
                <w:sz w:val="19"/>
              </w:rPr>
              <w:t xml:space="preserve">Applying this to the AI-Powered Big Data Analytics platform: a new raw data file lands in S3 (object storage) -&gt; triggers a Lambda function -&gt; the function validates/cleans the file and writes it into the Glue catalog/Redshift </w:t>
            </w:r>
            <w:r>
              <w:rPr>
                <w:color w:val="0B2748"/>
                <w:sz w:val="19"/>
              </w:rPr>
              <w:lastRenderedPageBreak/>
              <w:t>staging area -&gt; if the AI model flags an anomaly during the next inference pass, SNS sends an alert to the analyst. Failure handling: a failed ingestion Lambda writes to a dead-letter queue so no data file is silently lost, matching the reasoning from Case 2.</w:t>
            </w:r>
            <w:r>
              <w:rPr>
                <w:color w:val="0B2748"/>
                <w:sz w:val="19"/>
              </w:rPr>
              <w:br/>
            </w:r>
            <w:r>
              <w:rPr>
                <w:color w:val="0B2748"/>
                <w:sz w:val="19"/>
              </w:rPr>
              <w:br/>
            </w:r>
            <w:r>
              <w:rPr>
                <w:color w:val="0B2748"/>
                <w:sz w:val="19"/>
              </w:rPr>
              <w:br/>
            </w:r>
            <w:r>
              <w:rPr>
                <w:color w:val="0B2748"/>
                <w:sz w:val="19"/>
              </w:rPr>
              <w:br/>
            </w:r>
          </w:p>
        </w:tc>
      </w:tr>
    </w:tbl>
    <w:p w14:paraId="2F906662" w14:textId="77777777" w:rsidR="007C18AA" w:rsidRDefault="00000000">
      <w:pPr>
        <w:pStyle w:val="Heading1"/>
      </w:pPr>
      <w:r>
        <w:lastRenderedPageBreak/>
        <w:t>Case 3: Edge, Fog and Cloud Placement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872"/>
        <w:gridCol w:w="1728"/>
        <w:gridCol w:w="1800"/>
        <w:gridCol w:w="2088"/>
        <w:gridCol w:w="2088"/>
      </w:tblGrid>
      <w:tr w:rsidR="007C18AA" w14:paraId="172E46B8" w14:textId="77777777">
        <w:trPr>
          <w:jc w:val="center"/>
        </w:trPr>
        <w:tc>
          <w:tcPr>
            <w:tcW w:w="9576" w:type="dxa"/>
            <w:gridSpan w:val="5"/>
            <w:shd w:val="clear" w:color="auto" w:fill="E7F8FC"/>
            <w:tcMar>
              <w:top w:w="90" w:type="dxa"/>
              <w:left w:w="120" w:type="dxa"/>
              <w:bottom w:w="90" w:type="dxa"/>
              <w:right w:w="120" w:type="dxa"/>
            </w:tcMar>
            <w:vAlign w:val="center"/>
          </w:tcPr>
          <w:p w14:paraId="51B49112" w14:textId="77777777" w:rsidR="007C18AA" w:rsidRDefault="00000000">
            <w:pPr>
              <w:rPr>
                <w:rFonts w:hint="eastAsia"/>
              </w:rPr>
            </w:pPr>
            <w:r>
              <w:rPr>
                <w:b/>
                <w:color w:val="0B2748"/>
                <w:sz w:val="19"/>
              </w:rPr>
              <w:t>Scenario</w:t>
            </w:r>
            <w:r>
              <w:rPr>
                <w:b/>
                <w:color w:val="0B2748"/>
                <w:sz w:val="19"/>
              </w:rPr>
              <w:br/>
              <w:t>A smart-city platform needs low-latency decision-making near sensors while still using the cloud for analytics. Decide what runs at edge, fog and cloud.</w:t>
            </w:r>
          </w:p>
        </w:tc>
      </w:tr>
      <w:tr w:rsidR="007C18AA" w14:paraId="2DC80E37" w14:textId="77777777">
        <w:trPr>
          <w:jc w:val="center"/>
        </w:trPr>
        <w:tc>
          <w:tcPr>
            <w:tcW w:w="1872" w:type="dxa"/>
            <w:shd w:val="clear" w:color="auto" w:fill="0B2748"/>
            <w:tcMar>
              <w:top w:w="90" w:type="dxa"/>
              <w:left w:w="120" w:type="dxa"/>
              <w:bottom w:w="90" w:type="dxa"/>
              <w:right w:w="120" w:type="dxa"/>
            </w:tcMar>
            <w:vAlign w:val="center"/>
          </w:tcPr>
          <w:p w14:paraId="655BB8E3" w14:textId="77777777" w:rsidR="007C18AA" w:rsidRDefault="00000000">
            <w:pPr>
              <w:rPr>
                <w:rFonts w:hint="eastAsia"/>
              </w:rPr>
            </w:pPr>
            <w:r>
              <w:rPr>
                <w:b/>
                <w:color w:val="FFFFFF"/>
                <w:sz w:val="16"/>
              </w:rPr>
              <w:t>Task</w:t>
            </w:r>
          </w:p>
        </w:tc>
        <w:tc>
          <w:tcPr>
            <w:tcW w:w="1728" w:type="dxa"/>
            <w:shd w:val="clear" w:color="auto" w:fill="0B2748"/>
            <w:tcMar>
              <w:top w:w="90" w:type="dxa"/>
              <w:left w:w="120" w:type="dxa"/>
              <w:bottom w:w="90" w:type="dxa"/>
              <w:right w:w="120" w:type="dxa"/>
            </w:tcMar>
            <w:vAlign w:val="center"/>
          </w:tcPr>
          <w:p w14:paraId="0AD0D793" w14:textId="77777777" w:rsidR="007C18AA" w:rsidRDefault="00000000">
            <w:pPr>
              <w:rPr>
                <w:rFonts w:hint="eastAsia"/>
              </w:rPr>
            </w:pPr>
            <w:r>
              <w:rPr>
                <w:b/>
                <w:color w:val="FFFFFF"/>
                <w:sz w:val="16"/>
              </w:rPr>
              <w:t>Layer</w:t>
            </w:r>
          </w:p>
        </w:tc>
        <w:tc>
          <w:tcPr>
            <w:tcW w:w="1800" w:type="dxa"/>
            <w:shd w:val="clear" w:color="auto" w:fill="0B2748"/>
            <w:tcMar>
              <w:top w:w="90" w:type="dxa"/>
              <w:left w:w="120" w:type="dxa"/>
              <w:bottom w:w="90" w:type="dxa"/>
              <w:right w:w="120" w:type="dxa"/>
            </w:tcMar>
            <w:vAlign w:val="center"/>
          </w:tcPr>
          <w:p w14:paraId="08EAE697" w14:textId="77777777" w:rsidR="007C18AA" w:rsidRDefault="00000000">
            <w:pPr>
              <w:rPr>
                <w:rFonts w:hint="eastAsia"/>
              </w:rPr>
            </w:pPr>
            <w:r>
              <w:rPr>
                <w:b/>
                <w:color w:val="FFFFFF"/>
                <w:sz w:val="16"/>
              </w:rPr>
              <w:t>Latency Need</w:t>
            </w:r>
          </w:p>
        </w:tc>
        <w:tc>
          <w:tcPr>
            <w:tcW w:w="2088" w:type="dxa"/>
            <w:shd w:val="clear" w:color="auto" w:fill="0B2748"/>
            <w:tcMar>
              <w:top w:w="90" w:type="dxa"/>
              <w:left w:w="120" w:type="dxa"/>
              <w:bottom w:w="90" w:type="dxa"/>
              <w:right w:w="120" w:type="dxa"/>
            </w:tcMar>
            <w:vAlign w:val="center"/>
          </w:tcPr>
          <w:p w14:paraId="369CED92" w14:textId="77777777" w:rsidR="007C18AA" w:rsidRDefault="00000000">
            <w:pPr>
              <w:rPr>
                <w:rFonts w:hint="eastAsia"/>
              </w:rPr>
            </w:pPr>
            <w:r>
              <w:rPr>
                <w:b/>
                <w:color w:val="FFFFFF"/>
                <w:sz w:val="16"/>
              </w:rPr>
              <w:t>Data Volume</w:t>
            </w:r>
          </w:p>
        </w:tc>
        <w:tc>
          <w:tcPr>
            <w:tcW w:w="2088" w:type="dxa"/>
            <w:shd w:val="clear" w:color="auto" w:fill="0B2748"/>
            <w:tcMar>
              <w:top w:w="90" w:type="dxa"/>
              <w:left w:w="120" w:type="dxa"/>
              <w:bottom w:w="90" w:type="dxa"/>
              <w:right w:w="120" w:type="dxa"/>
            </w:tcMar>
            <w:vAlign w:val="center"/>
          </w:tcPr>
          <w:p w14:paraId="3D52D527" w14:textId="77777777" w:rsidR="007C18AA" w:rsidRDefault="00000000">
            <w:pPr>
              <w:rPr>
                <w:rFonts w:hint="eastAsia"/>
              </w:rPr>
            </w:pPr>
            <w:r>
              <w:rPr>
                <w:b/>
                <w:color w:val="FFFFFF"/>
                <w:sz w:val="16"/>
              </w:rPr>
              <w:t>Reason</w:t>
            </w:r>
          </w:p>
        </w:tc>
      </w:tr>
      <w:tr w:rsidR="007C18AA" w14:paraId="69F4C9C2" w14:textId="77777777">
        <w:trPr>
          <w:jc w:val="center"/>
        </w:trPr>
        <w:tc>
          <w:tcPr>
            <w:tcW w:w="1872" w:type="dxa"/>
            <w:tcMar>
              <w:top w:w="90" w:type="dxa"/>
              <w:left w:w="120" w:type="dxa"/>
              <w:bottom w:w="90" w:type="dxa"/>
              <w:right w:w="120" w:type="dxa"/>
            </w:tcMar>
            <w:vAlign w:val="center"/>
          </w:tcPr>
          <w:p w14:paraId="6ED60DAC" w14:textId="77777777" w:rsidR="007C18AA" w:rsidRDefault="00000000">
            <w:pPr>
              <w:rPr>
                <w:rFonts w:hint="eastAsia"/>
              </w:rPr>
            </w:pPr>
            <w:r>
              <w:rPr>
                <w:color w:val="0B2748"/>
                <w:sz w:val="16"/>
              </w:rPr>
              <w:t>Sensor anomaly / emergency detection</w:t>
            </w:r>
          </w:p>
        </w:tc>
        <w:tc>
          <w:tcPr>
            <w:tcW w:w="1728" w:type="dxa"/>
            <w:tcMar>
              <w:top w:w="90" w:type="dxa"/>
              <w:left w:w="120" w:type="dxa"/>
              <w:bottom w:w="90" w:type="dxa"/>
              <w:right w:w="120" w:type="dxa"/>
            </w:tcMar>
            <w:vAlign w:val="center"/>
          </w:tcPr>
          <w:p w14:paraId="24D77A72" w14:textId="77777777" w:rsidR="007C18AA" w:rsidRDefault="00000000">
            <w:pPr>
              <w:rPr>
                <w:rFonts w:hint="eastAsia"/>
              </w:rPr>
            </w:pPr>
            <w:r>
              <w:rPr>
                <w:color w:val="0B2748"/>
                <w:sz w:val="16"/>
              </w:rPr>
              <w:t>Edge</w:t>
            </w:r>
          </w:p>
        </w:tc>
        <w:tc>
          <w:tcPr>
            <w:tcW w:w="1800" w:type="dxa"/>
            <w:tcMar>
              <w:top w:w="90" w:type="dxa"/>
              <w:left w:w="120" w:type="dxa"/>
              <w:bottom w:w="90" w:type="dxa"/>
              <w:right w:w="120" w:type="dxa"/>
            </w:tcMar>
            <w:vAlign w:val="center"/>
          </w:tcPr>
          <w:p w14:paraId="79811DBC" w14:textId="77777777" w:rsidR="007C18AA" w:rsidRDefault="00000000">
            <w:pPr>
              <w:rPr>
                <w:rFonts w:hint="eastAsia"/>
              </w:rPr>
            </w:pPr>
            <w:r>
              <w:rPr>
                <w:color w:val="0B2748"/>
                <w:sz w:val="16"/>
              </w:rPr>
              <w:t>&lt; 1 second</w:t>
            </w:r>
          </w:p>
        </w:tc>
        <w:tc>
          <w:tcPr>
            <w:tcW w:w="2088" w:type="dxa"/>
            <w:tcMar>
              <w:top w:w="90" w:type="dxa"/>
              <w:left w:w="120" w:type="dxa"/>
              <w:bottom w:w="90" w:type="dxa"/>
              <w:right w:w="120" w:type="dxa"/>
            </w:tcMar>
            <w:vAlign w:val="center"/>
          </w:tcPr>
          <w:p w14:paraId="695EA995" w14:textId="77777777" w:rsidR="007C18AA" w:rsidRDefault="00000000">
            <w:pPr>
              <w:rPr>
                <w:rFonts w:hint="eastAsia"/>
              </w:rPr>
            </w:pPr>
            <w:r>
              <w:rPr>
                <w:color w:val="0B2748"/>
                <w:sz w:val="16"/>
              </w:rPr>
              <w:t>Low (single reading)</w:t>
            </w:r>
          </w:p>
        </w:tc>
        <w:tc>
          <w:tcPr>
            <w:tcW w:w="2088" w:type="dxa"/>
            <w:tcMar>
              <w:top w:w="90" w:type="dxa"/>
              <w:left w:w="120" w:type="dxa"/>
              <w:bottom w:w="90" w:type="dxa"/>
              <w:right w:w="120" w:type="dxa"/>
            </w:tcMar>
            <w:vAlign w:val="center"/>
          </w:tcPr>
          <w:p w14:paraId="6F9CB5BB" w14:textId="77777777" w:rsidR="007C18AA" w:rsidRDefault="00000000">
            <w:pPr>
              <w:rPr>
                <w:rFonts w:hint="eastAsia"/>
              </w:rPr>
            </w:pPr>
            <w:r>
              <w:rPr>
                <w:color w:val="0B2748"/>
                <w:sz w:val="16"/>
              </w:rPr>
              <w:t>Immediate local action needed; no time for a round trip to the cloud</w:t>
            </w:r>
          </w:p>
        </w:tc>
      </w:tr>
      <w:tr w:rsidR="007C18AA" w14:paraId="2AF1564A" w14:textId="77777777">
        <w:trPr>
          <w:jc w:val="center"/>
        </w:trPr>
        <w:tc>
          <w:tcPr>
            <w:tcW w:w="1872" w:type="dxa"/>
            <w:tcMar>
              <w:top w:w="90" w:type="dxa"/>
              <w:left w:w="120" w:type="dxa"/>
              <w:bottom w:w="90" w:type="dxa"/>
              <w:right w:w="120" w:type="dxa"/>
            </w:tcMar>
            <w:vAlign w:val="center"/>
          </w:tcPr>
          <w:p w14:paraId="6EECF702" w14:textId="77777777" w:rsidR="007C18AA" w:rsidRDefault="00000000">
            <w:pPr>
              <w:rPr>
                <w:rFonts w:hint="eastAsia"/>
              </w:rPr>
            </w:pPr>
            <w:r>
              <w:rPr>
                <w:color w:val="0B2748"/>
                <w:sz w:val="16"/>
              </w:rPr>
              <w:t>Junction/zone-level aggregation of nearby sensors</w:t>
            </w:r>
          </w:p>
        </w:tc>
        <w:tc>
          <w:tcPr>
            <w:tcW w:w="1728" w:type="dxa"/>
            <w:tcMar>
              <w:top w:w="90" w:type="dxa"/>
              <w:left w:w="120" w:type="dxa"/>
              <w:bottom w:w="90" w:type="dxa"/>
              <w:right w:w="120" w:type="dxa"/>
            </w:tcMar>
            <w:vAlign w:val="center"/>
          </w:tcPr>
          <w:p w14:paraId="13CCF846" w14:textId="77777777" w:rsidR="007C18AA" w:rsidRDefault="00000000">
            <w:pPr>
              <w:rPr>
                <w:rFonts w:hint="eastAsia"/>
              </w:rPr>
            </w:pPr>
            <w:r>
              <w:rPr>
                <w:color w:val="0B2748"/>
                <w:sz w:val="16"/>
              </w:rPr>
              <w:t>Fog</w:t>
            </w:r>
          </w:p>
        </w:tc>
        <w:tc>
          <w:tcPr>
            <w:tcW w:w="1800" w:type="dxa"/>
            <w:tcMar>
              <w:top w:w="90" w:type="dxa"/>
              <w:left w:w="120" w:type="dxa"/>
              <w:bottom w:w="90" w:type="dxa"/>
              <w:right w:w="120" w:type="dxa"/>
            </w:tcMar>
            <w:vAlign w:val="center"/>
          </w:tcPr>
          <w:p w14:paraId="395D4250" w14:textId="77777777" w:rsidR="007C18AA" w:rsidRDefault="00000000">
            <w:pPr>
              <w:rPr>
                <w:rFonts w:hint="eastAsia"/>
              </w:rPr>
            </w:pPr>
            <w:r>
              <w:rPr>
                <w:color w:val="0B2748"/>
                <w:sz w:val="16"/>
              </w:rPr>
              <w:t>Seconds</w:t>
            </w:r>
          </w:p>
        </w:tc>
        <w:tc>
          <w:tcPr>
            <w:tcW w:w="2088" w:type="dxa"/>
            <w:tcMar>
              <w:top w:w="90" w:type="dxa"/>
              <w:left w:w="120" w:type="dxa"/>
              <w:bottom w:w="90" w:type="dxa"/>
              <w:right w:w="120" w:type="dxa"/>
            </w:tcMar>
            <w:vAlign w:val="center"/>
          </w:tcPr>
          <w:p w14:paraId="49C5C955" w14:textId="77777777" w:rsidR="007C18AA" w:rsidRDefault="00000000">
            <w:pPr>
              <w:rPr>
                <w:rFonts w:hint="eastAsia"/>
              </w:rPr>
            </w:pPr>
            <w:r>
              <w:rPr>
                <w:color w:val="0B2748"/>
                <w:sz w:val="16"/>
              </w:rPr>
              <w:t>Medium (combined readings from several sensors)</w:t>
            </w:r>
          </w:p>
        </w:tc>
        <w:tc>
          <w:tcPr>
            <w:tcW w:w="2088" w:type="dxa"/>
            <w:tcMar>
              <w:top w:w="90" w:type="dxa"/>
              <w:left w:w="120" w:type="dxa"/>
              <w:bottom w:w="90" w:type="dxa"/>
              <w:right w:w="120" w:type="dxa"/>
            </w:tcMar>
            <w:vAlign w:val="center"/>
          </w:tcPr>
          <w:p w14:paraId="43C9ACA7" w14:textId="77777777" w:rsidR="007C18AA" w:rsidRDefault="00000000">
            <w:pPr>
              <w:rPr>
                <w:rFonts w:hint="eastAsia"/>
              </w:rPr>
            </w:pPr>
            <w:r>
              <w:rPr>
                <w:color w:val="0B2748"/>
                <w:sz w:val="16"/>
              </w:rPr>
              <w:t>Needs more context than one edge device has, but still faster than a cloud round trip</w:t>
            </w:r>
          </w:p>
        </w:tc>
      </w:tr>
      <w:tr w:rsidR="007C18AA" w14:paraId="385E7B20" w14:textId="77777777">
        <w:trPr>
          <w:jc w:val="center"/>
        </w:trPr>
        <w:tc>
          <w:tcPr>
            <w:tcW w:w="1872" w:type="dxa"/>
            <w:tcMar>
              <w:top w:w="90" w:type="dxa"/>
              <w:left w:w="120" w:type="dxa"/>
              <w:bottom w:w="90" w:type="dxa"/>
              <w:right w:w="120" w:type="dxa"/>
            </w:tcMar>
            <w:vAlign w:val="center"/>
          </w:tcPr>
          <w:p w14:paraId="078823A3" w14:textId="77777777" w:rsidR="007C18AA" w:rsidRDefault="00000000">
            <w:pPr>
              <w:rPr>
                <w:rFonts w:hint="eastAsia"/>
              </w:rPr>
            </w:pPr>
            <w:r>
              <w:rPr>
                <w:color w:val="0B2748"/>
                <w:sz w:val="16"/>
              </w:rPr>
              <w:t>City-wide historical analytics and reporting</w:t>
            </w:r>
          </w:p>
        </w:tc>
        <w:tc>
          <w:tcPr>
            <w:tcW w:w="1728" w:type="dxa"/>
            <w:tcMar>
              <w:top w:w="90" w:type="dxa"/>
              <w:left w:w="120" w:type="dxa"/>
              <w:bottom w:w="90" w:type="dxa"/>
              <w:right w:w="120" w:type="dxa"/>
            </w:tcMar>
            <w:vAlign w:val="center"/>
          </w:tcPr>
          <w:p w14:paraId="0CCBD406" w14:textId="77777777" w:rsidR="007C18AA" w:rsidRDefault="00000000">
            <w:pPr>
              <w:rPr>
                <w:rFonts w:hint="eastAsia"/>
              </w:rPr>
            </w:pPr>
            <w:r>
              <w:rPr>
                <w:color w:val="0B2748"/>
                <w:sz w:val="16"/>
              </w:rPr>
              <w:t>Cloud</w:t>
            </w:r>
          </w:p>
        </w:tc>
        <w:tc>
          <w:tcPr>
            <w:tcW w:w="1800" w:type="dxa"/>
            <w:tcMar>
              <w:top w:w="90" w:type="dxa"/>
              <w:left w:w="120" w:type="dxa"/>
              <w:bottom w:w="90" w:type="dxa"/>
              <w:right w:w="120" w:type="dxa"/>
            </w:tcMar>
            <w:vAlign w:val="center"/>
          </w:tcPr>
          <w:p w14:paraId="02919950" w14:textId="77777777" w:rsidR="007C18AA" w:rsidRDefault="00000000">
            <w:pPr>
              <w:rPr>
                <w:rFonts w:hint="eastAsia"/>
              </w:rPr>
            </w:pPr>
            <w:r>
              <w:rPr>
                <w:color w:val="0B2748"/>
                <w:sz w:val="16"/>
              </w:rPr>
              <w:t>Minutes to hours</w:t>
            </w:r>
          </w:p>
        </w:tc>
        <w:tc>
          <w:tcPr>
            <w:tcW w:w="2088" w:type="dxa"/>
            <w:tcMar>
              <w:top w:w="90" w:type="dxa"/>
              <w:left w:w="120" w:type="dxa"/>
              <w:bottom w:w="90" w:type="dxa"/>
              <w:right w:w="120" w:type="dxa"/>
            </w:tcMar>
            <w:vAlign w:val="center"/>
          </w:tcPr>
          <w:p w14:paraId="26B34F35" w14:textId="77777777" w:rsidR="007C18AA" w:rsidRDefault="00000000">
            <w:pPr>
              <w:rPr>
                <w:rFonts w:hint="eastAsia"/>
              </w:rPr>
            </w:pPr>
            <w:r>
              <w:rPr>
                <w:color w:val="0B2748"/>
                <w:sz w:val="16"/>
              </w:rPr>
              <w:t>High (accumulated over time)</w:t>
            </w:r>
          </w:p>
        </w:tc>
        <w:tc>
          <w:tcPr>
            <w:tcW w:w="2088" w:type="dxa"/>
            <w:tcMar>
              <w:top w:w="90" w:type="dxa"/>
              <w:left w:w="120" w:type="dxa"/>
              <w:bottom w:w="90" w:type="dxa"/>
              <w:right w:w="120" w:type="dxa"/>
            </w:tcMar>
            <w:vAlign w:val="center"/>
          </w:tcPr>
          <w:p w14:paraId="47F26020" w14:textId="77777777" w:rsidR="007C18AA" w:rsidRDefault="00000000">
            <w:pPr>
              <w:rPr>
                <w:rFonts w:hint="eastAsia"/>
              </w:rPr>
            </w:pPr>
            <w:r>
              <w:rPr>
                <w:color w:val="0B2748"/>
                <w:sz w:val="16"/>
              </w:rPr>
              <w:t>Long-term storage and heavy analytics need cloud-scale compute, not time-critical</w:t>
            </w:r>
          </w:p>
        </w:tc>
      </w:tr>
      <w:tr w:rsidR="007C18AA" w14:paraId="4B222B8D" w14:textId="77777777">
        <w:trPr>
          <w:jc w:val="center"/>
        </w:trPr>
        <w:tc>
          <w:tcPr>
            <w:tcW w:w="1872" w:type="dxa"/>
            <w:tcMar>
              <w:top w:w="90" w:type="dxa"/>
              <w:left w:w="120" w:type="dxa"/>
              <w:bottom w:w="90" w:type="dxa"/>
              <w:right w:w="120" w:type="dxa"/>
            </w:tcMar>
            <w:vAlign w:val="center"/>
          </w:tcPr>
          <w:p w14:paraId="1BA649C0" w14:textId="77777777" w:rsidR="007C18AA" w:rsidRDefault="00000000">
            <w:pPr>
              <w:rPr>
                <w:rFonts w:hint="eastAsia"/>
              </w:rPr>
            </w:pPr>
            <w:r>
              <w:rPr>
                <w:color w:val="0B2748"/>
                <w:sz w:val="16"/>
              </w:rPr>
              <w:t>Live dashboard refresh for city operators</w:t>
            </w:r>
          </w:p>
        </w:tc>
        <w:tc>
          <w:tcPr>
            <w:tcW w:w="1728" w:type="dxa"/>
            <w:tcMar>
              <w:top w:w="90" w:type="dxa"/>
              <w:left w:w="120" w:type="dxa"/>
              <w:bottom w:w="90" w:type="dxa"/>
              <w:right w:w="120" w:type="dxa"/>
            </w:tcMar>
            <w:vAlign w:val="center"/>
          </w:tcPr>
          <w:p w14:paraId="55681D65" w14:textId="77777777" w:rsidR="007C18AA" w:rsidRDefault="00000000">
            <w:pPr>
              <w:rPr>
                <w:rFonts w:hint="eastAsia"/>
              </w:rPr>
            </w:pPr>
            <w:r>
              <w:rPr>
                <w:color w:val="0B2748"/>
                <w:sz w:val="16"/>
              </w:rPr>
              <w:t>Cloud (fog-cached recent data optional)</w:t>
            </w:r>
          </w:p>
        </w:tc>
        <w:tc>
          <w:tcPr>
            <w:tcW w:w="1800" w:type="dxa"/>
            <w:tcMar>
              <w:top w:w="90" w:type="dxa"/>
              <w:left w:w="120" w:type="dxa"/>
              <w:bottom w:w="90" w:type="dxa"/>
              <w:right w:w="120" w:type="dxa"/>
            </w:tcMar>
            <w:vAlign w:val="center"/>
          </w:tcPr>
          <w:p w14:paraId="163C92F2" w14:textId="77777777" w:rsidR="007C18AA" w:rsidRDefault="00000000">
            <w:pPr>
              <w:rPr>
                <w:rFonts w:hint="eastAsia"/>
              </w:rPr>
            </w:pPr>
            <w:r>
              <w:rPr>
                <w:color w:val="0B2748"/>
                <w:sz w:val="16"/>
              </w:rPr>
              <w:t>Seconds</w:t>
            </w:r>
          </w:p>
        </w:tc>
        <w:tc>
          <w:tcPr>
            <w:tcW w:w="2088" w:type="dxa"/>
            <w:tcMar>
              <w:top w:w="90" w:type="dxa"/>
              <w:left w:w="120" w:type="dxa"/>
              <w:bottom w:w="90" w:type="dxa"/>
              <w:right w:w="120" w:type="dxa"/>
            </w:tcMar>
            <w:vAlign w:val="center"/>
          </w:tcPr>
          <w:p w14:paraId="2CDE0CEE" w14:textId="77777777" w:rsidR="007C18AA" w:rsidRDefault="00000000">
            <w:pPr>
              <w:rPr>
                <w:rFonts w:hint="eastAsia"/>
              </w:rPr>
            </w:pPr>
            <w:r>
              <w:rPr>
                <w:color w:val="0B2748"/>
                <w:sz w:val="16"/>
              </w:rPr>
              <w:t>Medium</w:t>
            </w:r>
          </w:p>
        </w:tc>
        <w:tc>
          <w:tcPr>
            <w:tcW w:w="2088" w:type="dxa"/>
            <w:tcMar>
              <w:top w:w="90" w:type="dxa"/>
              <w:left w:w="120" w:type="dxa"/>
              <w:bottom w:w="90" w:type="dxa"/>
              <w:right w:w="120" w:type="dxa"/>
            </w:tcMar>
            <w:vAlign w:val="center"/>
          </w:tcPr>
          <w:p w14:paraId="5DA2D715" w14:textId="77777777" w:rsidR="007C18AA" w:rsidRDefault="00000000">
            <w:pPr>
              <w:rPr>
                <w:rFonts w:hint="eastAsia"/>
              </w:rPr>
            </w:pPr>
            <w:r>
              <w:rPr>
                <w:color w:val="0B2748"/>
                <w:sz w:val="16"/>
              </w:rPr>
              <w:t>Operators need up-to-date aggregated views already served by the cloud analytics/dashboard layer; not a hard real-time control loop</w:t>
            </w:r>
          </w:p>
        </w:tc>
      </w:tr>
    </w:tbl>
    <w:p w14:paraId="78EDA1C7" w14:textId="77777777" w:rsidR="007C18AA" w:rsidRDefault="00000000">
      <w:pPr>
        <w:pStyle w:val="Heading3"/>
      </w:pPr>
      <w:r>
        <w:t>A. Edge/Fog/Cloud Architecture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5364EE40" w14:textId="77777777">
        <w:trPr>
          <w:jc w:val="center"/>
        </w:trPr>
        <w:tc>
          <w:tcPr>
            <w:tcW w:w="9576" w:type="dxa"/>
            <w:tcMar>
              <w:top w:w="90" w:type="dxa"/>
              <w:left w:w="120" w:type="dxa"/>
              <w:bottom w:w="90" w:type="dxa"/>
              <w:right w:w="120" w:type="dxa"/>
            </w:tcMar>
            <w:vAlign w:val="center"/>
          </w:tcPr>
          <w:p w14:paraId="4F643C2A" w14:textId="77777777" w:rsidR="007C18AA" w:rsidRDefault="00000000">
            <w:pPr>
              <w:rPr>
                <w:rFonts w:hint="eastAsia"/>
              </w:rPr>
            </w:pPr>
            <w:r>
              <w:rPr>
                <w:color w:val="0B2748"/>
                <w:sz w:val="19"/>
              </w:rPr>
              <w:t>Sensors and cameras feed an edge device at the collection point, which makes instant, local decisions (e.g. flag an emergency reading) within the scenario's 1-second deadline. A fog node at the zone/regional level aggregates several edge devices and makes short-latency coordination decisions that need broader context than one sensor. The cloud layer receives aggregated summaries (not every raw reading) for long-term storage, analytics and city-wide dashboards, where a few seconds or minutes of latency is acceptable. This three-layer split keeps time-critical decisions fast and local while still giving the cloud everything it needs for deep analysis.</w:t>
            </w:r>
            <w:r>
              <w:rPr>
                <w:color w:val="0B2748"/>
                <w:sz w:val="19"/>
              </w:rPr>
              <w:br/>
            </w:r>
            <w:r>
              <w:rPr>
                <w:color w:val="0B2748"/>
                <w:sz w:val="19"/>
              </w:rPr>
              <w:br/>
            </w:r>
            <w:r>
              <w:rPr>
                <w:color w:val="0B2748"/>
                <w:sz w:val="19"/>
              </w:rPr>
              <w:br/>
            </w:r>
            <w:r>
              <w:rPr>
                <w:color w:val="0B2748"/>
                <w:sz w:val="19"/>
              </w:rPr>
              <w:br/>
            </w:r>
          </w:p>
        </w:tc>
      </w:tr>
    </w:tbl>
    <w:p w14:paraId="6214E2AB" w14:textId="77777777" w:rsidR="007C18AA" w:rsidRDefault="00000000">
      <w:pPr>
        <w:pStyle w:val="Heading3"/>
      </w:pPr>
      <w:r>
        <w:lastRenderedPageBreak/>
        <w:t>B. Capstone Extension or Direct Cloud Access Justification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39C89162" w14:textId="77777777">
        <w:trPr>
          <w:jc w:val="center"/>
        </w:trPr>
        <w:tc>
          <w:tcPr>
            <w:tcW w:w="9576" w:type="dxa"/>
            <w:tcMar>
              <w:top w:w="90" w:type="dxa"/>
              <w:left w:w="120" w:type="dxa"/>
              <w:bottom w:w="90" w:type="dxa"/>
              <w:right w:w="120" w:type="dxa"/>
            </w:tcMar>
            <w:vAlign w:val="center"/>
          </w:tcPr>
          <w:p w14:paraId="564896A8" w14:textId="77777777" w:rsidR="007C18AA" w:rsidRDefault="00000000">
            <w:pPr>
              <w:rPr>
                <w:rFonts w:hint="eastAsia"/>
              </w:rPr>
            </w:pPr>
            <w:r>
              <w:rPr>
                <w:color w:val="0B2748"/>
                <w:sz w:val="19"/>
              </w:rPr>
              <w:t>The AI-Powered Big Data Analytics platform processes already-collected business/event data (logs, transactions, uploaded files) on a scheduled or near-real-time batch basis - it has no sub-second local decision requirement like a traffic signal or emergency sensor. Direct cloud access (client -&gt; API Gateway -&gt; backend -&gt; S3/Redshift/SageMaker) is therefore sufficient and appropriate: there is no edge device generating data that needs an instant local decision before the cloud sees it. If a future extension added live IoT/sensor data with real-time alerting needs, a lightweight edge/fog pre-filter (matching Case 3's reasoning) would be introduced ahead of the ingestion pipeline - but for the current scope, direct cloud access is the right and sufficient design.</w:t>
            </w:r>
            <w:r>
              <w:rPr>
                <w:color w:val="0B2748"/>
                <w:sz w:val="19"/>
              </w:rPr>
              <w:br/>
            </w:r>
            <w:r>
              <w:rPr>
                <w:color w:val="0B2748"/>
                <w:sz w:val="19"/>
              </w:rPr>
              <w:br/>
            </w:r>
            <w:r>
              <w:rPr>
                <w:color w:val="0B2748"/>
                <w:sz w:val="19"/>
              </w:rPr>
              <w:br/>
            </w:r>
            <w:r>
              <w:rPr>
                <w:color w:val="0B2748"/>
                <w:sz w:val="19"/>
              </w:rPr>
              <w:br/>
            </w:r>
          </w:p>
        </w:tc>
      </w:tr>
    </w:tbl>
    <w:p w14:paraId="5E7E3B16" w14:textId="77777777" w:rsidR="007C18AA" w:rsidRDefault="00000000">
      <w:pPr>
        <w:pStyle w:val="Heading1"/>
      </w:pPr>
      <w:r>
        <w:t>Final Capstone Cloud Access Architecture</w:t>
      </w:r>
    </w:p>
    <w:p w14:paraId="2BAD96B5" w14:textId="77777777" w:rsidR="007C18AA" w:rsidRDefault="00000000">
      <w:pPr>
        <w:ind w:left="216"/>
        <w:rPr>
          <w:rFonts w:hint="eastAsia"/>
        </w:rPr>
      </w:pPr>
      <w:r>
        <w:rPr>
          <w:color w:val="1565C0"/>
          <w:sz w:val="22"/>
        </w:rPr>
        <w:t xml:space="preserve">☐ </w:t>
      </w:r>
      <w:r>
        <w:rPr>
          <w:sz w:val="20"/>
        </w:rPr>
        <w:t>Show Browser/Mobile Client.</w:t>
      </w:r>
    </w:p>
    <w:p w14:paraId="3D7B5DD1" w14:textId="77777777" w:rsidR="007C18AA" w:rsidRDefault="00000000">
      <w:pPr>
        <w:ind w:left="216"/>
        <w:rPr>
          <w:rFonts w:hint="eastAsia"/>
        </w:rPr>
      </w:pPr>
      <w:r>
        <w:rPr>
          <w:color w:val="1565C0"/>
          <w:sz w:val="22"/>
        </w:rPr>
        <w:t xml:space="preserve">☐ </w:t>
      </w:r>
      <w:r>
        <w:rPr>
          <w:sz w:val="20"/>
        </w:rPr>
        <w:t>Show hosted frontend or app access path.</w:t>
      </w:r>
    </w:p>
    <w:p w14:paraId="40CB0061" w14:textId="77777777" w:rsidR="007C18AA" w:rsidRDefault="00000000">
      <w:pPr>
        <w:ind w:left="216"/>
        <w:rPr>
          <w:rFonts w:hint="eastAsia"/>
        </w:rPr>
      </w:pPr>
      <w:r>
        <w:rPr>
          <w:color w:val="1565C0"/>
          <w:sz w:val="22"/>
        </w:rPr>
        <w:t xml:space="preserve">☐ </w:t>
      </w:r>
      <w:r>
        <w:rPr>
          <w:sz w:val="20"/>
        </w:rPr>
        <w:t>Show REST API endpoint and authentication check.</w:t>
      </w:r>
    </w:p>
    <w:p w14:paraId="46DA60D4" w14:textId="77777777" w:rsidR="007C18AA" w:rsidRDefault="00000000">
      <w:pPr>
        <w:ind w:left="216"/>
        <w:rPr>
          <w:rFonts w:hint="eastAsia"/>
        </w:rPr>
      </w:pPr>
      <w:r>
        <w:rPr>
          <w:color w:val="1565C0"/>
          <w:sz w:val="22"/>
        </w:rPr>
        <w:t xml:space="preserve">☐ </w:t>
      </w:r>
      <w:r>
        <w:rPr>
          <w:sz w:val="20"/>
        </w:rPr>
        <w:t>Show backend/serverless logic.</w:t>
      </w:r>
    </w:p>
    <w:p w14:paraId="42C18BD1" w14:textId="77777777" w:rsidR="007C18AA" w:rsidRDefault="00000000">
      <w:pPr>
        <w:ind w:left="216"/>
        <w:rPr>
          <w:rFonts w:hint="eastAsia"/>
        </w:rPr>
      </w:pPr>
      <w:r>
        <w:rPr>
          <w:color w:val="1565C0"/>
          <w:sz w:val="22"/>
        </w:rPr>
        <w:t xml:space="preserve">☐ </w:t>
      </w:r>
      <w:r>
        <w:rPr>
          <w:sz w:val="20"/>
        </w:rPr>
        <w:t>Show database, object/blob storage, logs and monitoring.</w:t>
      </w:r>
    </w:p>
    <w:p w14:paraId="161DB2DC" w14:textId="77777777" w:rsidR="007C18AA" w:rsidRDefault="00000000">
      <w:pPr>
        <w:ind w:left="216"/>
        <w:rPr>
          <w:rFonts w:hint="eastAsia"/>
        </w:rPr>
      </w:pPr>
      <w:r>
        <w:rPr>
          <w:color w:val="1565C0"/>
          <w:sz w:val="22"/>
        </w:rPr>
        <w:t xml:space="preserve">☐ </w:t>
      </w:r>
      <w:r>
        <w:rPr>
          <w:sz w:val="20"/>
        </w:rPr>
        <w:t>Label the arrows: request, response, upload, event, notification or monitoring signal.</w:t>
      </w:r>
    </w:p>
    <w:p w14:paraId="0C6364E9" w14:textId="77777777" w:rsidR="007C18AA" w:rsidRDefault="00000000">
      <w:pPr>
        <w:pStyle w:val="Heading3"/>
      </w:pPr>
      <w:r>
        <w:t>Final Diagram and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45E88754" w14:textId="77777777">
        <w:trPr>
          <w:jc w:val="center"/>
        </w:trPr>
        <w:tc>
          <w:tcPr>
            <w:tcW w:w="9576" w:type="dxa"/>
            <w:tcMar>
              <w:top w:w="90" w:type="dxa"/>
              <w:left w:w="120" w:type="dxa"/>
              <w:bottom w:w="90" w:type="dxa"/>
              <w:right w:w="120" w:type="dxa"/>
            </w:tcMar>
            <w:vAlign w:val="center"/>
          </w:tcPr>
          <w:p w14:paraId="5C2300F4" w14:textId="77777777" w:rsidR="007C18AA" w:rsidRDefault="00000000">
            <w:pPr>
              <w:rPr>
                <w:rFonts w:hint="eastAsia"/>
              </w:rPr>
            </w:pPr>
            <w:r>
              <w:rPr>
                <w:color w:val="0B2748"/>
                <w:sz w:val="19"/>
              </w:rPr>
              <w:t>Consolidated view of the AI-Powered Big Data Analytics platform's cloud access architecture: Browser/Mobile Client -&gt; Hosted React Frontend -&gt; REST API Endpoint with Cognito authentication check -&gt; Backend/Serverless Logic (containerized API + Lambda for event-driven ingestion) -&gt; Database (Redshift), Object/Blob Storage (S3), Logs and Monitoring (CloudWatch). Arrows: "request" from client to API, "response" from API back to client, "upload" from ingestion sources into S3, "event" from S3 into the Lambda/Glue pipeline, "notification" from SNS to the analyst on an anomaly, and "monitoring signal" from every component into CloudWatch. This final view combines the API-access pattern from Case 1, the storage/serverless upload pattern from Case 2, and the direct-cloud-access justification from Case 3 into one consistent picture of how the capstone is actually reached and operated.</w:t>
            </w:r>
            <w:r>
              <w:rPr>
                <w:color w:val="0B2748"/>
                <w:sz w:val="19"/>
              </w:rPr>
              <w:br/>
            </w:r>
            <w:r>
              <w:rPr>
                <w:color w:val="0B2748"/>
                <w:sz w:val="19"/>
              </w:rPr>
              <w:br/>
            </w:r>
            <w:r>
              <w:rPr>
                <w:color w:val="0B2748"/>
                <w:sz w:val="19"/>
              </w:rPr>
              <w:br/>
            </w:r>
            <w:r>
              <w:rPr>
                <w:color w:val="0B2748"/>
                <w:sz w:val="19"/>
              </w:rPr>
              <w:br/>
            </w:r>
            <w:r>
              <w:rPr>
                <w:color w:val="0B2748"/>
                <w:sz w:val="19"/>
              </w:rPr>
              <w:br/>
            </w:r>
            <w:r>
              <w:rPr>
                <w:color w:val="0B2748"/>
                <w:sz w:val="19"/>
              </w:rPr>
              <w:br/>
            </w:r>
          </w:p>
        </w:tc>
      </w:tr>
    </w:tbl>
    <w:p w14:paraId="049C7092" w14:textId="77777777" w:rsidR="007C18AA" w:rsidRDefault="00000000">
      <w:pPr>
        <w:pStyle w:val="Heading1"/>
      </w:pPr>
      <w:r>
        <w:t>Submission Checklist</w:t>
      </w:r>
    </w:p>
    <w:p w14:paraId="0097365C" w14:textId="77777777" w:rsidR="007C18AA" w:rsidRDefault="00000000">
      <w:pPr>
        <w:ind w:left="216"/>
        <w:rPr>
          <w:rFonts w:hint="eastAsia"/>
        </w:rPr>
      </w:pPr>
      <w:r>
        <w:rPr>
          <w:color w:val="1565C0"/>
          <w:sz w:val="22"/>
        </w:rPr>
        <w:t xml:space="preserve">☐ </w:t>
      </w:r>
      <w:r>
        <w:rPr>
          <w:sz w:val="20"/>
        </w:rPr>
        <w:t>Template completed in DOCX format.</w:t>
      </w:r>
    </w:p>
    <w:p w14:paraId="440D0611" w14:textId="77777777" w:rsidR="007C18AA" w:rsidRDefault="00000000">
      <w:pPr>
        <w:ind w:left="216"/>
        <w:rPr>
          <w:rFonts w:hint="eastAsia"/>
        </w:rPr>
      </w:pPr>
      <w:r>
        <w:rPr>
          <w:color w:val="1565C0"/>
          <w:sz w:val="22"/>
        </w:rPr>
        <w:t xml:space="preserve">☐ </w:t>
      </w:r>
      <w:r>
        <w:rPr>
          <w:sz w:val="20"/>
        </w:rPr>
        <w:t>Diagrams pasted clearly in the document.</w:t>
      </w:r>
    </w:p>
    <w:p w14:paraId="42AE9F2E" w14:textId="77777777" w:rsidR="007C18AA" w:rsidRDefault="00000000">
      <w:pPr>
        <w:ind w:left="216"/>
        <w:rPr>
          <w:rFonts w:hint="eastAsia"/>
        </w:rPr>
      </w:pPr>
      <w:r>
        <w:rPr>
          <w:color w:val="1565C0"/>
          <w:sz w:val="22"/>
        </w:rPr>
        <w:t xml:space="preserve">☐ </w:t>
      </w:r>
      <w:r>
        <w:rPr>
          <w:sz w:val="20"/>
        </w:rPr>
        <w:t>GitHub repository contains DOCX/PDF, diagrams and README.</w:t>
      </w:r>
    </w:p>
    <w:p w14:paraId="401D8752" w14:textId="77777777" w:rsidR="007C18AA" w:rsidRDefault="00000000">
      <w:pPr>
        <w:ind w:left="216"/>
        <w:rPr>
          <w:rFonts w:hint="eastAsia"/>
        </w:rPr>
      </w:pPr>
      <w:r>
        <w:rPr>
          <w:color w:val="1565C0"/>
          <w:sz w:val="22"/>
        </w:rPr>
        <w:t xml:space="preserve">☐ </w:t>
      </w:r>
      <w:r>
        <w:rPr>
          <w:sz w:val="20"/>
        </w:rPr>
        <w:t>Google Classroom submission contains GitHub link.</w:t>
      </w:r>
    </w:p>
    <w:p w14:paraId="47DD25F0" w14:textId="77777777" w:rsidR="007C18AA" w:rsidRDefault="00000000">
      <w:pPr>
        <w:ind w:left="216"/>
        <w:rPr>
          <w:rFonts w:hint="eastAsia"/>
        </w:rPr>
      </w:pPr>
      <w:r>
        <w:rPr>
          <w:color w:val="1565C0"/>
          <w:sz w:val="22"/>
        </w:rPr>
        <w:lastRenderedPageBreak/>
        <w:t xml:space="preserve">☐ </w:t>
      </w:r>
      <w:r>
        <w:rPr>
          <w:sz w:val="20"/>
        </w:rPr>
        <w:t>Sensitive credentials are not visible anywhere.</w:t>
      </w:r>
    </w:p>
    <w:p w14:paraId="0A05372A" w14:textId="77777777" w:rsidR="007C18AA" w:rsidRDefault="00000000">
      <w:pPr>
        <w:pStyle w:val="Heading1"/>
      </w:pPr>
      <w:r>
        <w:t>Student Assurance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7C18AA" w14:paraId="060B953A" w14:textId="77777777">
        <w:trPr>
          <w:jc w:val="center"/>
        </w:trPr>
        <w:tc>
          <w:tcPr>
            <w:tcW w:w="9576" w:type="dxa"/>
            <w:shd w:val="clear" w:color="auto" w:fill="EAF4FF"/>
            <w:tcMar>
              <w:top w:w="90" w:type="dxa"/>
              <w:left w:w="120" w:type="dxa"/>
              <w:bottom w:w="90" w:type="dxa"/>
              <w:right w:w="120" w:type="dxa"/>
            </w:tcMar>
            <w:vAlign w:val="center"/>
          </w:tcPr>
          <w:p w14:paraId="05220AF9" w14:textId="4DC19504" w:rsidR="007C18AA" w:rsidRDefault="00000000">
            <w:pPr>
              <w:rPr>
                <w:rFonts w:hint="eastAsia"/>
              </w:rPr>
            </w:pPr>
            <w:r>
              <w:rPr>
                <w:b/>
                <w:color w:val="0B2748"/>
                <w:sz w:val="19"/>
              </w:rPr>
              <w:t>Declaration</w:t>
            </w:r>
            <w:r>
              <w:rPr>
                <w:b/>
                <w:color w:val="0B2748"/>
                <w:sz w:val="19"/>
              </w:rPr>
              <w:br/>
              <w:t>I confirm that this case-study answer, cloud access design, diagrams and capstone extensions were prepared individually by me for the stated capstone title.</w:t>
            </w:r>
            <w:r>
              <w:rPr>
                <w:b/>
                <w:color w:val="0B2748"/>
                <w:sz w:val="19"/>
              </w:rPr>
              <w:br/>
            </w:r>
            <w:r>
              <w:rPr>
                <w:b/>
                <w:color w:val="0B2748"/>
                <w:sz w:val="19"/>
              </w:rPr>
              <w:br/>
              <w:t>Student Signature:</w:t>
            </w:r>
            <w:r w:rsidR="00EB3BCA">
              <w:rPr>
                <w:b/>
                <w:color w:val="0B2748"/>
                <w:sz w:val="19"/>
              </w:rPr>
              <w:t xml:space="preserve"> Deva G</w:t>
            </w:r>
            <w:r>
              <w:rPr>
                <w:b/>
                <w:color w:val="0B2748"/>
                <w:sz w:val="19"/>
              </w:rPr>
              <w:t xml:space="preserve">      Date: </w:t>
            </w:r>
            <w:r w:rsidR="00EB3BCA">
              <w:rPr>
                <w:b/>
                <w:color w:val="0B2748"/>
                <w:sz w:val="19"/>
              </w:rPr>
              <w:t>20-08-2026</w:t>
            </w:r>
          </w:p>
        </w:tc>
      </w:tr>
    </w:tbl>
    <w:p w14:paraId="05689057" w14:textId="77777777" w:rsidR="0022428B" w:rsidRDefault="0022428B"/>
    <w:sectPr w:rsidR="0022428B"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111387">
    <w:abstractNumId w:val="8"/>
  </w:num>
  <w:num w:numId="2" w16cid:durableId="1816216108">
    <w:abstractNumId w:val="6"/>
  </w:num>
  <w:num w:numId="3" w16cid:durableId="1980766825">
    <w:abstractNumId w:val="5"/>
  </w:num>
  <w:num w:numId="4" w16cid:durableId="838737128">
    <w:abstractNumId w:val="4"/>
  </w:num>
  <w:num w:numId="5" w16cid:durableId="1201210933">
    <w:abstractNumId w:val="7"/>
  </w:num>
  <w:num w:numId="6" w16cid:durableId="710156169">
    <w:abstractNumId w:val="3"/>
  </w:num>
  <w:num w:numId="7" w16cid:durableId="1791051399">
    <w:abstractNumId w:val="2"/>
  </w:num>
  <w:num w:numId="8" w16cid:durableId="537548543">
    <w:abstractNumId w:val="1"/>
  </w:num>
  <w:num w:numId="9" w16cid:durableId="207824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28B"/>
    <w:rsid w:val="0029639D"/>
    <w:rsid w:val="00326F90"/>
    <w:rsid w:val="0047414D"/>
    <w:rsid w:val="007C18AA"/>
    <w:rsid w:val="00AA1D8D"/>
    <w:rsid w:val="00B47730"/>
    <w:rsid w:val="00CB0664"/>
    <w:rsid w:val="00EB3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1E929"/>
  <w14:defaultImageDpi w14:val="300"/>
  <w15:docId w15:val="{8A5D05AF-7DDB-401E-85C1-CDE88CD8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274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AT2 Capstone Cloud Access and Service Integration Case Study Student Template</dc:title>
  <dc:subject>CSA15 Cloud Computing and Big Data Analytics</dc:subject>
  <dc:creator>Dr C. Rajesh Babu</dc:creator>
  <cp:keywords>CSA15, CO3 AT2, Cloud Access, Case Study, Web APIs, Storage, Serverless, Edge, Fog, SSETSCS415, Dr C. Rajesh Babu</cp:keywords>
  <dc:description>Owner: Dr C. Rajesh Babu; Employee ID: SSETSCS415</dc:description>
  <cp:lastModifiedBy>HEMALATHA GOPI</cp:lastModifiedBy>
  <cp:revision>2</cp:revision>
  <dcterms:created xsi:type="dcterms:W3CDTF">2026-08-20T08:19:00Z</dcterms:created>
  <dcterms:modified xsi:type="dcterms:W3CDTF">2026-08-20T08:19:00Z</dcterms:modified>
  <cp:category/>
</cp:coreProperties>
</file>