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89AF6">
      <w:pPr>
        <w:spacing w:before="0" w:after="280" w:line="360" w:lineRule="auto"/>
        <w:jc w:val="center"/>
      </w:pPr>
      <w:bookmarkStart w:id="0" w:name="_GoBack"/>
      <w:bookmarkEnd w:id="0"/>
      <w:r>
        <w:rPr>
          <w:b/>
          <w:sz w:val="30"/>
        </w:rPr>
        <w:t>CO4 – Machine Learning Methods</w:t>
      </w:r>
    </w:p>
    <w:p w14:paraId="3C8AB817">
      <w:pPr>
        <w:spacing w:before="0" w:after="400" w:line="360" w:lineRule="auto"/>
        <w:jc w:val="center"/>
      </w:pPr>
      <w:r>
        <w:rPr>
          <w:b/>
          <w:sz w:val="28"/>
        </w:rPr>
        <w:t>Decision Trees and Statistical Learning Application in House Valuation</w:t>
      </w:r>
    </w:p>
    <w:p w14:paraId="2CD86C7B">
      <w:pPr>
        <w:spacing w:before="0" w:after="120" w:line="360" w:lineRule="auto"/>
      </w:pPr>
      <w:r>
        <w:t>Selected Peer-Reviewed Article:</w:t>
      </w:r>
    </w:p>
    <w:p w14:paraId="349554D5">
      <w:pPr>
        <w:spacing w:before="0" w:after="120" w:line="360" w:lineRule="auto"/>
      </w:pPr>
      <w:r>
        <w:t>Y.-W. Lin, Y.-B. Lin, C.-Y. Liu, J.-Y. Lin, and Y.-L. Shih, "Implementing AI as Cyber IoT Devices: The House Valuation Example," IEEE Transactions on Industrial Informatics, vol. 16, no. 4, pp. 2612–2620, Apr. 2020.</w:t>
      </w:r>
    </w:p>
    <w:p w14:paraId="5B4C3487">
      <w:pPr>
        <w:spacing w:before="0" w:after="120" w:line="360" w:lineRule="auto"/>
      </w:pPr>
      <w:r>
        <w:rPr>
          <w:b/>
        </w:rPr>
        <w:t xml:space="preserve">DOI: </w:t>
      </w:r>
      <w:r>
        <w:t>10.1109/TII.2019.2951847</w:t>
      </w:r>
    </w:p>
    <w:p w14:paraId="17D0BC1E">
      <w:pPr>
        <w:spacing w:before="480" w:after="160" w:line="360" w:lineRule="auto"/>
        <w:jc w:val="center"/>
      </w:pPr>
      <w:r>
        <w:rPr>
          <w:b/>
          <w:sz w:val="26"/>
        </w:rPr>
        <w:t>Article verification</w:t>
      </w:r>
    </w:p>
    <w:p w14:paraId="216D4389">
      <w:pPr>
        <w:spacing w:before="0" w:after="120" w:line="360" w:lineRule="auto"/>
      </w:pPr>
      <w:r>
        <w:t>The selected article is listed as a peer-reviewed journal article and was published in April 2020 in IEEE Transactions on Industrial Informatics. It therefore satisfies the requirement that the selected article be published after 2019.</w:t>
      </w:r>
    </w:p>
    <w:p w14:paraId="4C14B10D">
      <w:pPr>
        <w:spacing w:before="0" w:after="120" w:line="360" w:lineRule="auto"/>
      </w:pPr>
      <w:r>
        <w:rPr>
          <w:b/>
        </w:rPr>
        <w:t xml:space="preserve">Valid DOI link: </w:t>
      </w:r>
      <w:r>
        <w:fldChar w:fldCharType="begin"/>
      </w:r>
      <w:r>
        <w:instrText xml:space="preserve"> HYPERLINK "https://doi.org/10.1109/TII.2019.2951847" \h </w:instrText>
      </w:r>
      <w:r>
        <w:fldChar w:fldCharType="separate"/>
      </w:r>
      <w:r>
        <w:rPr>
          <w:color w:val="0563C1"/>
          <w:u w:val="single"/>
        </w:rPr>
        <w:t>https://doi.org/10.1109/TII.2019.2951847</w:t>
      </w:r>
      <w:r>
        <w:rPr>
          <w:color w:val="0563C1"/>
          <w:u w:val="single"/>
        </w:rPr>
        <w:fldChar w:fldCharType="end"/>
      </w:r>
    </w:p>
    <w:p w14:paraId="00B1C236">
      <w:r>
        <w:br w:type="page"/>
      </w:r>
    </w:p>
    <w:p w14:paraId="08D3FB72">
      <w:pPr>
        <w:pStyle w:val="2"/>
        <w:spacing w:before="160" w:after="100" w:line="360" w:lineRule="auto"/>
      </w:pPr>
      <w:r>
        <w:t>TASK 1: ARTICLE SUMMARY</w:t>
      </w:r>
    </w:p>
    <w:p w14:paraId="1C833923">
      <w:pPr>
        <w:pStyle w:val="3"/>
        <w:spacing w:before="100" w:after="100" w:line="360" w:lineRule="auto"/>
      </w:pPr>
      <w:r>
        <w:t>1(a) Full Citation, Domain and ML Problem</w:t>
      </w:r>
    </w:p>
    <w:p w14:paraId="5A7BD419">
      <w:pPr>
        <w:spacing w:before="0" w:after="120" w:line="360" w:lineRule="auto"/>
      </w:pPr>
      <w:r>
        <w:t>Full citation: Y.-W. Lin, Y.-B. Lin, C.-Y. Liu, J.-Y. Lin, and Y.-L. Shih, "Implementing AI as Cyber IoT Devices: The House Valuation Example," IEEE Transactions on Industrial Informatics, vol. 16, no. 4, pp. 2612–2620, Apr. 2020, doi: 10.1109/TII.2019.2951847.</w:t>
      </w:r>
    </w:p>
    <w:p w14:paraId="3F247D72">
      <w:pPr>
        <w:spacing w:before="0" w:after="120" w:line="360" w:lineRule="auto"/>
      </w:pPr>
      <w:r>
        <w:t>Domain/Application Area: Artificial intelligence, Internet of Things (IoT), real-estate analytics, and automated house valuation.</w:t>
      </w:r>
    </w:p>
    <w:p w14:paraId="44F90AF4">
      <w:pPr>
        <w:spacing w:before="0" w:after="120" w:line="360" w:lineRule="auto"/>
      </w:pPr>
      <w:r>
        <w:t>Specific ML Problem: The study addresses house-price prediction/valuation as a regression problem. It investigates whether combining conventional housing-profile variables with external factors such as economic, geographical, weather, transportation, city/county, and life-function information can improve house-price prediction.</w:t>
      </w:r>
    </w:p>
    <w:p w14:paraId="2E883D59">
      <w:pPr>
        <w:pStyle w:val="3"/>
        <w:spacing w:before="100" w:after="100" w:line="360" w:lineRule="auto"/>
      </w:pPr>
      <w:r>
        <w:t>1(b) Key Objective and Research Gap (150–200 words)</w:t>
      </w:r>
    </w:p>
    <w:p w14:paraId="7813DCCB">
      <w:pPr>
        <w:spacing w:before="0" w:after="120" w:line="360" w:lineRule="auto"/>
      </w:pPr>
      <w:r>
        <w:t>The article addresses the difficulty of integrating machine learning and big-data processing into IoT applications without forcing developers to implement each AI library and its configuration manually. The authors propose AItalk, a platform that represents AI mechanisms as “cyber IoT devices,” allowing inputs, feature extraction, models, predictions, and statistics to be connected through an IoT-style framework. The house-valuation application is used as a concrete demonstration. The research gap is the lack of a convenient, reusable mechanism for integrating different machine-learning tools into IoT applications and for incorporating heterogeneous external factors into valuation. The authors fill this gap by integrating tools such as scikit-learn, TensorLayer, and Flux into AItalk and by creating HdataBank and HouseValuation components. The experiment uses Taiwanese real-estate transaction data and combines housing-profile variables with city, economic, geography/weather, transportation, life-function, and other external information. Several regression algorithms are compared, including Decision Tree, Random Forest, Extra Trees, XGBoost, LightGBM, and CatBoost, followed by ensemble averaging. The reported average ensemble median error rate is 6.461%, while adding external features can improve valuation accuracy by up to 38%.</w:t>
      </w:r>
    </w:p>
    <w:p w14:paraId="1C417AB3">
      <w:pPr>
        <w:pStyle w:val="2"/>
        <w:spacing w:before="160" w:after="100" w:line="360" w:lineRule="auto"/>
      </w:pPr>
      <w:r>
        <w:t>TASK 2: METHODOLOGY ANALYSIS</w:t>
      </w:r>
    </w:p>
    <w:p w14:paraId="323FB77A">
      <w:pPr>
        <w:pStyle w:val="3"/>
        <w:spacing w:before="100" w:after="100" w:line="360" w:lineRule="auto"/>
      </w:pPr>
      <w:r>
        <w:t>2(a) ML Techniques and Dataset</w:t>
      </w:r>
    </w:p>
    <w:p w14:paraId="01C77217">
      <w:pPr>
        <w:spacing w:before="0" w:after="120" w:line="360" w:lineRule="auto"/>
      </w:pPr>
      <w:r>
        <w:t>Machine-learning techniques: The article evaluates regression algorithms available through AItalk. The conventional methods include Linear Regression, Lasso, Ridge, ElasticNet, K-Nearest Neighbors, and Decision Tree. The advanced tree-based methods include Random Forests, Extra Trees, XGBoost, LightGBM, and CatBoost. The paper also uses an average ensemble of selected models and applies automatic hyperparameter tuning using Grid Search.</w:t>
      </w:r>
    </w:p>
    <w:p w14:paraId="0B5D5D4E">
      <w:pPr>
        <w:spacing w:before="0" w:after="120" w:line="360" w:lineRule="auto"/>
      </w:pPr>
      <w:r>
        <w:t>Decision Tree connection: Decision Tree provides the basic tree-learning approach, while Random Forest and Extra Trees extend tree learning through ensembles. XGBoost, LightGBM, and CatBoost are gradient-boosting decision-tree approaches. This makes the article strongly relevant to the CO4 topic of Decision Trees and ensemble-based statistical learning.</w:t>
      </w:r>
    </w:p>
    <w:p w14:paraId="25289048">
      <w:pPr>
        <w:spacing w:before="0" w:after="120" w:line="360" w:lineRule="auto"/>
      </w:pPr>
      <w:r>
        <w:t>Dataset source and size: The study uses an online Taiwanese Ministry of the Interior real-estate transaction database. The database contains 523,166 transaction records collected from July 2016 to September 2019. For the reported machine-learning experiment, 399,995 transaction records were randomly divided into 80% training (319,996 records) and 20% testing (79,999 records).</w:t>
      </w:r>
    </w:p>
    <w:p w14:paraId="7126E5E6">
      <w:pPr>
        <w:spacing w:before="0" w:after="120" w:line="360" w:lineRule="auto"/>
      </w:pPr>
      <w:r>
        <w:t>Features: The input information is organized into seven major feature groups: Basic Estate Information, House Layout Information, Basic City/County Information, Economy Information, Geography and Weather Information, Transportation Information, and Life Function Information. Examples include house age, land area, bedroom number, floor information, number of empty houses, number of new buildings, income, price-to-income ratio, fault information, rainfall, humidity, PM2.5, temperature, railway/MRT locations, post offices, and schools. Housing information also includes location and property characteristics such as housing type, floor space, bathrooms, and latitude/longitude.</w:t>
      </w:r>
    </w:p>
    <w:p w14:paraId="31F902DB">
      <w:pPr>
        <w:spacing w:before="0" w:after="120" w:line="360" w:lineRule="auto"/>
      </w:pPr>
      <w:r>
        <w:t>Preparation: The paper standardizes features because the input variables have different scales. Its AItalk pipeline also supports feature extraction, outlier removal, missing-data filling, automatic hyperparameter tuning, model training, validation, prediction, and feature-importance analysis. The prediction process is conducted separately for each city.</w:t>
      </w:r>
    </w:p>
    <w:p w14:paraId="0CC71CB5">
      <w:pPr>
        <w:pStyle w:val="3"/>
        <w:spacing w:before="100" w:after="100" w:line="360" w:lineRule="auto"/>
      </w:pPr>
      <w:r>
        <w:t>2(b) Mapping to CO4 Topics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099C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266E4979">
            <w:pPr>
              <w:spacing w:before="0" w:after="0" w:line="276" w:lineRule="auto"/>
            </w:pPr>
            <w:r>
              <w:rPr>
                <w:rFonts w:ascii="Times New Roman" w:hAnsi="Times New Roman"/>
                <w:b/>
                <w:sz w:val="21"/>
              </w:rPr>
              <w:t>CO4 Topic</w:t>
            </w:r>
          </w:p>
        </w:tc>
        <w:tc>
          <w:tcPr>
            <w:tcW w:w="3264" w:type="dxa"/>
            <w:shd w:val="clear" w:color="auto" w:fill="D9EAF7"/>
            <w:vAlign w:val="center"/>
          </w:tcPr>
          <w:p w14:paraId="76DD0616">
            <w:pPr>
              <w:spacing w:before="0" w:after="0" w:line="276" w:lineRule="auto"/>
            </w:pPr>
            <w:r>
              <w:rPr>
                <w:rFonts w:ascii="Times New Roman" w:hAnsi="Times New Roman"/>
                <w:b/>
                <w:sz w:val="21"/>
              </w:rPr>
              <w:t>How the article relates</w:t>
            </w:r>
          </w:p>
        </w:tc>
        <w:tc>
          <w:tcPr>
            <w:tcW w:w="3264" w:type="dxa"/>
            <w:shd w:val="clear" w:color="auto" w:fill="D9EAF7"/>
            <w:vAlign w:val="center"/>
          </w:tcPr>
          <w:p w14:paraId="7225D6D7">
            <w:pPr>
              <w:spacing w:before="0" w:after="0" w:line="276" w:lineRule="auto"/>
            </w:pPr>
            <w:r>
              <w:rPr>
                <w:rFonts w:ascii="Times New Roman" w:hAnsi="Times New Roman"/>
                <w:b/>
                <w:sz w:val="21"/>
              </w:rPr>
              <w:t>Assessment</w:t>
            </w:r>
          </w:p>
        </w:tc>
      </w:tr>
      <w:tr w14:paraId="5B40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020B28D">
            <w:pPr>
              <w:spacing w:before="0" w:after="0" w:line="276" w:lineRule="auto"/>
            </w:pPr>
            <w:r>
              <w:rPr>
                <w:rFonts w:ascii="Times New Roman" w:hAnsi="Times New Roman"/>
                <w:b w:val="0"/>
                <w:sz w:val="21"/>
              </w:rPr>
              <w:t>Inductive Learning</w:t>
            </w:r>
          </w:p>
        </w:tc>
        <w:tc>
          <w:tcPr>
            <w:tcW w:w="3264" w:type="dxa"/>
            <w:vAlign w:val="center"/>
          </w:tcPr>
          <w:p w14:paraId="24586438">
            <w:pPr>
              <w:spacing w:before="0" w:after="0" w:line="276" w:lineRule="auto"/>
            </w:pPr>
            <w:r>
              <w:rPr>
                <w:rFonts w:ascii="Times New Roman" w:hAnsi="Times New Roman"/>
                <w:b w:val="0"/>
                <w:sz w:val="21"/>
              </w:rPr>
              <w:t>The models learn a predictive relationship from observed transaction examples and generalize it to unseen transactions.</w:t>
            </w:r>
          </w:p>
        </w:tc>
        <w:tc>
          <w:tcPr>
            <w:tcW w:w="3264" w:type="dxa"/>
            <w:vAlign w:val="center"/>
          </w:tcPr>
          <w:p w14:paraId="15C91D2F">
            <w:pPr>
              <w:spacing w:before="0" w:after="0" w:line="276" w:lineRule="auto"/>
            </w:pPr>
            <w:r>
              <w:rPr>
                <w:rFonts w:ascii="Times New Roman" w:hAnsi="Times New Roman"/>
                <w:b w:val="0"/>
                <w:sz w:val="21"/>
              </w:rPr>
              <w:t>Directly relevant</w:t>
            </w:r>
          </w:p>
        </w:tc>
      </w:tr>
      <w:tr w14:paraId="1D64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358407C">
            <w:pPr>
              <w:spacing w:before="0" w:after="0" w:line="276" w:lineRule="auto"/>
            </w:pPr>
            <w:r>
              <w:rPr>
                <w:rFonts w:ascii="Times New Roman" w:hAnsi="Times New Roman"/>
                <w:b w:val="0"/>
                <w:sz w:val="21"/>
              </w:rPr>
              <w:t>Decision Trees</w:t>
            </w:r>
          </w:p>
        </w:tc>
        <w:tc>
          <w:tcPr>
            <w:tcW w:w="3264" w:type="dxa"/>
            <w:vAlign w:val="center"/>
          </w:tcPr>
          <w:p w14:paraId="40B4B90C">
            <w:pPr>
              <w:spacing w:before="0" w:after="0" w:line="276" w:lineRule="auto"/>
            </w:pPr>
            <w:r>
              <w:rPr>
                <w:rFonts w:ascii="Times New Roman" w:hAnsi="Times New Roman"/>
                <w:b w:val="0"/>
                <w:sz w:val="21"/>
              </w:rPr>
              <w:t>Decision Tree, Random Forest, Extra Trees, XGBoost, LightGBM and CatBoost are evaluated or discussed.</w:t>
            </w:r>
          </w:p>
        </w:tc>
        <w:tc>
          <w:tcPr>
            <w:tcW w:w="3264" w:type="dxa"/>
            <w:vAlign w:val="center"/>
          </w:tcPr>
          <w:p w14:paraId="7265DF82">
            <w:pPr>
              <w:spacing w:before="0" w:after="0" w:line="276" w:lineRule="auto"/>
            </w:pPr>
            <w:r>
              <w:rPr>
                <w:rFonts w:ascii="Times New Roman" w:hAnsi="Times New Roman"/>
                <w:b w:val="0"/>
                <w:sz w:val="21"/>
              </w:rPr>
              <w:t>Strongly relevant</w:t>
            </w:r>
          </w:p>
        </w:tc>
      </w:tr>
      <w:tr w14:paraId="63FC3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A19B4CE">
            <w:pPr>
              <w:spacing w:before="0" w:after="0" w:line="276" w:lineRule="auto"/>
            </w:pPr>
            <w:r>
              <w:rPr>
                <w:rFonts w:ascii="Times New Roman" w:hAnsi="Times New Roman"/>
                <w:b w:val="0"/>
                <w:sz w:val="21"/>
              </w:rPr>
              <w:t>Statistical Learning</w:t>
            </w:r>
          </w:p>
        </w:tc>
        <w:tc>
          <w:tcPr>
            <w:tcW w:w="3264" w:type="dxa"/>
            <w:vAlign w:val="center"/>
          </w:tcPr>
          <w:p w14:paraId="08990F47">
            <w:pPr>
              <w:spacing w:before="0" w:after="0" w:line="276" w:lineRule="auto"/>
            </w:pPr>
            <w:r>
              <w:rPr>
                <w:rFonts w:ascii="Times New Roman" w:hAnsi="Times New Roman"/>
                <w:b w:val="0"/>
                <w:sz w:val="21"/>
              </w:rPr>
              <w:t>The study compares regression and ensemble methods and evaluates prediction error using MER.</w:t>
            </w:r>
          </w:p>
        </w:tc>
        <w:tc>
          <w:tcPr>
            <w:tcW w:w="3264" w:type="dxa"/>
            <w:vAlign w:val="center"/>
          </w:tcPr>
          <w:p w14:paraId="3ECBE9FB">
            <w:pPr>
              <w:spacing w:before="0" w:after="0" w:line="276" w:lineRule="auto"/>
            </w:pPr>
            <w:r>
              <w:rPr>
                <w:rFonts w:ascii="Times New Roman" w:hAnsi="Times New Roman"/>
                <w:b w:val="0"/>
                <w:sz w:val="21"/>
              </w:rPr>
              <w:t>Strongly relevant</w:t>
            </w:r>
          </w:p>
        </w:tc>
      </w:tr>
      <w:tr w14:paraId="6A09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297EDFC">
            <w:pPr>
              <w:spacing w:before="0" w:after="0" w:line="276" w:lineRule="auto"/>
            </w:pPr>
            <w:r>
              <w:rPr>
                <w:rFonts w:ascii="Times New Roman" w:hAnsi="Times New Roman"/>
                <w:b w:val="0"/>
                <w:sz w:val="21"/>
              </w:rPr>
              <w:t>Reinforcement Learning</w:t>
            </w:r>
          </w:p>
        </w:tc>
        <w:tc>
          <w:tcPr>
            <w:tcW w:w="3264" w:type="dxa"/>
            <w:vAlign w:val="center"/>
          </w:tcPr>
          <w:p w14:paraId="3AA94D1C">
            <w:pPr>
              <w:spacing w:before="0" w:after="0" w:line="276" w:lineRule="auto"/>
            </w:pPr>
            <w:r>
              <w:rPr>
                <w:rFonts w:ascii="Times New Roman" w:hAnsi="Times New Roman"/>
                <w:b w:val="0"/>
                <w:sz w:val="21"/>
              </w:rPr>
              <w:t>No agent-environment reward loop or RL algorithm is used in the house-valuation experiment.</w:t>
            </w:r>
          </w:p>
        </w:tc>
        <w:tc>
          <w:tcPr>
            <w:tcW w:w="3264" w:type="dxa"/>
            <w:vAlign w:val="center"/>
          </w:tcPr>
          <w:p w14:paraId="1DE48693">
            <w:pPr>
              <w:spacing w:before="0" w:after="0" w:line="276" w:lineRule="auto"/>
            </w:pPr>
            <w:r>
              <w:rPr>
                <w:rFonts w:ascii="Times New Roman" w:hAnsi="Times New Roman"/>
                <w:b w:val="0"/>
                <w:sz w:val="21"/>
              </w:rPr>
              <w:t>Not used</w:t>
            </w:r>
          </w:p>
        </w:tc>
      </w:tr>
    </w:tbl>
    <w:p w14:paraId="31769B25">
      <w:pPr>
        <w:pStyle w:val="3"/>
        <w:spacing w:before="100" w:after="100" w:line="360" w:lineRule="auto"/>
      </w:pPr>
      <w:r>
        <w:t>Methodological Strength</w:t>
      </w:r>
    </w:p>
    <w:p w14:paraId="36D31293">
      <w:pPr>
        <w:spacing w:before="0" w:after="120" w:line="360" w:lineRule="auto"/>
      </w:pPr>
      <w:r>
        <w:t>A major strength is the broad comparison of multiple learning methods within one common platform. The authors do not rely on a single model; they compare conventional regression methods with modern tree ensembles, apply hyperparameter tuning, and use an ensemble of strong models. This provides a more informative assessment of the relationship between model choice, feature selection, and valuation error.</w:t>
      </w:r>
    </w:p>
    <w:p w14:paraId="55121780">
      <w:pPr>
        <w:pStyle w:val="3"/>
        <w:spacing w:before="100" w:after="100" w:line="360" w:lineRule="auto"/>
      </w:pPr>
      <w:r>
        <w:t>Methodological Limitation</w:t>
      </w:r>
    </w:p>
    <w:p w14:paraId="4DAFEABC">
      <w:pPr>
        <w:spacing w:before="0" w:after="120" w:line="360" w:lineRule="auto"/>
      </w:pPr>
      <w:r>
        <w:t>A limitation is that the main evaluation is based on a random train/test split of transaction records. For real-estate prediction, temporal and geographic distribution shifts are important. A random split can place very similar transactions from nearby periods or locations in both training and test sets, potentially making the reported generalization easier than a strict future-period or cross-city evaluation. The paper also reports a smaller dataset than the much larger Zillow benchmark, which limits direct comparability.</w:t>
      </w:r>
    </w:p>
    <w:p w14:paraId="5089684C">
      <w:pPr>
        <w:pStyle w:val="2"/>
        <w:spacing w:before="160" w:after="100" w:line="360" w:lineRule="auto"/>
      </w:pPr>
      <w:r>
        <w:t>TASK 3: RESULTS &amp; CRITICAL EVALUATION</w:t>
      </w:r>
    </w:p>
    <w:p w14:paraId="3B3D5248">
      <w:pPr>
        <w:pStyle w:val="3"/>
        <w:spacing w:before="100" w:after="100" w:line="360" w:lineRule="auto"/>
      </w:pPr>
      <w:r>
        <w:t>3(a) Key Results</w:t>
      </w:r>
    </w:p>
    <w:p w14:paraId="26966495">
      <w:pPr>
        <w:spacing w:before="0" w:after="120" w:line="360" w:lineRule="auto"/>
      </w:pPr>
      <w:r>
        <w:t>The article uses Median Error Rate (MER) as its primary valuation metric. MER is calculated from the median of the absolute relative prediction error, expressed as a percentage. Two model configurations are considered: (1) all-features models, using housing and external features, and (2) housing-profile models, using only core housing features.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21FAA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51D07D02">
            <w:pPr>
              <w:spacing w:before="0" w:after="0" w:line="276" w:lineRule="auto"/>
            </w:pPr>
            <w:r>
              <w:rPr>
                <w:rFonts w:ascii="Times New Roman" w:hAnsi="Times New Roman"/>
                <w:b/>
                <w:sz w:val="21"/>
              </w:rPr>
              <w:t>Experiment / Benchmark</w:t>
            </w:r>
          </w:p>
        </w:tc>
        <w:tc>
          <w:tcPr>
            <w:tcW w:w="2448" w:type="dxa"/>
            <w:shd w:val="clear" w:color="auto" w:fill="D9EAF7"/>
            <w:vAlign w:val="center"/>
          </w:tcPr>
          <w:p w14:paraId="5867F8A7">
            <w:pPr>
              <w:spacing w:before="0" w:after="0" w:line="276" w:lineRule="auto"/>
            </w:pPr>
            <w:r>
              <w:rPr>
                <w:rFonts w:ascii="Times New Roman" w:hAnsi="Times New Roman"/>
                <w:b/>
                <w:sz w:val="21"/>
              </w:rPr>
              <w:t>Reported result</w:t>
            </w:r>
          </w:p>
        </w:tc>
        <w:tc>
          <w:tcPr>
            <w:tcW w:w="2448" w:type="dxa"/>
            <w:shd w:val="clear" w:color="auto" w:fill="D9EAF7"/>
            <w:vAlign w:val="center"/>
          </w:tcPr>
          <w:p w14:paraId="680022E4">
            <w:pPr>
              <w:spacing w:before="0" w:after="0" w:line="276" w:lineRule="auto"/>
            </w:pPr>
            <w:r>
              <w:rPr>
                <w:rFonts w:ascii="Times New Roman" w:hAnsi="Times New Roman"/>
                <w:b/>
                <w:sz w:val="21"/>
              </w:rPr>
              <w:t>Metric</w:t>
            </w:r>
          </w:p>
        </w:tc>
        <w:tc>
          <w:tcPr>
            <w:tcW w:w="2448" w:type="dxa"/>
            <w:shd w:val="clear" w:color="auto" w:fill="D9EAF7"/>
            <w:vAlign w:val="center"/>
          </w:tcPr>
          <w:p w14:paraId="3299B836">
            <w:pPr>
              <w:spacing w:before="0" w:after="0" w:line="276" w:lineRule="auto"/>
            </w:pPr>
            <w:r>
              <w:rPr>
                <w:rFonts w:ascii="Times New Roman" w:hAnsi="Times New Roman"/>
                <w:b/>
                <w:sz w:val="21"/>
              </w:rPr>
              <w:t>Interpretation</w:t>
            </w:r>
          </w:p>
        </w:tc>
      </w:tr>
      <w:tr w14:paraId="4DC9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7195848">
            <w:pPr>
              <w:spacing w:before="0" w:after="0" w:line="276" w:lineRule="auto"/>
            </w:pPr>
            <w:r>
              <w:rPr>
                <w:rFonts w:ascii="Times New Roman" w:hAnsi="Times New Roman"/>
                <w:b w:val="0"/>
                <w:sz w:val="21"/>
              </w:rPr>
              <w:t>Average ensemble using all features</w:t>
            </w:r>
          </w:p>
        </w:tc>
        <w:tc>
          <w:tcPr>
            <w:tcW w:w="2448" w:type="dxa"/>
            <w:vAlign w:val="center"/>
          </w:tcPr>
          <w:p w14:paraId="3239D679">
            <w:pPr>
              <w:spacing w:before="0" w:after="0" w:line="276" w:lineRule="auto"/>
            </w:pPr>
            <w:r>
              <w:rPr>
                <w:rFonts w:ascii="Times New Roman" w:hAnsi="Times New Roman"/>
                <w:b w:val="0"/>
                <w:sz w:val="21"/>
              </w:rPr>
              <w:t>6.461%</w:t>
            </w:r>
          </w:p>
        </w:tc>
        <w:tc>
          <w:tcPr>
            <w:tcW w:w="2448" w:type="dxa"/>
            <w:vAlign w:val="center"/>
          </w:tcPr>
          <w:p w14:paraId="7BF53135">
            <w:pPr>
              <w:spacing w:before="0" w:after="0" w:line="276" w:lineRule="auto"/>
            </w:pPr>
            <w:r>
              <w:rPr>
                <w:rFonts w:ascii="Times New Roman" w:hAnsi="Times New Roman"/>
                <w:b w:val="0"/>
                <w:sz w:val="21"/>
              </w:rPr>
              <w:t>MER</w:t>
            </w:r>
          </w:p>
        </w:tc>
        <w:tc>
          <w:tcPr>
            <w:tcW w:w="2448" w:type="dxa"/>
            <w:vAlign w:val="center"/>
          </w:tcPr>
          <w:p w14:paraId="330B0883">
            <w:pPr>
              <w:spacing w:before="0" w:after="0" w:line="276" w:lineRule="auto"/>
            </w:pPr>
            <w:r>
              <w:rPr>
                <w:rFonts w:ascii="Times New Roman" w:hAnsi="Times New Roman"/>
                <w:b w:val="0"/>
                <w:sz w:val="21"/>
              </w:rPr>
              <w:t>Best overall ensemble result reported in the paper</w:t>
            </w:r>
          </w:p>
        </w:tc>
      </w:tr>
      <w:tr w14:paraId="63FA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8854226">
            <w:pPr>
              <w:spacing w:before="0" w:after="0" w:line="276" w:lineRule="auto"/>
            </w:pPr>
            <w:r>
              <w:rPr>
                <w:rFonts w:ascii="Times New Roman" w:hAnsi="Times New Roman"/>
                <w:b w:val="0"/>
                <w:sz w:val="21"/>
              </w:rPr>
              <w:t>Average ensemble with log-linear models</w:t>
            </w:r>
          </w:p>
        </w:tc>
        <w:tc>
          <w:tcPr>
            <w:tcW w:w="2448" w:type="dxa"/>
            <w:vAlign w:val="center"/>
          </w:tcPr>
          <w:p w14:paraId="4C119BA9">
            <w:pPr>
              <w:spacing w:before="0" w:after="0" w:line="276" w:lineRule="auto"/>
            </w:pPr>
            <w:r>
              <w:rPr>
                <w:rFonts w:ascii="Times New Roman" w:hAnsi="Times New Roman"/>
                <w:b w:val="0"/>
                <w:sz w:val="21"/>
              </w:rPr>
              <w:t>6.834%</w:t>
            </w:r>
          </w:p>
        </w:tc>
        <w:tc>
          <w:tcPr>
            <w:tcW w:w="2448" w:type="dxa"/>
            <w:vAlign w:val="center"/>
          </w:tcPr>
          <w:p w14:paraId="78BC353D">
            <w:pPr>
              <w:spacing w:before="0" w:after="0" w:line="276" w:lineRule="auto"/>
            </w:pPr>
            <w:r>
              <w:rPr>
                <w:rFonts w:ascii="Times New Roman" w:hAnsi="Times New Roman"/>
                <w:b w:val="0"/>
                <w:sz w:val="21"/>
              </w:rPr>
              <w:t>MER</w:t>
            </w:r>
          </w:p>
        </w:tc>
        <w:tc>
          <w:tcPr>
            <w:tcW w:w="2448" w:type="dxa"/>
            <w:vAlign w:val="center"/>
          </w:tcPr>
          <w:p w14:paraId="614C7C97">
            <w:pPr>
              <w:spacing w:before="0" w:after="0" w:line="276" w:lineRule="auto"/>
            </w:pPr>
            <w:r>
              <w:rPr>
                <w:rFonts w:ascii="Times New Roman" w:hAnsi="Times New Roman"/>
                <w:b w:val="0"/>
                <w:sz w:val="21"/>
              </w:rPr>
              <w:t>Worse than the 6.461% non-log-linear ensemble</w:t>
            </w:r>
          </w:p>
        </w:tc>
      </w:tr>
      <w:tr w14:paraId="2330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8A7AAA6">
            <w:pPr>
              <w:spacing w:before="0" w:after="0" w:line="276" w:lineRule="auto"/>
            </w:pPr>
            <w:r>
              <w:rPr>
                <w:rFonts w:ascii="Times New Roman" w:hAnsi="Times New Roman"/>
                <w:b w:val="0"/>
                <w:sz w:val="21"/>
              </w:rPr>
              <w:t>Zillow Zestimate benchmark</w:t>
            </w:r>
          </w:p>
        </w:tc>
        <w:tc>
          <w:tcPr>
            <w:tcW w:w="2448" w:type="dxa"/>
            <w:vAlign w:val="center"/>
          </w:tcPr>
          <w:p w14:paraId="341BFE8A">
            <w:pPr>
              <w:spacing w:before="0" w:after="0" w:line="276" w:lineRule="auto"/>
            </w:pPr>
            <w:r>
              <w:rPr>
                <w:rFonts w:ascii="Times New Roman" w:hAnsi="Times New Roman"/>
                <w:b w:val="0"/>
                <w:sz w:val="21"/>
              </w:rPr>
              <w:t>4.3%</w:t>
            </w:r>
          </w:p>
        </w:tc>
        <w:tc>
          <w:tcPr>
            <w:tcW w:w="2448" w:type="dxa"/>
            <w:vAlign w:val="center"/>
          </w:tcPr>
          <w:p w14:paraId="05044BF7">
            <w:pPr>
              <w:spacing w:before="0" w:after="0" w:line="276" w:lineRule="auto"/>
            </w:pPr>
            <w:r>
              <w:rPr>
                <w:rFonts w:ascii="Times New Roman" w:hAnsi="Times New Roman"/>
                <w:b w:val="0"/>
                <w:sz w:val="21"/>
              </w:rPr>
              <w:t>MER</w:t>
            </w:r>
          </w:p>
        </w:tc>
        <w:tc>
          <w:tcPr>
            <w:tcW w:w="2448" w:type="dxa"/>
            <w:vAlign w:val="center"/>
          </w:tcPr>
          <w:p w14:paraId="5CFE2692">
            <w:pPr>
              <w:spacing w:before="0" w:after="0" w:line="276" w:lineRule="auto"/>
            </w:pPr>
            <w:r>
              <w:rPr>
                <w:rFonts w:ascii="Times New Roman" w:hAnsi="Times New Roman"/>
                <w:b w:val="0"/>
                <w:sz w:val="21"/>
              </w:rPr>
              <w:t>Lower error than the paper's smaller experimental dataset</w:t>
            </w:r>
          </w:p>
        </w:tc>
      </w:tr>
      <w:tr w14:paraId="62E5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696012F">
            <w:pPr>
              <w:spacing w:before="0" w:after="0" w:line="276" w:lineRule="auto"/>
            </w:pPr>
            <w:r>
              <w:rPr>
                <w:rFonts w:ascii="Times New Roman" w:hAnsi="Times New Roman"/>
                <w:b w:val="0"/>
                <w:sz w:val="21"/>
              </w:rPr>
              <w:t>Adding external features</w:t>
            </w:r>
          </w:p>
        </w:tc>
        <w:tc>
          <w:tcPr>
            <w:tcW w:w="2448" w:type="dxa"/>
            <w:vAlign w:val="center"/>
          </w:tcPr>
          <w:p w14:paraId="487998F1">
            <w:pPr>
              <w:spacing w:before="0" w:after="0" w:line="276" w:lineRule="auto"/>
            </w:pPr>
            <w:r>
              <w:rPr>
                <w:rFonts w:ascii="Times New Roman" w:hAnsi="Times New Roman"/>
                <w:b w:val="0"/>
                <w:sz w:val="21"/>
              </w:rPr>
              <w:t>Up to 38% improvement</w:t>
            </w:r>
          </w:p>
        </w:tc>
        <w:tc>
          <w:tcPr>
            <w:tcW w:w="2448" w:type="dxa"/>
            <w:vAlign w:val="center"/>
          </w:tcPr>
          <w:p w14:paraId="62520D32">
            <w:pPr>
              <w:spacing w:before="0" w:after="0" w:line="276" w:lineRule="auto"/>
            </w:pPr>
            <w:r>
              <w:rPr>
                <w:rFonts w:ascii="Times New Roman" w:hAnsi="Times New Roman"/>
                <w:b w:val="0"/>
                <w:sz w:val="21"/>
              </w:rPr>
              <w:t>Relative improvement</w:t>
            </w:r>
          </w:p>
        </w:tc>
        <w:tc>
          <w:tcPr>
            <w:tcW w:w="2448" w:type="dxa"/>
            <w:vAlign w:val="center"/>
          </w:tcPr>
          <w:p w14:paraId="0CE4F45C">
            <w:pPr>
              <w:spacing w:before="0" w:after="0" w:line="276" w:lineRule="auto"/>
            </w:pPr>
            <w:r>
              <w:rPr>
                <w:rFonts w:ascii="Times New Roman" w:hAnsi="Times New Roman"/>
                <w:b w:val="0"/>
                <w:sz w:val="21"/>
              </w:rPr>
              <w:t>Shows value from non-housing information</w:t>
            </w:r>
          </w:p>
        </w:tc>
      </w:tr>
      <w:tr w14:paraId="061B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5A550E3">
            <w:pPr>
              <w:spacing w:before="0" w:after="0" w:line="276" w:lineRule="auto"/>
            </w:pPr>
            <w:r>
              <w:rPr>
                <w:rFonts w:ascii="Times New Roman" w:hAnsi="Times New Roman"/>
                <w:b w:val="0"/>
                <w:sz w:val="21"/>
              </w:rPr>
              <w:t>Distributed AItalk overhead</w:t>
            </w:r>
          </w:p>
        </w:tc>
        <w:tc>
          <w:tcPr>
            <w:tcW w:w="2448" w:type="dxa"/>
            <w:vAlign w:val="center"/>
          </w:tcPr>
          <w:p w14:paraId="0068F829">
            <w:pPr>
              <w:spacing w:before="0" w:after="0" w:line="276" w:lineRule="auto"/>
            </w:pPr>
            <w:r>
              <w:rPr>
                <w:rFonts w:ascii="Times New Roman" w:hAnsi="Times New Roman"/>
                <w:b w:val="0"/>
                <w:sz w:val="21"/>
              </w:rPr>
              <w:t>3.7% or less</w:t>
            </w:r>
          </w:p>
        </w:tc>
        <w:tc>
          <w:tcPr>
            <w:tcW w:w="2448" w:type="dxa"/>
            <w:vAlign w:val="center"/>
          </w:tcPr>
          <w:p w14:paraId="42E4DF54">
            <w:pPr>
              <w:spacing w:before="0" w:after="0" w:line="276" w:lineRule="auto"/>
            </w:pPr>
            <w:r>
              <w:rPr>
                <w:rFonts w:ascii="Times New Roman" w:hAnsi="Times New Roman"/>
                <w:b w:val="0"/>
                <w:sz w:val="21"/>
              </w:rPr>
              <w:t>Communication overhead</w:t>
            </w:r>
          </w:p>
        </w:tc>
        <w:tc>
          <w:tcPr>
            <w:tcW w:w="2448" w:type="dxa"/>
            <w:vAlign w:val="center"/>
          </w:tcPr>
          <w:p w14:paraId="5ADAC6D6">
            <w:pPr>
              <w:spacing w:before="0" w:after="0" w:line="276" w:lineRule="auto"/>
            </w:pPr>
            <w:r>
              <w:rPr>
                <w:rFonts w:ascii="Times New Roman" w:hAnsi="Times New Roman"/>
                <w:b w:val="0"/>
                <w:sz w:val="21"/>
              </w:rPr>
              <w:t>Reported as small relative to valuation computation</w:t>
            </w:r>
          </w:p>
        </w:tc>
      </w:tr>
    </w:tbl>
    <w:p w14:paraId="23979A18">
      <w:pPr>
        <w:spacing w:before="0" w:after="120" w:line="360" w:lineRule="auto"/>
      </w:pPr>
      <w:r>
        <w:t>The paper also reports that the all-feature models improve over corresponding housing-profile models by approximately 3.306% to 38.737%, depending on the learning algorithm. The authors explain that advanced tree-boosting methods such as XGBoost and LightGBM can already model nonlinear relationships, which helps explain why the additional log-linear modeling step did not improve the average ensemble result.</w:t>
      </w:r>
    </w:p>
    <w:p w14:paraId="4D0B9F58">
      <w:pPr>
        <w:pStyle w:val="3"/>
        <w:spacing w:before="100" w:after="100" w:line="360" w:lineRule="auto"/>
      </w:pPr>
      <w:r>
        <w:t>3(b) Critical Evaluation</w:t>
      </w:r>
    </w:p>
    <w:p w14:paraId="5B915C84">
      <w:pPr>
        <w:spacing w:before="0" w:after="120" w:line="360" w:lineRule="auto"/>
      </w:pPr>
      <w:r>
        <w:t>Realism of metrics: The reported 6.461% average MER is plausible for a controlled valuation experiment, but it should not be interpreted as universal real-world house-price accuracy. The paper itself notes that Zillow's Zestimate has a lower reported MER of 4.3%, while also emphasizing that Zillow uses a far larger dataset. The difference in data volume, geographic coverage, feature availability, and evaluation procedure means the two numbers are not a perfectly controlled comparison.</w:t>
      </w:r>
    </w:p>
    <w:p w14:paraId="525535E6">
      <w:pPr>
        <w:spacing w:before="0" w:after="120" w:line="360" w:lineRule="auto"/>
      </w:pPr>
      <w:r>
        <w:t>Potential dataset bias: The data are from Taiwan and the prediction process is conducted separately by city. Real-estate markets differ across cities and time, so a model trained on this setting may not generalize directly to another country or market. External features such as transportation, schools, income, faults, and environmental data may also have different availability and quality across regions.</w:t>
      </w:r>
    </w:p>
    <w:p w14:paraId="58EB5F6C">
      <w:pPr>
        <w:spacing w:before="0" w:after="120" w:line="360" w:lineRule="auto"/>
      </w:pPr>
      <w:r>
        <w:t>Evaluation-protocol concern: A random 80/20 split is useful for an initial benchmark, but a time-based split would be stronger for a forecasting-oriented application. A future experiment should train on earlier transactions and test on later transactions. Cross-city validation would also test whether the learned relationships transfer between markets.</w:t>
      </w:r>
    </w:p>
    <w:p w14:paraId="124F39B3">
      <w:pPr>
        <w:spacing w:before="0" w:after="120" w:line="360" w:lineRule="auto"/>
      </w:pPr>
      <w:r>
        <w:t>Additional experiments: The findings could be strengthened by repeated cross-validation, temporal holdout testing, cross-city testing, confidence intervals for MER, ablation studies for each external feature group, and statistical significance tests between the leading models. Explainability methods such as SHAP could also quantify how each environmental and socioeconomic feature changes predicted price.</w:t>
      </w:r>
    </w:p>
    <w:p w14:paraId="15091E6C">
      <w:pPr>
        <w:pStyle w:val="3"/>
        <w:spacing w:before="100" w:after="100" w:line="360" w:lineRule="auto"/>
      </w:pPr>
      <w:r>
        <w:t>3(c) Real-World Applicability</w:t>
      </w:r>
    </w:p>
    <w:p w14:paraId="20BC2619">
      <w:pPr>
        <w:spacing w:before="0" w:after="120" w:line="360" w:lineRule="auto"/>
      </w:pPr>
      <w:r>
        <w:t>The approach can be deployed in property valuation platforms, real-estate marketplaces, mortgage and lending support, property-tax assessment, urban planning, investment analysis, and smart-city services. Aitalk's cyber-IoT abstraction also provides a way to connect data sources and ML models without requiring every application developer to implement the underlying ML-library details.</w:t>
      </w:r>
    </w:p>
    <w:p w14:paraId="6EDF1E99">
      <w:pPr>
        <w:spacing w:before="0" w:after="120" w:line="360" w:lineRule="auto"/>
      </w:pPr>
      <w:r>
        <w:t>Industry scaling challenges include data availability, data integration, model maintenance, cloud/edge communication, privacy, and changing market conditions. Property data can contain sensitive information, while location and socioeconomic features can introduce fairness concerns. A production system would need strong governance for data quality, monitoring of model drift, access control, auditability, and explainable predictions. Computational cost can also increase when large numbers of properties, cities, external data feeds, and frequent model updates are processed.</w:t>
      </w:r>
    </w:p>
    <w:p w14:paraId="5A8AE694">
      <w:pPr>
        <w:pStyle w:val="2"/>
        <w:spacing w:before="160" w:after="100" w:line="360" w:lineRule="auto"/>
      </w:pPr>
      <w:r>
        <w:t>TASK 4: REFLECTION &amp; LEARNING OUTCOME</w:t>
      </w:r>
    </w:p>
    <w:p w14:paraId="766DB27C">
      <w:pPr>
        <w:pStyle w:val="3"/>
        <w:spacing w:before="100" w:after="100" w:line="360" w:lineRule="auto"/>
      </w:pPr>
      <w:r>
        <w:t>4(a) Three Key Insights</w:t>
      </w:r>
    </w:p>
    <w:p w14:paraId="045FACF2">
      <w:pPr>
        <w:spacing w:before="0" w:after="120" w:line="360" w:lineRule="auto"/>
      </w:pPr>
      <w:r>
        <w:rPr>
          <w:b/>
        </w:rPr>
        <w:t>Insight 1 – Inductive learning from real transaction examples</w:t>
      </w:r>
    </w:p>
    <w:p w14:paraId="06B67763">
      <w:pPr>
        <w:spacing w:before="0" w:after="120" w:line="360" w:lineRule="auto"/>
      </w:pPr>
      <w:r>
        <w:t>The study demonstrates that a model can infer a useful mapping from property and environmental features to observed house prices and then apply the learned relationship to unseen transactions. This deepens the understanding of inductive learning because the model does not receive a hand-written pricing rule; it learns a general predictive pattern from examples.</w:t>
      </w:r>
    </w:p>
    <w:p w14:paraId="223B4836">
      <w:pPr>
        <w:spacing w:before="0" w:after="120" w:line="360" w:lineRule="auto"/>
      </w:pPr>
      <w:r>
        <w:rPr>
          <w:b/>
        </w:rPr>
        <w:t>Insight 2 – Decision Trees become stronger through ensembles</w:t>
      </w:r>
    </w:p>
    <w:p w14:paraId="37F077CD">
      <w:pPr>
        <w:spacing w:before="0" w:after="120" w:line="360" w:lineRule="auto"/>
      </w:pPr>
      <w:r>
        <w:t>The article shows how a basic Decision Tree idea can be extended through Random Forests, Extra Trees, and gradient-boosted tree methods such as XGBoost, LightGBM, and CatBoost. This connects directly to the CO4 Decision Tree topic and illustrates why ensembles can reduce the weaknesses of relying on one tree.</w:t>
      </w:r>
    </w:p>
    <w:p w14:paraId="466967B8">
      <w:pPr>
        <w:spacing w:before="0" w:after="120" w:line="360" w:lineRule="auto"/>
      </w:pPr>
      <w:r>
        <w:rPr>
          <w:b/>
        </w:rPr>
        <w:t>Insight 3 – Feature engineering and statistical learning matter as much as model selection</w:t>
      </w:r>
    </w:p>
    <w:p w14:paraId="12FB5909">
      <w:pPr>
        <w:spacing w:before="0" w:after="120" w:line="360" w:lineRule="auto"/>
      </w:pPr>
      <w:r>
        <w:t>The improvement obtained by adding external features demonstrates that better information can be as important as choosing a more sophisticated algorithm. This connects to Statistical Learning because the quality, scale, relevance, and representation of predictors influence the learned function and its generalization performance.</w:t>
      </w:r>
    </w:p>
    <w:p w14:paraId="67F8874C">
      <w:pPr>
        <w:pStyle w:val="3"/>
        <w:spacing w:before="100" w:after="100" w:line="360" w:lineRule="auto"/>
      </w:pPr>
      <w:r>
        <w:t>4(b) Proposed Novel Experiment / Enhancement</w:t>
      </w:r>
    </w:p>
    <w:p w14:paraId="4212CDF6">
      <w:pPr>
        <w:spacing w:before="0" w:after="120" w:line="360" w:lineRule="auto"/>
      </w:pPr>
      <w:r>
        <w:t>Proposed enhancement: Build a temporal-and-cross-city evaluation framework using the same housing dataset. Instead of randomly splitting all transactions, train the models on earlier transactions and evaluate them on a later period. Then perform cross-city testing by training on selected cities and evaluating on a previously unseen city. The experiment should compare Decision Tree, Random Forest, Extra Trees, XGBoost, LightGBM, CatBoost, and the ensemble.</w:t>
      </w:r>
    </w:p>
    <w:p w14:paraId="58178DEE">
      <w:pPr>
        <w:spacing w:before="0" w:after="120" w:line="360" w:lineRule="auto"/>
      </w:pPr>
      <w:r>
        <w:t>Feasibility and expected impact: The experiment is feasible because the original study already contains transaction dates, city information, multiple feature groups, and several implemented algorithms. No new hardware is required; the main change is the evaluation protocol. The experiment would provide a more realistic measure of generalization and reveal whether the reported improvement from external features remains stable under market and geographic shifts. Adding SHAP-based explanation would further help identify which features drive predictions and would make the system more suitable for real-world decision support.</w:t>
      </w:r>
    </w:p>
    <w:p w14:paraId="502C31DF">
      <w:pPr>
        <w:pStyle w:val="2"/>
        <w:spacing w:before="160" w:after="100" w:line="360" w:lineRule="auto"/>
      </w:pPr>
      <w:r>
        <w:t>Overall Review and Conclusion</w:t>
      </w:r>
    </w:p>
    <w:p w14:paraId="75772CE6">
      <w:pPr>
        <w:spacing w:before="0" w:after="120" w:line="360" w:lineRule="auto"/>
      </w:pPr>
      <w:r>
        <w:t>This article is a strong CO4 example because it combines inductive learning, Decision Tree-based ensemble methods, and statistical learning in a practical regression problem. Its main contribution is not only the comparison of machine-learning models for house valuation but also the AItalk framework, which treats AI components as cyber IoT devices. The experimental results show that external information can substantially improve valuation performance, with an average ensemble MER of 6.461% and reported improvements of up to about 38% over corresponding housing-profile models. At the same time, the difference between the study's 6.461% MER and the 4.3% Zestimate benchmark should be interpreted cautiously because the datasets and evaluation settings are different. A future temporal and cross-city evaluation would make the conclusions more robust and would better reflect real deployment conditions.</w:t>
      </w:r>
    </w:p>
    <w:p w14:paraId="3612DAA4">
      <w:pPr>
        <w:pStyle w:val="2"/>
        <w:spacing w:before="160" w:after="100" w:line="360" w:lineRule="auto"/>
      </w:pPr>
      <w:r>
        <w:t>References</w:t>
      </w:r>
    </w:p>
    <w:p w14:paraId="29276177">
      <w:pPr>
        <w:spacing w:before="0" w:after="120" w:line="360" w:lineRule="auto"/>
      </w:pPr>
      <w:r>
        <w:t>[1] Y.-W. Lin, Y.-B. Lin, C.-Y. Liu, J.-Y. Lin, and Y.-L. Shih, "Implementing AI as Cyber IoT Devices: The House Valuation Example," IEEE Transactions on Industrial Informatics, vol. 16, no. 4, pp. 2612–2620, Apr. 2020, doi: 10.1109/TII.2019.2951847.</w:t>
      </w:r>
    </w:p>
    <w:p w14:paraId="1E4EE6AF">
      <w:pPr>
        <w:spacing w:before="0" w:after="120" w:line="360" w:lineRule="auto"/>
      </w:pPr>
      <w:r>
        <w:t>[2] P. Geurts, D. Ernst, and L. Wehenkel, "Extremely randomized trees," Machine Learning, vol. 63, no. 1, pp. 3–42, Apr. 2006.</w:t>
      </w:r>
    </w:p>
    <w:p w14:paraId="43390E8F">
      <w:pPr>
        <w:spacing w:before="0" w:after="120" w:line="360" w:lineRule="auto"/>
      </w:pPr>
      <w:r>
        <w:t>[3] T. Chen and C. Guestrin, "XGBoost: A scalable tree boosting system," in Proceedings of the 22nd ACM SIGKDD International Conference on Knowledge Discovery and Data Mining, 2016, pp. 785–794.</w:t>
      </w:r>
    </w:p>
    <w:p w14:paraId="7116AA9E">
      <w:pPr>
        <w:spacing w:before="0" w:after="120" w:line="360" w:lineRule="auto"/>
      </w:pPr>
      <w:r>
        <w:t>[4] G. Ke et al., "LightGBM: A highly efficient gradient boosting decision tree," Advances in Neural Information Processing Systems, vol. 30, pp. 3149–3157, 2017.</w:t>
      </w:r>
    </w:p>
    <w:p w14:paraId="7D3AA136">
      <w:pPr>
        <w:spacing w:before="0" w:after="120" w:line="360" w:lineRule="auto"/>
      </w:pPr>
      <w:r>
        <w:t>[5] A. V. Dorogush, V. Ershov, and A. Gulin, "CatBoost: Gradient boosting with categorical features support," arXiv:1810.11363, 2018.</w:t>
      </w:r>
    </w:p>
    <w:p w14:paraId="5C6A9C0D">
      <w:pPr>
        <w:spacing w:before="0" w:after="120" w:line="360" w:lineRule="auto"/>
      </w:pPr>
      <w:r>
        <w:t>[6] T. G. Dietterich, "Ensemble methods in machine learning," in Proceedings of the International Workshop on Multiple Classifier Systems, 2000, pp. 1–15.</w:t>
      </w:r>
    </w:p>
    <w:sectPr>
      <w:headerReference r:id="rId5" w:type="default"/>
      <w:footerReference r:id="rId6"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41D96">
    <w:pPr>
      <w:pStyle w:val="18"/>
      <w:jc w:val="center"/>
    </w:pPr>
    <w:r>
      <w:rPr>
        <w:rFonts w:ascii="Times New Roman" w:hAnsi="Times New Roman"/>
        <w:sz w:val="18"/>
      </w:rPr>
      <w:t>CO4 Research Paper Review – House Valuation and Machine Learning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0474E">
    <w:pPr>
      <w:pStyle w:val="19"/>
    </w:pPr>
    <w:r>
      <w:rPr>
        <w:sz w:val="18"/>
      </w:rPr>
      <w:pict>
        <v:shape id="PowerPlusWaterMarkObject82215" o:spid="_x0000_s2049" o:spt="136" type="#_x0000_t136" style="position:absolute;left:0pt;height:20.1pt;width:198.05pt;mso-position-horizontal:right;mso-position-horizontal-relative:margin;mso-position-vertical:bottom;mso-position-vertical-relative:margin;z-index:-251657216;mso-width-relative:page;mso-height-relative:page;" fillcolor="#C0C0C0" filled="t" stroked="f" coordsize="21600,21600" adj="10800">
          <v:path/>
          <v:fill on="t" focussize="0,0"/>
          <v:stroke on="f"/>
          <v:imagedata o:title=""/>
          <o:lock v:ext="edit" aspectratio="t"/>
          <v:textpath on="t" fitshape="t" fitpath="t" trim="t" xscale="f" string="Anisha Jenifer (192511004)" style="font-family:Times New Roman;font-size:20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4F7B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698</Words>
  <Characters>4710</Characters>
  <Lines>0</Lines>
  <Paragraphs>0</Paragraphs>
  <TotalTime>2</TotalTime>
  <ScaleCrop>false</ScaleCrop>
  <LinksUpToDate>false</LinksUpToDate>
  <CharactersWithSpaces>5378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Hannah</cp:lastModifiedBy>
  <dcterms:modified xsi:type="dcterms:W3CDTF">2026-08-19T17:10:59Z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eyJoZGlkIjoiMWJmYmVhMGQ2YWQwOTc0ZDFkYmVkZTE0NzFkNThlYzIiLCJ1c2VySWQiOiI1Njc1OTExNDkxOTcifQ==</vt:lpwstr>
  </property>
  <property fmtid="{D5CDD505-2E9C-101B-9397-08002B2CF9AE}" pid="3" name="KSOProductBuildVer">
    <vt:lpwstr>1033-12.1.0.28032</vt:lpwstr>
  </property>
  <property fmtid="{D5CDD505-2E9C-101B-9397-08002B2CF9AE}" pid="4" name="ICV">
    <vt:lpwstr>3A0F340BC2554A0DA77F227A6FE346A2_12</vt:lpwstr>
  </property>
</Properties>
</file>