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066F0" w14:textId="77777777" w:rsidR="00770512" w:rsidRDefault="00770512">
      <w:pPr>
        <w:jc w:val="center"/>
        <w:rPr>
          <w:rFonts w:ascii="Arial" w:eastAsia="Arial" w:hAnsi="Arial" w:cs="Arial"/>
          <w:b/>
          <w:bCs/>
          <w:sz w:val="34"/>
          <w:szCs w:val="34"/>
        </w:rPr>
      </w:pPr>
    </w:p>
    <w:p w14:paraId="5C79DA28" w14:textId="77777777" w:rsidR="00770512" w:rsidRDefault="00000000">
      <w:pPr>
        <w:jc w:val="center"/>
        <w:rPr>
          <w:rFonts w:ascii="Arial" w:eastAsia="Arial" w:hAnsi="Arial" w:cs="Arial"/>
          <w:b/>
          <w:bCs/>
          <w:sz w:val="34"/>
          <w:szCs w:val="34"/>
        </w:rPr>
      </w:pPr>
      <w:r>
        <w:rPr>
          <w:rFonts w:ascii="Arial" w:eastAsia="Arial" w:hAnsi="Arial" w:cs="Arial"/>
          <w:b/>
          <w:bCs/>
          <w:sz w:val="34"/>
          <w:szCs w:val="34"/>
        </w:rPr>
        <w:t>SIMATS ENGINEERING</w:t>
      </w:r>
    </w:p>
    <w:p w14:paraId="49B3099F" w14:textId="77777777" w:rsidR="00770512" w:rsidRDefault="00000000">
      <w:pPr>
        <w:jc w:val="center"/>
        <w:rPr>
          <w:rFonts w:ascii="Arial" w:eastAsia="Arial" w:hAnsi="Arial" w:cs="Arial"/>
          <w:b/>
          <w:bCs/>
          <w:sz w:val="28"/>
          <w:szCs w:val="28"/>
        </w:rPr>
      </w:pPr>
      <w:r>
        <w:rPr>
          <w:rFonts w:ascii="Arial" w:eastAsia="Arial" w:hAnsi="Arial" w:cs="Arial"/>
          <w:b/>
          <w:bCs/>
          <w:sz w:val="28"/>
          <w:szCs w:val="28"/>
        </w:rPr>
        <w:t>ASSESSMENT TOOL 3</w:t>
      </w:r>
    </w:p>
    <w:p w14:paraId="7484F179" w14:textId="77777777" w:rsidR="00770512" w:rsidRDefault="00770512">
      <w:pPr>
        <w:jc w:val="center"/>
        <w:rPr>
          <w:rFonts w:ascii="Arial" w:eastAsia="Arial" w:hAnsi="Arial" w:cs="Arial"/>
          <w:b/>
          <w:bCs/>
          <w:sz w:val="34"/>
          <w:szCs w:val="34"/>
        </w:rPr>
      </w:pPr>
    </w:p>
    <w:p w14:paraId="2B30B18F" w14:textId="77777777" w:rsidR="00770512" w:rsidRDefault="00770512">
      <w:pPr>
        <w:jc w:val="center"/>
        <w:rPr>
          <w:rFonts w:ascii="Arial" w:eastAsia="Arial" w:hAnsi="Arial" w:cs="Arial"/>
          <w:b/>
          <w:bCs/>
          <w:sz w:val="34"/>
          <w:szCs w:val="34"/>
        </w:rPr>
      </w:pPr>
    </w:p>
    <w:p w14:paraId="06188582" w14:textId="77777777" w:rsidR="00770512" w:rsidRDefault="00000000">
      <w:pPr>
        <w:rPr>
          <w:rFonts w:ascii="Arial" w:eastAsia="Arial" w:hAnsi="Arial" w:cs="Arial"/>
          <w:b/>
          <w:bCs/>
        </w:rPr>
      </w:pPr>
      <w:r>
        <w:rPr>
          <w:rFonts w:ascii="Arial" w:eastAsia="Arial" w:hAnsi="Arial" w:cs="Arial"/>
          <w:b/>
          <w:bCs/>
        </w:rPr>
        <w:t>COURSE NAME: Artificial Intelligence</w:t>
      </w:r>
      <w:r>
        <w:rPr>
          <w:rFonts w:ascii="Arial" w:eastAsia="Arial" w:hAnsi="Arial" w:cs="Arial"/>
          <w:b/>
          <w:bCs/>
        </w:rPr>
        <w:tab/>
      </w:r>
      <w:r>
        <w:rPr>
          <w:rFonts w:ascii="Arial" w:eastAsia="Arial" w:hAnsi="Arial" w:cs="Arial"/>
          <w:b/>
          <w:bCs/>
        </w:rPr>
        <w:tab/>
        <w:t>COURSE CODE:</w:t>
      </w:r>
      <w:r>
        <w:rPr>
          <w:rFonts w:ascii="Arial" w:eastAsia="Arial" w:hAnsi="Arial" w:cs="Arial"/>
        </w:rPr>
        <w:t xml:space="preserve"> </w:t>
      </w:r>
      <w:r>
        <w:rPr>
          <w:rFonts w:ascii="Arial" w:eastAsia="Arial" w:hAnsi="Arial" w:cs="Arial"/>
          <w:b/>
          <w:bCs/>
        </w:rPr>
        <w:t>CSA17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75C6756F" w14:textId="77777777" w:rsidR="00770512" w:rsidRDefault="00770512">
      <w:pPr>
        <w:rPr>
          <w:rFonts w:ascii="Arial" w:eastAsia="Arial" w:hAnsi="Arial" w:cs="Arial"/>
          <w:b/>
          <w:bCs/>
        </w:rPr>
      </w:pPr>
    </w:p>
    <w:p w14:paraId="59941FC7" w14:textId="77777777" w:rsidR="00770512"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5548274B" wp14:editId="4C185DE2">
                <wp:extent cx="5742940" cy="23495"/>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6D0CDD8D" w14:textId="77777777" w:rsidR="00770512" w:rsidRDefault="00770512"/>
                        </w:txbxContent>
                      </wps:txbx>
                      <wps:bodyPr spcFirstLastPara="1" wrap="square" lIns="91425" tIns="91425" rIns="91425" bIns="91425" anchor="ctr" anchorCtr="0">
                        <a:noAutofit/>
                      </wps:bodyPr>
                    </wps:wsp>
                  </a:graphicData>
                </a:graphic>
              </wp:inline>
            </w:drawing>
          </mc:Choice>
          <mc:Fallback>
            <w:pict>
              <v:rect w14:anchorId="5548274B" id="Rectangle 2" o:spid="_x0000_s1026"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" filled="f">
                <v:stroke startarrowwidth="narrow" startarrowlength="short" endarrowwidth="narrow" endarrowlength="short"/>
                <v:textbox inset="2.53958mm,2.53958mm,2.53958mm,2.53958mm">
                  <w:txbxContent>
                    <w:p w14:paraId="6D0CDD8D" w14:textId="77777777" w:rsidR="00770512" w:rsidRDefault="00770512"/>
                  </w:txbxContent>
                </v:textbox>
                <w10:anchorlock/>
              </v:rect>
            </w:pict>
          </mc:Fallback>
        </mc:AlternateContent>
      </w:r>
    </w:p>
    <w:p w14:paraId="22940A42" w14:textId="77777777" w:rsidR="00770512" w:rsidRDefault="00770512">
      <w:pPr>
        <w:rPr>
          <w:rFonts w:ascii="Arial" w:eastAsia="Arial" w:hAnsi="Arial" w:cs="Arial"/>
          <w:b/>
          <w:bCs/>
        </w:rPr>
      </w:pPr>
    </w:p>
    <w:p w14:paraId="245A4E36" w14:textId="77777777" w:rsidR="00770512" w:rsidRDefault="00000000">
      <w:pPr>
        <w:rPr>
          <w:rFonts w:ascii="Arial" w:eastAsia="Arial" w:hAnsi="Arial" w:cs="Arial"/>
          <w:b/>
          <w:bCs/>
        </w:rPr>
      </w:pPr>
      <w:r>
        <w:rPr>
          <w:rFonts w:ascii="Arial" w:eastAsia="Arial" w:hAnsi="Arial" w:cs="Arial"/>
          <w:b/>
          <w:bCs/>
        </w:rPr>
        <w:t>COURSE OUTCOME COVERED</w:t>
      </w:r>
    </w:p>
    <w:p w14:paraId="377724FD" w14:textId="77777777" w:rsidR="00770512" w:rsidRDefault="00770512">
      <w:pPr>
        <w:rPr>
          <w:rFonts w:ascii="Arial" w:eastAsia="Arial" w:hAnsi="Arial" w:cs="Arial"/>
          <w:b/>
          <w:bCs/>
        </w:rPr>
      </w:pPr>
    </w:p>
    <w:p w14:paraId="70D2E0AA" w14:textId="77777777" w:rsidR="00770512" w:rsidRDefault="00000000">
      <w:pPr>
        <w:rPr>
          <w:rFonts w:ascii="Arial" w:eastAsia="Arial" w:hAnsi="Arial" w:cs="Arial"/>
          <w:i/>
          <w:iCs/>
          <w:color w:val="000000"/>
        </w:rPr>
      </w:pPr>
      <w:r>
        <w:rPr>
          <w:rFonts w:ascii="Arial" w:eastAsia="Arial" w:hAnsi="Arial" w:cs="Arial"/>
          <w:b/>
          <w:bCs/>
          <w:i/>
          <w:iCs/>
        </w:rPr>
        <w:t xml:space="preserve">CO4: </w:t>
      </w:r>
      <w:r>
        <w:rPr>
          <w:rFonts w:ascii="Arial" w:eastAsia="Arial" w:hAnsi="Arial" w:cs="Arial"/>
          <w:i/>
          <w:iCs/>
          <w:color w:val="000000"/>
        </w:rPr>
        <w:t xml:space="preserve">Implement machine learning techniques including decision tree algorithms, reinforcement learning, </w:t>
      </w:r>
    </w:p>
    <w:p w14:paraId="6501C308" w14:textId="77777777" w:rsidR="00770512" w:rsidRDefault="00000000">
      <w:pPr>
        <w:rPr>
          <w:rFonts w:ascii="Arial" w:eastAsia="Arial" w:hAnsi="Arial" w:cs="Arial"/>
          <w:i/>
          <w:iCs/>
          <w:color w:val="000000"/>
        </w:rPr>
      </w:pPr>
      <w:r>
        <w:rPr>
          <w:rFonts w:ascii="Arial" w:eastAsia="Arial" w:hAnsi="Arial" w:cs="Arial"/>
          <w:i/>
          <w:iCs/>
          <w:color w:val="000000"/>
        </w:rPr>
        <w:t>and build models for classification and decision-making. (BL3)</w:t>
      </w:r>
    </w:p>
    <w:p w14:paraId="0FA3EBB1" w14:textId="77777777" w:rsidR="00770512" w:rsidRDefault="00770512">
      <w:pPr>
        <w:rPr>
          <w:rFonts w:ascii="Arial" w:eastAsia="Arial" w:hAnsi="Arial" w:cs="Arial"/>
          <w:i/>
          <w:iCs/>
        </w:rPr>
      </w:pPr>
    </w:p>
    <w:p w14:paraId="1E959A5A" w14:textId="77777777" w:rsidR="00770512" w:rsidRDefault="00000000">
      <w:pPr>
        <w:rPr>
          <w:rFonts w:ascii="Arial" w:eastAsia="Arial" w:hAnsi="Arial" w:cs="Arial"/>
          <w:i/>
          <w:iCs/>
        </w:rPr>
      </w:pPr>
      <w:r>
        <w:rPr>
          <w:rFonts w:ascii="Arial" w:eastAsia="Arial" w:hAnsi="Arial" w:cs="Arial"/>
          <w:i/>
          <w:iCs/>
        </w:rPr>
        <w:t xml:space="preserve">Assessment Tool Weightage: </w:t>
      </w:r>
      <w:r>
        <w:rPr>
          <w:rFonts w:ascii="Arial" w:eastAsia="Arial" w:hAnsi="Arial" w:cs="Arial"/>
          <w:i/>
          <w:iCs/>
          <w:lang w:val="en-US"/>
        </w:rPr>
        <w:t>5</w:t>
      </w:r>
      <w:r>
        <w:rPr>
          <w:rFonts w:ascii="Arial" w:eastAsia="Arial" w:hAnsi="Arial" w:cs="Arial"/>
          <w:i/>
          <w:iCs/>
        </w:rPr>
        <w:t>0%</w:t>
      </w:r>
    </w:p>
    <w:p w14:paraId="6C4F393F" w14:textId="77777777" w:rsidR="00770512" w:rsidRDefault="00770512">
      <w:pPr>
        <w:rPr>
          <w:rFonts w:ascii="Arial" w:eastAsia="Arial" w:hAnsi="Arial" w:cs="Arial"/>
          <w:i/>
          <w:iCs/>
        </w:rPr>
      </w:pPr>
    </w:p>
    <w:p w14:paraId="36541BD3" w14:textId="77777777" w:rsidR="00770512" w:rsidRDefault="00000000">
      <w:pPr>
        <w:rPr>
          <w:rFonts w:ascii="Arial" w:eastAsia="Arial" w:hAnsi="Arial" w:cs="Arial"/>
        </w:rPr>
      </w:pPr>
      <w:r>
        <w:rPr>
          <w:rFonts w:ascii="Arial" w:eastAsia="Arial" w:hAnsi="Arial" w:cs="Arial"/>
          <w:noProof/>
          <w:sz w:val="22"/>
          <w:szCs w:val="22"/>
        </w:rPr>
        <mc:AlternateContent>
          <mc:Choice Requires="wps">
            <w:drawing>
              <wp:inline distT="0" distB="0" distL="0" distR="0" wp14:anchorId="5DD687AF" wp14:editId="0A202396">
                <wp:extent cx="5742940" cy="23495"/>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057B4E14" w14:textId="77777777" w:rsidR="00770512" w:rsidRDefault="00770512"/>
                        </w:txbxContent>
                      </wps:txbx>
                      <wps:bodyPr spcFirstLastPara="1" wrap="square" lIns="91425" tIns="91425" rIns="91425" bIns="91425" anchor="ctr" anchorCtr="0">
                        <a:noAutofit/>
                      </wps:bodyPr>
                    </wps:wsp>
                  </a:graphicData>
                </a:graphic>
              </wp:inline>
            </w:drawing>
          </mc:Choice>
          <mc:Fallback>
            <w:pict>
              <v:rect w14:anchorId="5DD687AF" id="Rectangle 1" o:spid="_x0000_s1027"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MIUgR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057B4E14" w14:textId="77777777" w:rsidR="00770512" w:rsidRDefault="00770512"/>
                  </w:txbxContent>
                </v:textbox>
                <w10:anchorlock/>
              </v:rect>
            </w:pict>
          </mc:Fallback>
        </mc:AlternateContent>
      </w:r>
    </w:p>
    <w:p w14:paraId="53BC43E5" w14:textId="5A153722" w:rsidR="00770512" w:rsidRDefault="00000000">
      <w:pPr>
        <w:rPr>
          <w:rFonts w:ascii="Arial" w:eastAsia="Arial" w:hAnsi="Arial" w:cs="Arial"/>
          <w:b/>
          <w:bCs/>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sidR="00FD6B8C">
        <w:rPr>
          <w:rFonts w:ascii="Arial" w:eastAsia="Arial" w:hAnsi="Arial" w:cs="Arial"/>
          <w:b/>
          <w:bCs/>
        </w:rPr>
        <w:t>Duration:</w:t>
      </w:r>
      <w:r>
        <w:rPr>
          <w:rFonts w:ascii="Arial" w:eastAsia="Arial" w:hAnsi="Arial" w:cs="Arial"/>
          <w:b/>
          <w:bCs/>
        </w:rPr>
        <w:t xml:space="preserve"> 1 hour</w:t>
      </w:r>
    </w:p>
    <w:p w14:paraId="788584A6" w14:textId="77777777" w:rsidR="00770512" w:rsidRDefault="00770512">
      <w:pPr>
        <w:rPr>
          <w:rFonts w:ascii="Arial" w:eastAsia="Arial" w:hAnsi="Arial" w:cs="Arial"/>
        </w:rPr>
      </w:pPr>
    </w:p>
    <w:p w14:paraId="353EDA0D" w14:textId="77777777" w:rsidR="00770512" w:rsidRDefault="00000000">
      <w:pPr>
        <w:rPr>
          <w:rFonts w:ascii="Arial" w:eastAsia="Arial" w:hAnsi="Arial" w:cs="Arial"/>
          <w:b/>
          <w:bCs/>
        </w:rPr>
      </w:pPr>
      <w:r>
        <w:rPr>
          <w:rFonts w:ascii="Arial" w:eastAsia="Arial" w:hAnsi="Arial" w:cs="Arial"/>
          <w:b/>
          <w:bCs/>
        </w:rPr>
        <w:t>QUESTIONS: 4</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Total Marks:40</w:t>
      </w:r>
    </w:p>
    <w:p w14:paraId="47400767" w14:textId="77777777" w:rsidR="00770512" w:rsidRDefault="00000000">
      <w:pPr>
        <w:rPr>
          <w:rFonts w:ascii="Arial" w:eastAsia="Arial" w:hAnsi="Arial" w:cs="Arial"/>
        </w:rPr>
      </w:pPr>
      <w:r>
        <w:rPr>
          <w:rFonts w:ascii="Arial" w:eastAsia="Arial" w:hAnsi="Arial" w:cs="Arial"/>
        </w:rPr>
        <w:t xml:space="preserve">   </w:t>
      </w:r>
    </w:p>
    <w:p w14:paraId="7E68DCB8" w14:textId="77777777" w:rsidR="00770512" w:rsidRDefault="00000000">
      <w:pPr>
        <w:jc w:val="center"/>
        <w:rPr>
          <w:rFonts w:ascii="Arial" w:eastAsia="Arial" w:hAnsi="Arial" w:cs="Arial"/>
        </w:rPr>
      </w:pPr>
      <w:r>
        <w:rPr>
          <w:rFonts w:ascii="Arial" w:eastAsia="Arial" w:hAnsi="Arial" w:cs="Arial"/>
        </w:rPr>
        <w:t>Annexure A</w:t>
      </w:r>
    </w:p>
    <w:p w14:paraId="17E88B0A" w14:textId="77777777" w:rsidR="00770512" w:rsidRDefault="00770512">
      <w:pPr>
        <w:jc w:val="center"/>
        <w:rPr>
          <w:rFonts w:ascii="Arial" w:eastAsia="Arial" w:hAnsi="Arial" w:cs="Arial"/>
          <w:b/>
          <w:bCs/>
        </w:rPr>
      </w:pPr>
    </w:p>
    <w:p w14:paraId="4F2AAC6A" w14:textId="77777777" w:rsidR="00770512" w:rsidRDefault="00000000">
      <w:pPr>
        <w:spacing w:before="80" w:after="40"/>
        <w:jc w:val="center"/>
        <w:rPr>
          <w:rFonts w:ascii="Arial" w:eastAsia="Arial" w:hAnsi="Arial" w:cs="Arial"/>
          <w:i/>
          <w:iCs/>
        </w:rPr>
      </w:pPr>
      <w:r>
        <w:rPr>
          <w:rFonts w:ascii="Arial" w:eastAsia="Arial" w:hAnsi="Arial" w:cs="Arial"/>
          <w:b/>
          <w:bCs/>
        </w:rPr>
        <w:t>ARTICLE REVIEW</w:t>
      </w:r>
    </w:p>
    <w:p w14:paraId="332537AC" w14:textId="77777777" w:rsidR="00770512" w:rsidRDefault="00770512">
      <w:pPr>
        <w:rPr>
          <w:rFonts w:ascii="Arial" w:eastAsia="Arial" w:hAnsi="Arial" w:cs="Arial"/>
          <w:b/>
          <w:bCs/>
        </w:rPr>
      </w:pPr>
    </w:p>
    <w:p w14:paraId="35D5A12B" w14:textId="77777777" w:rsidR="00770512"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0E01F142" wp14:editId="7B913A8E">
                <wp:extent cx="5742940" cy="23495"/>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4AD4E809" w14:textId="77777777" w:rsidR="00770512" w:rsidRDefault="00770512"/>
                        </w:txbxContent>
                      </wps:txbx>
                      <wps:bodyPr spcFirstLastPara="1" wrap="square" lIns="91425" tIns="91425" rIns="91425" bIns="91425" anchor="ctr" anchorCtr="0">
                        <a:noAutofit/>
                      </wps:bodyPr>
                    </wps:wsp>
                  </a:graphicData>
                </a:graphic>
              </wp:inline>
            </w:drawing>
          </mc:Choice>
          <mc:Fallback>
            <w:pict>
              <v:rect w14:anchorId="0E01F142" id="Rectangle 3" o:spid="_x0000_s1028"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IXrhyh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4AD4E809" w14:textId="77777777" w:rsidR="00770512" w:rsidRDefault="00770512"/>
                  </w:txbxContent>
                </v:textbox>
                <w10:anchorlock/>
              </v:rect>
            </w:pict>
          </mc:Fallback>
        </mc:AlternateContent>
      </w:r>
    </w:p>
    <w:p w14:paraId="5F94C6BC" w14:textId="77777777" w:rsidR="00770512" w:rsidRDefault="00770512">
      <w:pPr>
        <w:rPr>
          <w:rFonts w:ascii="Arial" w:eastAsia="Arial" w:hAnsi="Arial" w:cs="Arial"/>
          <w:b/>
          <w:bCs/>
        </w:rPr>
      </w:pPr>
    </w:p>
    <w:p w14:paraId="69990B83" w14:textId="77777777" w:rsidR="00770512" w:rsidRDefault="00770512">
      <w:pPr>
        <w:rPr>
          <w:rFonts w:ascii="Arial" w:eastAsia="Arial" w:hAnsi="Arial" w:cs="Arial"/>
          <w:b/>
          <w:bCs/>
          <w:i/>
          <w:iCs/>
        </w:rPr>
      </w:pPr>
    </w:p>
    <w:p w14:paraId="2F5B8C0A" w14:textId="77777777" w:rsidR="00770512" w:rsidRDefault="00770512">
      <w:pPr>
        <w:rPr>
          <w:rFonts w:ascii="Arial" w:eastAsia="Arial" w:hAnsi="Arial" w:cs="Arial"/>
          <w:b/>
          <w:bCs/>
          <w:i/>
          <w:iCs/>
        </w:rPr>
      </w:pPr>
    </w:p>
    <w:p w14:paraId="6618213D" w14:textId="77777777" w:rsidR="00770512" w:rsidRDefault="00000000">
      <w:pPr>
        <w:rPr>
          <w:rFonts w:ascii="Arial" w:eastAsia="Arial" w:hAnsi="Arial" w:cs="Arial"/>
          <w:b/>
          <w:bCs/>
          <w:i/>
          <w:iCs/>
        </w:rPr>
      </w:pPr>
      <w:r>
        <w:rPr>
          <w:rFonts w:ascii="Arial" w:eastAsia="Arial" w:hAnsi="Arial" w:cs="Arial"/>
          <w:b/>
          <w:bCs/>
          <w:i/>
          <w:iCs/>
        </w:rPr>
        <w:t>Code of Conduct:</w:t>
      </w:r>
    </w:p>
    <w:p w14:paraId="46C0178C" w14:textId="77777777" w:rsidR="00770512" w:rsidRDefault="00770512">
      <w:pPr>
        <w:rPr>
          <w:rFonts w:ascii="Arial" w:eastAsia="Arial" w:hAnsi="Arial" w:cs="Arial"/>
          <w:i/>
          <w:iCs/>
        </w:rPr>
      </w:pPr>
    </w:p>
    <w:p w14:paraId="52542F66" w14:textId="188F97A3" w:rsidR="00770512" w:rsidRDefault="00000000">
      <w:pPr>
        <w:jc w:val="both"/>
        <w:rPr>
          <w:rFonts w:ascii="Arial" w:eastAsia="Arial" w:hAnsi="Arial" w:cs="Arial"/>
          <w:i/>
          <w:iCs/>
        </w:rPr>
      </w:pPr>
      <w:r>
        <w:rPr>
          <w:rFonts w:ascii="Arial" w:eastAsia="Arial" w:hAnsi="Arial" w:cs="Arial"/>
          <w:i/>
          <w:iCs/>
        </w:rPr>
        <w:t xml:space="preserve">I </w:t>
      </w:r>
      <w:r w:rsidR="00FD6B8C" w:rsidRPr="00FD6B8C">
        <w:rPr>
          <w:rFonts w:ascii="Arial" w:eastAsia="Arial" w:hAnsi="Arial" w:cs="Arial"/>
          <w:i/>
          <w:iCs/>
          <w:u w:val="single"/>
        </w:rPr>
        <w:t>SHAILAJA S (192511026)</w:t>
      </w:r>
      <w:r w:rsidR="00FD6B8C">
        <w:rPr>
          <w:rFonts w:ascii="Arial" w:eastAsia="Arial" w:hAnsi="Arial" w:cs="Arial"/>
          <w:i/>
          <w:iCs/>
        </w:rPr>
        <w:t xml:space="preserve"> </w:t>
      </w:r>
      <w:r>
        <w:rPr>
          <w:rFonts w:ascii="Arial" w:eastAsia="Arial" w:hAnsi="Arial" w:cs="Arial"/>
          <w:i/>
          <w:iCs/>
        </w:rPr>
        <w:t xml:space="preserve">(Name / Reg No) certify that this submission is my original work and that I have adhered </w:t>
      </w:r>
    </w:p>
    <w:p w14:paraId="02AB3838" w14:textId="77777777" w:rsidR="00770512" w:rsidRDefault="00000000">
      <w:pPr>
        <w:jc w:val="both"/>
        <w:rPr>
          <w:rFonts w:ascii="Arial" w:eastAsia="Arial" w:hAnsi="Arial" w:cs="Arial"/>
          <w:i/>
          <w:iCs/>
        </w:rPr>
      </w:pPr>
      <w:r>
        <w:rPr>
          <w:rFonts w:ascii="Arial" w:eastAsia="Arial" w:hAnsi="Arial" w:cs="Arial"/>
          <w:i/>
          <w:iCs/>
        </w:rPr>
        <w:t>to the guidelines specified for this assessment.</w:t>
      </w:r>
    </w:p>
    <w:p w14:paraId="7D987FDA" w14:textId="77777777" w:rsidR="00770512" w:rsidRDefault="00000000">
      <w:pPr>
        <w:jc w:val="both"/>
        <w:rPr>
          <w:rFonts w:ascii="Arial" w:eastAsia="Arial" w:hAnsi="Arial" w:cs="Arial"/>
          <w:i/>
          <w:iCs/>
        </w:rPr>
      </w:pPr>
      <w:r>
        <w:rPr>
          <w:rFonts w:ascii="Arial" w:eastAsia="Arial" w:hAnsi="Arial" w:cs="Arial"/>
          <w:i/>
          <w:iCs/>
        </w:rPr>
        <w:t>I understand that any violation of academic integrity rules will result in disciplinary action.</w:t>
      </w:r>
    </w:p>
    <w:p w14:paraId="5E6DC149" w14:textId="77777777" w:rsidR="00770512" w:rsidRDefault="00770512">
      <w:pPr>
        <w:rPr>
          <w:rFonts w:ascii="Arial" w:eastAsia="Arial" w:hAnsi="Arial" w:cs="Arial"/>
          <w:i/>
          <w:iCs/>
        </w:rPr>
      </w:pPr>
    </w:p>
    <w:p w14:paraId="339CFE70" w14:textId="77777777" w:rsidR="00770512" w:rsidRDefault="00000000">
      <w:pPr>
        <w:rPr>
          <w:rFonts w:ascii="Arial" w:eastAsia="Arial" w:hAnsi="Arial" w:cs="Arial"/>
          <w:b/>
          <w:bCs/>
          <w:i/>
          <w:iCs/>
        </w:rPr>
      </w:pPr>
      <w:r>
        <w:rPr>
          <w:rFonts w:ascii="Arial" w:eastAsia="Arial" w:hAnsi="Arial" w:cs="Arial"/>
          <w:b/>
          <w:bCs/>
          <w:i/>
          <w:iCs/>
        </w:rPr>
        <w:t>Signature of the student:</w:t>
      </w:r>
    </w:p>
    <w:p w14:paraId="28D9DE43" w14:textId="77777777" w:rsidR="00770512" w:rsidRDefault="00000000">
      <w:pPr>
        <w:rPr>
          <w:rFonts w:ascii="Arial" w:eastAsia="Arial" w:hAnsi="Arial" w:cs="Arial"/>
        </w:rPr>
      </w:pPr>
      <w:r>
        <w:br w:type="page"/>
      </w:r>
    </w:p>
    <w:p w14:paraId="4930866F" w14:textId="77777777" w:rsidR="00770512" w:rsidRDefault="00000000">
      <w:pPr>
        <w:jc w:val="center"/>
        <w:rPr>
          <w:rFonts w:ascii="Arial" w:eastAsia="Arial" w:hAnsi="Arial" w:cs="Arial"/>
          <w:sz w:val="24"/>
          <w:szCs w:val="24"/>
        </w:rPr>
      </w:pPr>
      <w:r>
        <w:rPr>
          <w:rFonts w:ascii="Arial" w:eastAsia="Arial" w:hAnsi="Arial" w:cs="Arial"/>
          <w:sz w:val="24"/>
          <w:szCs w:val="24"/>
        </w:rPr>
        <w:lastRenderedPageBreak/>
        <w:t>Annexure A</w:t>
      </w:r>
    </w:p>
    <w:p w14:paraId="65A21ED9" w14:textId="77777777" w:rsidR="00770512" w:rsidRDefault="00770512">
      <w:pPr>
        <w:jc w:val="center"/>
        <w:rPr>
          <w:rFonts w:ascii="Arial" w:eastAsia="Arial" w:hAnsi="Arial" w:cs="Arial"/>
          <w:b/>
          <w:bCs/>
        </w:rPr>
      </w:pPr>
    </w:p>
    <w:p w14:paraId="17865276" w14:textId="77777777" w:rsidR="00770512" w:rsidRDefault="00000000">
      <w:pPr>
        <w:pBdr>
          <w:bottom w:val="single" w:sz="6" w:space="1" w:color="000000"/>
        </w:pBdr>
        <w:spacing w:after="60"/>
        <w:jc w:val="center"/>
        <w:rPr>
          <w:rFonts w:ascii="Arial" w:eastAsia="Arial" w:hAnsi="Arial" w:cs="Arial"/>
          <w:b/>
          <w:bCs/>
          <w:sz w:val="24"/>
          <w:szCs w:val="24"/>
        </w:rPr>
      </w:pPr>
      <w:r>
        <w:rPr>
          <w:rFonts w:ascii="Arial" w:eastAsia="Arial" w:hAnsi="Arial" w:cs="Arial"/>
          <w:b/>
          <w:bCs/>
          <w:sz w:val="24"/>
          <w:szCs w:val="24"/>
        </w:rPr>
        <w:t>ARTICLE REVIEW</w:t>
      </w:r>
    </w:p>
    <w:p w14:paraId="1716345D" w14:textId="77777777" w:rsidR="00770512" w:rsidRDefault="00770512">
      <w:pPr>
        <w:pBdr>
          <w:bottom w:val="single" w:sz="6" w:space="1" w:color="000000"/>
        </w:pBdr>
        <w:spacing w:after="60"/>
        <w:jc w:val="center"/>
        <w:rPr>
          <w:rFonts w:ascii="Arial" w:eastAsia="Arial" w:hAnsi="Arial" w:cs="Arial"/>
          <w:b/>
          <w:bCs/>
          <w:sz w:val="24"/>
          <w:szCs w:val="24"/>
        </w:rPr>
      </w:pPr>
    </w:p>
    <w:p w14:paraId="49E38FCD" w14:textId="77777777" w:rsidR="00770512" w:rsidRDefault="00770512">
      <w:pPr>
        <w:tabs>
          <w:tab w:val="left" w:pos="9810"/>
        </w:tabs>
        <w:spacing w:before="100" w:after="40"/>
        <w:rPr>
          <w:rFonts w:ascii="Arial" w:eastAsia="Arial" w:hAnsi="Arial" w:cs="Arial"/>
          <w:b/>
          <w:bCs/>
          <w:sz w:val="22"/>
          <w:szCs w:val="22"/>
          <w:u w:val="single"/>
        </w:rPr>
      </w:pPr>
    </w:p>
    <w:p w14:paraId="3A109845" w14:textId="77777777" w:rsidR="00770512" w:rsidRDefault="00000000">
      <w:pPr>
        <w:tabs>
          <w:tab w:val="left" w:pos="9810"/>
        </w:tabs>
        <w:spacing w:before="100" w:after="40"/>
        <w:ind w:right="802"/>
        <w:rPr>
          <w:rFonts w:ascii="Arial" w:eastAsia="Arial" w:hAnsi="Arial" w:cs="Arial"/>
        </w:rPr>
      </w:pPr>
      <w:r>
        <w:rPr>
          <w:rFonts w:ascii="Arial" w:eastAsia="Arial" w:hAnsi="Arial" w:cs="Arial"/>
          <w:b/>
          <w:bCs/>
          <w:sz w:val="22"/>
          <w:szCs w:val="22"/>
          <w:u w:val="single"/>
        </w:rPr>
        <w:t>INSTRUCTIONS</w:t>
      </w:r>
    </w:p>
    <w:p w14:paraId="29AE5F04" w14:textId="77777777" w:rsidR="00770512" w:rsidRDefault="00000000">
      <w:pPr>
        <w:tabs>
          <w:tab w:val="left" w:pos="9810"/>
        </w:tabs>
        <w:spacing w:after="40"/>
        <w:ind w:right="802"/>
        <w:jc w:val="both"/>
        <w:rPr>
          <w:rFonts w:ascii="Arial" w:eastAsia="Arial" w:hAnsi="Arial" w:cs="Arial"/>
        </w:rPr>
      </w:pPr>
      <w:r>
        <w:rPr>
          <w:rFonts w:ascii="Arial" w:eastAsia="Arial" w:hAnsi="Arial" w:cs="Arial"/>
          <w:sz w:val="22"/>
          <w:szCs w:val="22"/>
        </w:rPr>
        <w:t xml:space="preserve">Select any ONE peer-reviewed research article (published after 2019) from IEEE Xplore, Springer, Elsevier, or ACM Digital Library related to any of the following topics: </w:t>
      </w:r>
      <w:r>
        <w:rPr>
          <w:rFonts w:ascii="Arial" w:eastAsia="Arial" w:hAnsi="Arial" w:cs="Arial"/>
          <w:i/>
          <w:iCs/>
          <w:sz w:val="22"/>
          <w:szCs w:val="22"/>
        </w:rPr>
        <w:t>Inductive Learning, Decision Trees, Statistical Learning Methods (Naïve Bayes / Logistic Regression / SVM), or Reinforcement Learning applications.</w:t>
      </w:r>
    </w:p>
    <w:p w14:paraId="217FEF07" w14:textId="49605C66" w:rsidR="00770512" w:rsidRDefault="00000000">
      <w:pPr>
        <w:tabs>
          <w:tab w:val="left" w:pos="9810"/>
        </w:tabs>
        <w:spacing w:after="80"/>
        <w:ind w:right="802"/>
        <w:jc w:val="both"/>
        <w:rPr>
          <w:rFonts w:ascii="Arial" w:eastAsia="Arial" w:hAnsi="Arial" w:cs="Arial"/>
        </w:rPr>
      </w:pPr>
      <w:r>
        <w:rPr>
          <w:rFonts w:ascii="Arial" w:eastAsia="Arial" w:hAnsi="Arial" w:cs="Arial"/>
          <w:i/>
          <w:iCs/>
          <w:sz w:val="22"/>
          <w:szCs w:val="22"/>
        </w:rPr>
        <w:t>Submit: (</w:t>
      </w:r>
      <w:proofErr w:type="spellStart"/>
      <w:r>
        <w:rPr>
          <w:rFonts w:ascii="Arial" w:eastAsia="Arial" w:hAnsi="Arial" w:cs="Arial"/>
          <w:i/>
          <w:iCs/>
          <w:sz w:val="22"/>
          <w:szCs w:val="22"/>
        </w:rPr>
        <w:t>i</w:t>
      </w:r>
      <w:proofErr w:type="spellEnd"/>
      <w:r>
        <w:rPr>
          <w:rFonts w:ascii="Arial" w:eastAsia="Arial" w:hAnsi="Arial" w:cs="Arial"/>
          <w:i/>
          <w:iCs/>
          <w:sz w:val="22"/>
          <w:szCs w:val="22"/>
        </w:rPr>
        <w:t xml:space="preserve">) Article citation </w:t>
      </w:r>
      <w:r w:rsidR="00FD6B8C">
        <w:rPr>
          <w:rFonts w:ascii="Arial" w:eastAsia="Arial" w:hAnsi="Arial" w:cs="Arial"/>
          <w:i/>
          <w:iCs/>
          <w:sz w:val="22"/>
          <w:szCs w:val="22"/>
        </w:rPr>
        <w:t>details (</w:t>
      </w:r>
      <w:r>
        <w:rPr>
          <w:rFonts w:ascii="Arial" w:eastAsia="Arial" w:hAnsi="Arial" w:cs="Arial"/>
          <w:i/>
          <w:iCs/>
          <w:sz w:val="22"/>
          <w:szCs w:val="22"/>
        </w:rPr>
        <w:t xml:space="preserve">ii) PDF or valid DOI </w:t>
      </w:r>
      <w:r w:rsidR="00FD6B8C">
        <w:rPr>
          <w:rFonts w:ascii="Arial" w:eastAsia="Arial" w:hAnsi="Arial" w:cs="Arial"/>
          <w:i/>
          <w:iCs/>
          <w:sz w:val="22"/>
          <w:szCs w:val="22"/>
        </w:rPr>
        <w:t>link (</w:t>
      </w:r>
      <w:r>
        <w:rPr>
          <w:rFonts w:ascii="Arial" w:eastAsia="Arial" w:hAnsi="Arial" w:cs="Arial"/>
          <w:i/>
          <w:iCs/>
          <w:sz w:val="22"/>
          <w:szCs w:val="22"/>
        </w:rPr>
        <w:t>iii) Written review as per the tasks below.</w:t>
      </w:r>
    </w:p>
    <w:p w14:paraId="44019976" w14:textId="77777777" w:rsidR="00770512" w:rsidRDefault="00770512">
      <w:pPr>
        <w:tabs>
          <w:tab w:val="left" w:pos="9810"/>
        </w:tabs>
        <w:spacing w:before="80" w:after="40"/>
        <w:ind w:right="802"/>
        <w:jc w:val="both"/>
        <w:rPr>
          <w:rFonts w:ascii="Arial" w:eastAsia="Arial" w:hAnsi="Arial" w:cs="Arial"/>
          <w:b/>
          <w:bCs/>
          <w:sz w:val="22"/>
          <w:szCs w:val="22"/>
        </w:rPr>
      </w:pPr>
    </w:p>
    <w:p w14:paraId="0C692D5F" w14:textId="77777777" w:rsidR="00770512" w:rsidRDefault="00000000">
      <w:pPr>
        <w:tabs>
          <w:tab w:val="left" w:pos="9810"/>
        </w:tabs>
        <w:spacing w:before="80" w:after="40"/>
        <w:ind w:right="802"/>
        <w:jc w:val="both"/>
        <w:rPr>
          <w:rFonts w:ascii="Arial" w:eastAsia="Arial" w:hAnsi="Arial" w:cs="Arial"/>
        </w:rPr>
      </w:pPr>
      <w:r>
        <w:rPr>
          <w:rFonts w:ascii="Arial" w:eastAsia="Arial" w:hAnsi="Arial" w:cs="Arial"/>
          <w:b/>
          <w:bCs/>
          <w:sz w:val="22"/>
          <w:szCs w:val="22"/>
        </w:rPr>
        <w:t xml:space="preserve">Task 1: Article Summary  </w:t>
      </w:r>
      <w:r>
        <w:rPr>
          <w:rFonts w:ascii="Arial" w:eastAsia="Arial" w:hAnsi="Arial" w:cs="Arial"/>
          <w:b/>
          <w:bCs/>
          <w:i/>
          <w:iCs/>
          <w:sz w:val="22"/>
          <w:szCs w:val="22"/>
        </w:rPr>
        <w:t xml:space="preserve"> </w:t>
      </w:r>
    </w:p>
    <w:p w14:paraId="39FE3F66" w14:textId="77777777" w:rsidR="00770512" w:rsidRDefault="00000000">
      <w:pPr>
        <w:tabs>
          <w:tab w:val="left" w:pos="9810"/>
        </w:tabs>
        <w:spacing w:after="30"/>
        <w:ind w:right="802"/>
        <w:jc w:val="both"/>
        <w:rPr>
          <w:rFonts w:ascii="Arial" w:eastAsia="Arial" w:hAnsi="Arial" w:cs="Arial"/>
        </w:rPr>
      </w:pPr>
      <w:r>
        <w:rPr>
          <w:rFonts w:ascii="Arial" w:eastAsia="Arial" w:hAnsi="Arial" w:cs="Arial"/>
          <w:b/>
          <w:bCs/>
          <w:sz w:val="22"/>
          <w:szCs w:val="22"/>
        </w:rPr>
        <w:t xml:space="preserve">(a) </w:t>
      </w:r>
      <w:r>
        <w:rPr>
          <w:rFonts w:ascii="Arial" w:eastAsia="Arial" w:hAnsi="Arial" w:cs="Arial"/>
          <w:sz w:val="22"/>
          <w:szCs w:val="22"/>
        </w:rPr>
        <w:t xml:space="preserve">Provide the full citation of the article (Author(s), Title, Journal/Conference, Year, DOI). State the domain/application area and the specific ML problem addressed.  </w:t>
      </w:r>
    </w:p>
    <w:p w14:paraId="69D2F422" w14:textId="77777777" w:rsidR="00770512" w:rsidRDefault="00000000">
      <w:pPr>
        <w:tabs>
          <w:tab w:val="left" w:pos="9810"/>
        </w:tabs>
        <w:spacing w:before="30" w:after="60"/>
        <w:ind w:right="802"/>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 xml:space="preserve">Summarise the key objective of the article in your own words (150–200 words). Clearly state the research gap the authors identified and how they proposed to fill it. </w:t>
      </w:r>
    </w:p>
    <w:p w14:paraId="5CECB283" w14:textId="77777777" w:rsidR="00770512" w:rsidRDefault="00770512">
      <w:pPr>
        <w:tabs>
          <w:tab w:val="left" w:pos="9810"/>
        </w:tabs>
        <w:spacing w:before="60" w:after="40"/>
        <w:ind w:right="802"/>
        <w:jc w:val="both"/>
        <w:rPr>
          <w:rFonts w:ascii="Arial" w:eastAsia="Arial" w:hAnsi="Arial" w:cs="Arial"/>
          <w:b/>
          <w:bCs/>
          <w:sz w:val="22"/>
          <w:szCs w:val="22"/>
        </w:rPr>
      </w:pPr>
    </w:p>
    <w:p w14:paraId="7F893695" w14:textId="77777777" w:rsidR="00770512" w:rsidRDefault="00000000">
      <w:pPr>
        <w:tabs>
          <w:tab w:val="left" w:pos="9810"/>
        </w:tabs>
        <w:spacing w:before="60" w:after="40"/>
        <w:ind w:right="802"/>
        <w:jc w:val="both"/>
        <w:rPr>
          <w:rFonts w:ascii="Arial" w:eastAsia="Arial" w:hAnsi="Arial" w:cs="Arial"/>
        </w:rPr>
      </w:pPr>
      <w:r>
        <w:rPr>
          <w:rFonts w:ascii="Arial" w:eastAsia="Arial" w:hAnsi="Arial" w:cs="Arial"/>
          <w:b/>
          <w:bCs/>
          <w:sz w:val="22"/>
          <w:szCs w:val="22"/>
        </w:rPr>
        <w:t xml:space="preserve">Task 2: Methodology Analysis </w:t>
      </w:r>
      <w:r>
        <w:rPr>
          <w:rFonts w:ascii="Arial" w:eastAsia="Arial" w:hAnsi="Arial" w:cs="Arial"/>
          <w:b/>
          <w:bCs/>
          <w:i/>
          <w:iCs/>
          <w:sz w:val="22"/>
          <w:szCs w:val="22"/>
        </w:rPr>
        <w:t xml:space="preserve"> </w:t>
      </w:r>
    </w:p>
    <w:p w14:paraId="4E000104" w14:textId="77777777" w:rsidR="00770512" w:rsidRDefault="00000000">
      <w:pPr>
        <w:tabs>
          <w:tab w:val="left" w:pos="9810"/>
        </w:tabs>
        <w:spacing w:after="30"/>
        <w:ind w:right="802"/>
        <w:jc w:val="both"/>
        <w:rPr>
          <w:rFonts w:ascii="Arial" w:eastAsia="Arial" w:hAnsi="Arial" w:cs="Arial"/>
        </w:rPr>
      </w:pPr>
      <w:r>
        <w:rPr>
          <w:rFonts w:ascii="Arial" w:eastAsia="Arial" w:hAnsi="Arial" w:cs="Arial"/>
          <w:b/>
          <w:bCs/>
          <w:sz w:val="22"/>
          <w:szCs w:val="22"/>
        </w:rPr>
        <w:t xml:space="preserve">(a) </w:t>
      </w:r>
      <w:r>
        <w:rPr>
          <w:rFonts w:ascii="Arial" w:eastAsia="Arial" w:hAnsi="Arial" w:cs="Arial"/>
          <w:sz w:val="22"/>
          <w:szCs w:val="22"/>
        </w:rPr>
        <w:t xml:space="preserve">Explain the ML technique(s) used in the article (e.g., Decision Tree variant, RL algorithm, Statistical model). Describe the dataset used—size, features, source, and how it was prepared.  </w:t>
      </w:r>
    </w:p>
    <w:p w14:paraId="7133DF46" w14:textId="77777777" w:rsidR="00770512" w:rsidRDefault="00000000">
      <w:pPr>
        <w:tabs>
          <w:tab w:val="left" w:pos="9810"/>
        </w:tabs>
        <w:spacing w:before="30" w:after="60"/>
        <w:ind w:right="802"/>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Map the technique to CO 4 topics (Inductive Learning / Decision Trees / Statistical Learning / RL). Identify one methodological strength and one limitation in the authors' approach.</w:t>
      </w:r>
    </w:p>
    <w:p w14:paraId="6E09850D" w14:textId="77777777" w:rsidR="00770512" w:rsidRDefault="00770512">
      <w:pPr>
        <w:tabs>
          <w:tab w:val="left" w:pos="9810"/>
        </w:tabs>
        <w:spacing w:before="60" w:after="40"/>
        <w:ind w:right="802"/>
        <w:jc w:val="both"/>
        <w:rPr>
          <w:rFonts w:ascii="Arial" w:eastAsia="Arial" w:hAnsi="Arial" w:cs="Arial"/>
          <w:b/>
          <w:bCs/>
          <w:sz w:val="22"/>
          <w:szCs w:val="22"/>
        </w:rPr>
      </w:pPr>
    </w:p>
    <w:p w14:paraId="7E42310A" w14:textId="77777777" w:rsidR="00770512" w:rsidRDefault="00000000">
      <w:pPr>
        <w:tabs>
          <w:tab w:val="left" w:pos="9810"/>
        </w:tabs>
        <w:spacing w:before="60" w:after="40"/>
        <w:ind w:right="802"/>
        <w:jc w:val="both"/>
        <w:rPr>
          <w:rFonts w:ascii="Arial" w:eastAsia="Arial" w:hAnsi="Arial" w:cs="Arial"/>
        </w:rPr>
      </w:pPr>
      <w:r>
        <w:rPr>
          <w:rFonts w:ascii="Arial" w:eastAsia="Arial" w:hAnsi="Arial" w:cs="Arial"/>
          <w:b/>
          <w:bCs/>
          <w:sz w:val="22"/>
          <w:szCs w:val="22"/>
        </w:rPr>
        <w:t xml:space="preserve">Task 3: Results &amp; Critical Evaluation </w:t>
      </w:r>
      <w:r>
        <w:rPr>
          <w:rFonts w:ascii="Arial" w:eastAsia="Arial" w:hAnsi="Arial" w:cs="Arial"/>
          <w:b/>
          <w:bCs/>
          <w:i/>
          <w:iCs/>
          <w:sz w:val="22"/>
          <w:szCs w:val="22"/>
        </w:rPr>
        <w:t xml:space="preserve">  </w:t>
      </w:r>
    </w:p>
    <w:p w14:paraId="4C604D6F" w14:textId="77777777" w:rsidR="00770512" w:rsidRDefault="00000000">
      <w:pPr>
        <w:tabs>
          <w:tab w:val="left" w:pos="9810"/>
        </w:tabs>
        <w:spacing w:after="30"/>
        <w:ind w:right="802"/>
        <w:jc w:val="both"/>
        <w:rPr>
          <w:rFonts w:ascii="Arial" w:eastAsia="Arial" w:hAnsi="Arial" w:cs="Arial"/>
          <w:b/>
          <w:bCs/>
        </w:rPr>
      </w:pPr>
      <w:r>
        <w:rPr>
          <w:rFonts w:ascii="Arial" w:eastAsia="Arial" w:hAnsi="Arial" w:cs="Arial"/>
          <w:b/>
          <w:bCs/>
          <w:sz w:val="22"/>
          <w:szCs w:val="22"/>
        </w:rPr>
        <w:t xml:space="preserve">(a) </w:t>
      </w:r>
      <w:r>
        <w:rPr>
          <w:rFonts w:ascii="Arial" w:eastAsia="Arial" w:hAnsi="Arial" w:cs="Arial"/>
          <w:sz w:val="22"/>
          <w:szCs w:val="22"/>
        </w:rPr>
        <w:t xml:space="preserve">Report the key results (accuracy, F1-Score, AUC-ROC, reward convergence, etc.) as presented by the authors. Create a comparative table if multiple models are benchmarked.  </w:t>
      </w:r>
    </w:p>
    <w:p w14:paraId="25877E75" w14:textId="77777777" w:rsidR="00770512" w:rsidRDefault="00000000">
      <w:pPr>
        <w:tabs>
          <w:tab w:val="left" w:pos="9810"/>
        </w:tabs>
        <w:spacing w:after="30"/>
        <w:ind w:right="802"/>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 xml:space="preserve">Critically evaluate the results: Are the reported metrics realistic? Are there potential biases (dataset, evaluation protocol)? What additional experiments would strengthen the findings?  </w:t>
      </w:r>
    </w:p>
    <w:p w14:paraId="5A0B0DE4" w14:textId="77777777" w:rsidR="00770512" w:rsidRDefault="00000000">
      <w:pPr>
        <w:tabs>
          <w:tab w:val="left" w:pos="9810"/>
        </w:tabs>
        <w:spacing w:before="30" w:after="60"/>
        <w:ind w:right="802"/>
        <w:jc w:val="both"/>
        <w:rPr>
          <w:rFonts w:ascii="Arial" w:eastAsia="Arial" w:hAnsi="Arial" w:cs="Arial"/>
        </w:rPr>
      </w:pPr>
      <w:r>
        <w:rPr>
          <w:rFonts w:ascii="Arial" w:eastAsia="Arial" w:hAnsi="Arial" w:cs="Arial"/>
          <w:b/>
          <w:bCs/>
          <w:sz w:val="22"/>
          <w:szCs w:val="22"/>
        </w:rPr>
        <w:t xml:space="preserve">(c) </w:t>
      </w:r>
      <w:r>
        <w:rPr>
          <w:rFonts w:ascii="Arial" w:eastAsia="Arial" w:hAnsi="Arial" w:cs="Arial"/>
          <w:sz w:val="22"/>
          <w:szCs w:val="22"/>
        </w:rPr>
        <w:t xml:space="preserve">Discuss real-world applicability: Where can this technique be deployed? What are the challenges in scaling the solution to industry (data availability, compute, ethical issues)? </w:t>
      </w:r>
    </w:p>
    <w:p w14:paraId="7520D74A" w14:textId="77777777" w:rsidR="00770512" w:rsidRDefault="00770512">
      <w:pPr>
        <w:tabs>
          <w:tab w:val="left" w:pos="9810"/>
        </w:tabs>
        <w:spacing w:before="60" w:after="40"/>
        <w:ind w:right="802"/>
        <w:jc w:val="both"/>
        <w:rPr>
          <w:rFonts w:ascii="Arial" w:eastAsia="Arial" w:hAnsi="Arial" w:cs="Arial"/>
          <w:b/>
          <w:bCs/>
          <w:sz w:val="22"/>
          <w:szCs w:val="22"/>
        </w:rPr>
      </w:pPr>
    </w:p>
    <w:p w14:paraId="07F02E91" w14:textId="77777777" w:rsidR="00770512" w:rsidRDefault="00000000">
      <w:pPr>
        <w:tabs>
          <w:tab w:val="left" w:pos="9810"/>
        </w:tabs>
        <w:spacing w:before="60" w:after="40"/>
        <w:ind w:right="802"/>
        <w:jc w:val="both"/>
        <w:rPr>
          <w:rFonts w:ascii="Arial" w:eastAsia="Arial" w:hAnsi="Arial" w:cs="Arial"/>
        </w:rPr>
      </w:pPr>
      <w:r>
        <w:rPr>
          <w:rFonts w:ascii="Arial" w:eastAsia="Arial" w:hAnsi="Arial" w:cs="Arial"/>
          <w:b/>
          <w:bCs/>
          <w:sz w:val="22"/>
          <w:szCs w:val="22"/>
        </w:rPr>
        <w:t>Task 4: Reflection &amp; Learning Outcome</w:t>
      </w:r>
      <w:r>
        <w:rPr>
          <w:rFonts w:ascii="Arial" w:eastAsia="Arial" w:hAnsi="Arial" w:cs="Arial"/>
          <w:b/>
          <w:bCs/>
          <w:i/>
          <w:iCs/>
          <w:sz w:val="22"/>
          <w:szCs w:val="22"/>
        </w:rPr>
        <w:t xml:space="preserve"> </w:t>
      </w:r>
    </w:p>
    <w:p w14:paraId="24372DBF" w14:textId="77777777" w:rsidR="00770512" w:rsidRDefault="00000000">
      <w:pPr>
        <w:tabs>
          <w:tab w:val="left" w:pos="9810"/>
        </w:tabs>
        <w:spacing w:after="30"/>
        <w:ind w:right="802"/>
        <w:jc w:val="both"/>
        <w:rPr>
          <w:rFonts w:ascii="Arial" w:eastAsia="Arial" w:hAnsi="Arial" w:cs="Arial"/>
          <w:b/>
          <w:bCs/>
        </w:rPr>
      </w:pPr>
      <w:r>
        <w:rPr>
          <w:rFonts w:ascii="Arial" w:eastAsia="Arial" w:hAnsi="Arial" w:cs="Arial"/>
          <w:b/>
          <w:bCs/>
          <w:sz w:val="22"/>
          <w:szCs w:val="22"/>
        </w:rPr>
        <w:t xml:space="preserve">(a) </w:t>
      </w:r>
      <w:r>
        <w:rPr>
          <w:rFonts w:ascii="Arial" w:eastAsia="Arial" w:hAnsi="Arial" w:cs="Arial"/>
          <w:sz w:val="22"/>
          <w:szCs w:val="22"/>
        </w:rPr>
        <w:t xml:space="preserve">State three key insights you gained from reading the article that deepen your understanding of CO 4 topics. Connect each insight to a specific concept from the course syllabus.  </w:t>
      </w:r>
    </w:p>
    <w:p w14:paraId="73E2AD49" w14:textId="77777777" w:rsidR="00770512" w:rsidRDefault="00000000">
      <w:pPr>
        <w:tabs>
          <w:tab w:val="left" w:pos="9810"/>
        </w:tabs>
        <w:spacing w:after="30"/>
        <w:ind w:right="802"/>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 xml:space="preserve">If you were to extend this research, propose one novel experiment or enhancement (different dataset / improved algorithm / new application domain). Justify its feasibility and expected impact.  </w:t>
      </w:r>
    </w:p>
    <w:p w14:paraId="5A1EAC80" w14:textId="77777777" w:rsidR="00770512" w:rsidRDefault="00770512">
      <w:pPr>
        <w:pBdr>
          <w:bottom w:val="single" w:sz="6" w:space="1" w:color="000000"/>
        </w:pBdr>
        <w:tabs>
          <w:tab w:val="left" w:pos="9810"/>
        </w:tabs>
        <w:spacing w:before="80" w:after="80"/>
        <w:ind w:right="802"/>
        <w:jc w:val="both"/>
        <w:rPr>
          <w:rFonts w:ascii="Arial" w:eastAsia="Arial" w:hAnsi="Arial" w:cs="Arial"/>
        </w:rPr>
      </w:pPr>
    </w:p>
    <w:p w14:paraId="65CC8264" w14:textId="77777777" w:rsidR="00770512" w:rsidRDefault="00770512">
      <w:pPr>
        <w:tabs>
          <w:tab w:val="left" w:pos="9810"/>
        </w:tabs>
        <w:spacing w:before="60" w:after="40"/>
        <w:ind w:right="802"/>
        <w:jc w:val="both"/>
        <w:rPr>
          <w:rFonts w:ascii="Arial" w:eastAsia="Arial" w:hAnsi="Arial" w:cs="Arial"/>
          <w:b/>
          <w:bCs/>
          <w:i/>
          <w:iCs/>
        </w:rPr>
      </w:pPr>
    </w:p>
    <w:p w14:paraId="71B312A3" w14:textId="77777777" w:rsidR="00770512" w:rsidRDefault="00770512">
      <w:pPr>
        <w:tabs>
          <w:tab w:val="left" w:pos="9810"/>
        </w:tabs>
        <w:spacing w:before="60" w:after="40"/>
        <w:ind w:right="802"/>
        <w:jc w:val="both"/>
        <w:rPr>
          <w:rFonts w:ascii="Arial" w:eastAsia="Arial" w:hAnsi="Arial" w:cs="Arial"/>
          <w:b/>
          <w:bCs/>
          <w:i/>
          <w:iCs/>
        </w:rPr>
      </w:pPr>
    </w:p>
    <w:p w14:paraId="7DDEEF06" w14:textId="77777777" w:rsidR="00770512" w:rsidRDefault="00770512">
      <w:pPr>
        <w:tabs>
          <w:tab w:val="left" w:pos="9810"/>
        </w:tabs>
        <w:spacing w:before="60" w:after="40"/>
        <w:ind w:right="802"/>
        <w:jc w:val="both"/>
        <w:rPr>
          <w:rFonts w:ascii="Arial" w:eastAsia="Arial" w:hAnsi="Arial" w:cs="Arial"/>
          <w:b/>
          <w:bCs/>
          <w:i/>
          <w:iCs/>
        </w:rPr>
      </w:pPr>
    </w:p>
    <w:p w14:paraId="6C84A41A" w14:textId="77777777" w:rsidR="00770512" w:rsidRDefault="00000000">
      <w:pPr>
        <w:ind w:right="802"/>
        <w:jc w:val="both"/>
        <w:rPr>
          <w:rFonts w:ascii="Arial" w:eastAsia="Arial" w:hAnsi="Arial" w:cs="Arial"/>
          <w:b/>
          <w:bCs/>
          <w:sz w:val="24"/>
          <w:szCs w:val="24"/>
          <w:u w:val="single"/>
        </w:rPr>
      </w:pPr>
      <w:r>
        <w:br w:type="page"/>
      </w:r>
    </w:p>
    <w:p w14:paraId="37985B14" w14:textId="77777777" w:rsidR="00770512" w:rsidRDefault="00770512">
      <w:pPr>
        <w:tabs>
          <w:tab w:val="left" w:pos="9810"/>
        </w:tabs>
        <w:spacing w:before="120" w:after="80"/>
        <w:jc w:val="both"/>
        <w:rPr>
          <w:rFonts w:ascii="Arial" w:eastAsia="Arial" w:hAnsi="Arial" w:cs="Arial"/>
          <w:b/>
          <w:bCs/>
          <w:sz w:val="24"/>
          <w:szCs w:val="24"/>
          <w:u w:val="single"/>
        </w:rPr>
      </w:pPr>
    </w:p>
    <w:p w14:paraId="6AEADBD0" w14:textId="77777777" w:rsidR="00770512" w:rsidRDefault="00770512">
      <w:pPr>
        <w:tabs>
          <w:tab w:val="left" w:pos="9810"/>
        </w:tabs>
        <w:spacing w:before="120" w:after="80"/>
        <w:rPr>
          <w:rFonts w:ascii="Arial" w:eastAsia="Arial" w:hAnsi="Arial" w:cs="Arial"/>
          <w:b/>
          <w:bCs/>
          <w:sz w:val="24"/>
          <w:szCs w:val="24"/>
          <w:u w:val="single"/>
        </w:rPr>
      </w:pPr>
    </w:p>
    <w:p w14:paraId="4EFFBAB0" w14:textId="77777777" w:rsidR="00770512" w:rsidRDefault="00770512">
      <w:pPr>
        <w:tabs>
          <w:tab w:val="left" w:pos="9810"/>
        </w:tabs>
        <w:spacing w:before="120" w:after="80"/>
        <w:rPr>
          <w:rFonts w:ascii="Arial" w:eastAsia="Arial" w:hAnsi="Arial" w:cs="Arial"/>
          <w:b/>
          <w:bCs/>
          <w:sz w:val="24"/>
          <w:szCs w:val="24"/>
          <w:u w:val="single"/>
        </w:rPr>
      </w:pPr>
    </w:p>
    <w:p w14:paraId="43A9E327" w14:textId="77777777" w:rsidR="00770512" w:rsidRDefault="00000000">
      <w:pPr>
        <w:tabs>
          <w:tab w:val="left" w:pos="9810"/>
        </w:tabs>
        <w:spacing w:before="120" w:after="80"/>
        <w:rPr>
          <w:rFonts w:ascii="Arial" w:eastAsia="Arial" w:hAnsi="Arial" w:cs="Arial"/>
          <w:b/>
          <w:bCs/>
          <w:sz w:val="24"/>
          <w:szCs w:val="24"/>
          <w:u w:val="single"/>
        </w:rPr>
      </w:pPr>
      <w:r>
        <w:rPr>
          <w:rFonts w:ascii="Arial" w:eastAsia="Arial" w:hAnsi="Arial" w:cs="Arial"/>
          <w:b/>
          <w:bCs/>
          <w:sz w:val="24"/>
          <w:szCs w:val="24"/>
          <w:u w:val="single"/>
        </w:rPr>
        <w:t>RUBRICS FOR CALCULATION:</w:t>
      </w:r>
    </w:p>
    <w:p w14:paraId="677C3A9D" w14:textId="77777777" w:rsidR="00770512" w:rsidRDefault="00770512">
      <w:pPr>
        <w:tabs>
          <w:tab w:val="left" w:pos="9810"/>
        </w:tabs>
        <w:spacing w:before="120" w:after="80"/>
        <w:rPr>
          <w:rFonts w:ascii="Arial" w:eastAsia="Arial" w:hAnsi="Arial" w:cs="Arial"/>
          <w:b/>
          <w:bCs/>
          <w:sz w:val="24"/>
          <w:szCs w:val="24"/>
          <w:u w:val="single"/>
        </w:rPr>
      </w:pPr>
    </w:p>
    <w:tbl>
      <w:tblPr>
        <w:tblStyle w:val="Style12"/>
        <w:tblW w:w="9450" w:type="dxa"/>
        <w:tblInd w:w="0" w:type="dxa"/>
        <w:tblLayout w:type="fixed"/>
        <w:tblLook w:val="04A0" w:firstRow="1" w:lastRow="0" w:firstColumn="1" w:lastColumn="0" w:noHBand="0" w:noVBand="1"/>
      </w:tblPr>
      <w:tblGrid>
        <w:gridCol w:w="1530"/>
        <w:gridCol w:w="1350"/>
        <w:gridCol w:w="2040"/>
        <w:gridCol w:w="1485"/>
        <w:gridCol w:w="1590"/>
        <w:gridCol w:w="1455"/>
      </w:tblGrid>
      <w:tr w:rsidR="00770512" w14:paraId="622DC55E" w14:textId="77777777">
        <w:trPr>
          <w:trHeight w:val="525"/>
        </w:trPr>
        <w:tc>
          <w:tcPr>
            <w:tcW w:w="1530" w:type="dxa"/>
            <w:tcBorders>
              <w:top w:val="single" w:sz="4" w:space="0" w:color="000000"/>
              <w:left w:val="single" w:sz="4" w:space="0" w:color="000000"/>
              <w:bottom w:val="single" w:sz="4" w:space="0" w:color="000000"/>
              <w:right w:val="single" w:sz="4" w:space="0" w:color="000000"/>
            </w:tcBorders>
            <w:vAlign w:val="center"/>
          </w:tcPr>
          <w:p w14:paraId="23E18502" w14:textId="77777777" w:rsidR="00770512" w:rsidRDefault="00000000">
            <w:pPr>
              <w:rPr>
                <w:rFonts w:ascii="Arial" w:eastAsia="Arial" w:hAnsi="Arial" w:cs="Arial"/>
                <w:b/>
                <w:bCs/>
                <w:color w:val="000000"/>
              </w:rPr>
            </w:pPr>
            <w:r>
              <w:rPr>
                <w:rFonts w:ascii="Arial" w:eastAsia="Arial" w:hAnsi="Arial" w:cs="Arial"/>
                <w:b/>
                <w:bCs/>
                <w:color w:val="000000"/>
              </w:rPr>
              <w:t>Criteria</w:t>
            </w:r>
          </w:p>
        </w:tc>
        <w:tc>
          <w:tcPr>
            <w:tcW w:w="1350" w:type="dxa"/>
            <w:tcBorders>
              <w:top w:val="single" w:sz="4" w:space="0" w:color="000000"/>
              <w:left w:val="nil"/>
              <w:bottom w:val="single" w:sz="4" w:space="0" w:color="000000"/>
              <w:right w:val="single" w:sz="4" w:space="0" w:color="000000"/>
            </w:tcBorders>
            <w:vAlign w:val="center"/>
          </w:tcPr>
          <w:p w14:paraId="1DB86DC1" w14:textId="77777777" w:rsidR="00770512" w:rsidRDefault="00000000">
            <w:pPr>
              <w:jc w:val="center"/>
              <w:rPr>
                <w:rFonts w:ascii="Arial" w:eastAsia="Arial" w:hAnsi="Arial" w:cs="Arial"/>
                <w:b/>
                <w:bCs/>
                <w:color w:val="000000"/>
              </w:rPr>
            </w:pPr>
            <w:r>
              <w:rPr>
                <w:rFonts w:ascii="Arial" w:eastAsia="Arial" w:hAnsi="Arial" w:cs="Arial"/>
                <w:b/>
                <w:bCs/>
                <w:color w:val="000000"/>
              </w:rPr>
              <w:t>Weightage (%)</w:t>
            </w:r>
          </w:p>
        </w:tc>
        <w:tc>
          <w:tcPr>
            <w:tcW w:w="2040" w:type="dxa"/>
            <w:tcBorders>
              <w:top w:val="single" w:sz="4" w:space="0" w:color="000000"/>
              <w:left w:val="nil"/>
              <w:bottom w:val="single" w:sz="4" w:space="0" w:color="000000"/>
              <w:right w:val="single" w:sz="4" w:space="0" w:color="000000"/>
            </w:tcBorders>
            <w:vAlign w:val="center"/>
          </w:tcPr>
          <w:p w14:paraId="4757384A" w14:textId="77777777" w:rsidR="00770512" w:rsidRDefault="00000000">
            <w:pPr>
              <w:rPr>
                <w:rFonts w:ascii="Arial" w:eastAsia="Arial" w:hAnsi="Arial" w:cs="Arial"/>
                <w:b/>
                <w:bCs/>
                <w:color w:val="000000"/>
              </w:rPr>
            </w:pPr>
            <w:r>
              <w:rPr>
                <w:rFonts w:ascii="Arial" w:eastAsia="Arial" w:hAnsi="Arial" w:cs="Arial"/>
                <w:b/>
                <w:bCs/>
                <w:color w:val="000000"/>
              </w:rPr>
              <w:t>Level 4 (Exemplary)</w:t>
            </w:r>
          </w:p>
        </w:tc>
        <w:tc>
          <w:tcPr>
            <w:tcW w:w="1485" w:type="dxa"/>
            <w:tcBorders>
              <w:top w:val="single" w:sz="4" w:space="0" w:color="000000"/>
              <w:left w:val="nil"/>
              <w:bottom w:val="single" w:sz="4" w:space="0" w:color="000000"/>
              <w:right w:val="single" w:sz="4" w:space="0" w:color="000000"/>
            </w:tcBorders>
            <w:vAlign w:val="center"/>
          </w:tcPr>
          <w:p w14:paraId="78174B0B" w14:textId="77777777" w:rsidR="00770512" w:rsidRDefault="00000000">
            <w:pPr>
              <w:rPr>
                <w:rFonts w:ascii="Arial" w:eastAsia="Arial" w:hAnsi="Arial" w:cs="Arial"/>
                <w:b/>
                <w:bCs/>
                <w:color w:val="000000"/>
              </w:rPr>
            </w:pPr>
            <w:r>
              <w:rPr>
                <w:rFonts w:ascii="Arial" w:eastAsia="Arial" w:hAnsi="Arial" w:cs="Arial"/>
                <w:b/>
                <w:bCs/>
                <w:color w:val="000000"/>
              </w:rPr>
              <w:t>Level 3 (Proficient)</w:t>
            </w:r>
          </w:p>
        </w:tc>
        <w:tc>
          <w:tcPr>
            <w:tcW w:w="1590" w:type="dxa"/>
            <w:tcBorders>
              <w:top w:val="single" w:sz="4" w:space="0" w:color="000000"/>
              <w:left w:val="nil"/>
              <w:bottom w:val="single" w:sz="4" w:space="0" w:color="000000"/>
              <w:right w:val="single" w:sz="4" w:space="0" w:color="000000"/>
            </w:tcBorders>
            <w:vAlign w:val="center"/>
          </w:tcPr>
          <w:p w14:paraId="30A6CEDF" w14:textId="77777777" w:rsidR="00770512" w:rsidRDefault="00000000">
            <w:pPr>
              <w:ind w:right="-108"/>
              <w:rPr>
                <w:rFonts w:ascii="Arial" w:eastAsia="Arial" w:hAnsi="Arial" w:cs="Arial"/>
                <w:b/>
                <w:bCs/>
                <w:color w:val="000000"/>
              </w:rPr>
            </w:pPr>
            <w:r>
              <w:rPr>
                <w:rFonts w:ascii="Arial" w:eastAsia="Arial" w:hAnsi="Arial" w:cs="Arial"/>
                <w:b/>
                <w:bCs/>
                <w:color w:val="000000"/>
              </w:rPr>
              <w:t>Level 2 (Developing)</w:t>
            </w:r>
          </w:p>
        </w:tc>
        <w:tc>
          <w:tcPr>
            <w:tcW w:w="1455" w:type="dxa"/>
            <w:tcBorders>
              <w:top w:val="single" w:sz="4" w:space="0" w:color="000000"/>
              <w:left w:val="nil"/>
              <w:bottom w:val="single" w:sz="4" w:space="0" w:color="000000"/>
              <w:right w:val="single" w:sz="4" w:space="0" w:color="000000"/>
            </w:tcBorders>
            <w:vAlign w:val="center"/>
          </w:tcPr>
          <w:p w14:paraId="0A5B0DD1" w14:textId="77777777" w:rsidR="00770512" w:rsidRDefault="00000000">
            <w:pPr>
              <w:rPr>
                <w:rFonts w:ascii="Arial" w:eastAsia="Arial" w:hAnsi="Arial" w:cs="Arial"/>
                <w:b/>
                <w:bCs/>
                <w:color w:val="000000"/>
              </w:rPr>
            </w:pPr>
            <w:r>
              <w:rPr>
                <w:rFonts w:ascii="Arial" w:eastAsia="Arial" w:hAnsi="Arial" w:cs="Arial"/>
                <w:b/>
                <w:bCs/>
                <w:color w:val="000000"/>
              </w:rPr>
              <w:t>Level 1 (Beginning)</w:t>
            </w:r>
          </w:p>
        </w:tc>
      </w:tr>
      <w:tr w:rsidR="00770512" w14:paraId="7CA466B3"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10F99B11" w14:textId="77777777" w:rsidR="00770512" w:rsidRDefault="00000000">
            <w:pPr>
              <w:rPr>
                <w:rFonts w:ascii="Arial" w:eastAsia="Arial" w:hAnsi="Arial" w:cs="Arial"/>
                <w:color w:val="000000"/>
              </w:rPr>
            </w:pPr>
            <w:r>
              <w:rPr>
                <w:rFonts w:ascii="Arial" w:eastAsia="Arial" w:hAnsi="Arial" w:cs="Arial"/>
                <w:color w:val="000000"/>
              </w:rPr>
              <w:t>Understanding of Article</w:t>
            </w:r>
          </w:p>
        </w:tc>
        <w:tc>
          <w:tcPr>
            <w:tcW w:w="1350" w:type="dxa"/>
            <w:tcBorders>
              <w:top w:val="nil"/>
              <w:left w:val="nil"/>
              <w:bottom w:val="single" w:sz="4" w:space="0" w:color="000000"/>
              <w:right w:val="single" w:sz="4" w:space="0" w:color="000000"/>
            </w:tcBorders>
            <w:vAlign w:val="center"/>
          </w:tcPr>
          <w:p w14:paraId="52BE8E93" w14:textId="77777777" w:rsidR="00770512" w:rsidRDefault="00000000">
            <w:pPr>
              <w:jc w:val="center"/>
              <w:rPr>
                <w:rFonts w:ascii="Arial" w:eastAsia="Arial" w:hAnsi="Arial" w:cs="Arial"/>
                <w:color w:val="000000"/>
              </w:rPr>
            </w:pPr>
            <w:r>
              <w:rPr>
                <w:rFonts w:ascii="Arial" w:eastAsia="Arial" w:hAnsi="Arial" w:cs="Arial"/>
                <w:color w:val="000000"/>
              </w:rPr>
              <w:t>20%</w:t>
            </w:r>
          </w:p>
        </w:tc>
        <w:tc>
          <w:tcPr>
            <w:tcW w:w="2040" w:type="dxa"/>
            <w:tcBorders>
              <w:top w:val="nil"/>
              <w:left w:val="nil"/>
              <w:bottom w:val="single" w:sz="4" w:space="0" w:color="000000"/>
              <w:right w:val="single" w:sz="4" w:space="0" w:color="000000"/>
            </w:tcBorders>
            <w:vAlign w:val="center"/>
          </w:tcPr>
          <w:p w14:paraId="73708E77" w14:textId="77777777" w:rsidR="00770512" w:rsidRDefault="00000000">
            <w:pPr>
              <w:rPr>
                <w:rFonts w:ascii="Arial" w:eastAsia="Arial" w:hAnsi="Arial" w:cs="Arial"/>
                <w:color w:val="000000"/>
              </w:rPr>
            </w:pPr>
            <w:r>
              <w:rPr>
                <w:rFonts w:ascii="Arial" w:eastAsia="Arial" w:hAnsi="Arial" w:cs="Arial"/>
                <w:color w:val="000000"/>
              </w:rPr>
              <w:t>Demonstrates clear and in-depth understanding of the article’s purpose, concepts, and arguments</w:t>
            </w:r>
          </w:p>
        </w:tc>
        <w:tc>
          <w:tcPr>
            <w:tcW w:w="1485" w:type="dxa"/>
            <w:tcBorders>
              <w:top w:val="nil"/>
              <w:left w:val="nil"/>
              <w:bottom w:val="single" w:sz="4" w:space="0" w:color="000000"/>
              <w:right w:val="single" w:sz="4" w:space="0" w:color="000000"/>
            </w:tcBorders>
            <w:vAlign w:val="center"/>
          </w:tcPr>
          <w:p w14:paraId="40166F1B" w14:textId="77777777" w:rsidR="00770512" w:rsidRDefault="00000000">
            <w:pPr>
              <w:rPr>
                <w:rFonts w:ascii="Arial" w:eastAsia="Arial" w:hAnsi="Arial" w:cs="Arial"/>
                <w:color w:val="000000"/>
              </w:rPr>
            </w:pPr>
            <w:r>
              <w:rPr>
                <w:rFonts w:ascii="Arial" w:eastAsia="Arial" w:hAnsi="Arial" w:cs="Arial"/>
                <w:color w:val="000000"/>
              </w:rPr>
              <w:t>Shows good understanding with minor gaps</w:t>
            </w:r>
          </w:p>
        </w:tc>
        <w:tc>
          <w:tcPr>
            <w:tcW w:w="1590" w:type="dxa"/>
            <w:tcBorders>
              <w:top w:val="nil"/>
              <w:left w:val="nil"/>
              <w:bottom w:val="single" w:sz="4" w:space="0" w:color="000000"/>
              <w:right w:val="single" w:sz="4" w:space="0" w:color="000000"/>
            </w:tcBorders>
            <w:vAlign w:val="center"/>
          </w:tcPr>
          <w:p w14:paraId="37B12CA9" w14:textId="77777777" w:rsidR="00770512" w:rsidRDefault="00000000">
            <w:pPr>
              <w:rPr>
                <w:rFonts w:ascii="Arial" w:eastAsia="Arial" w:hAnsi="Arial" w:cs="Arial"/>
                <w:color w:val="000000"/>
              </w:rPr>
            </w:pPr>
            <w:r>
              <w:rPr>
                <w:rFonts w:ascii="Arial" w:eastAsia="Arial" w:hAnsi="Arial" w:cs="Arial"/>
                <w:color w:val="000000"/>
              </w:rPr>
              <w:t>Partial understanding; misses key ideas</w:t>
            </w:r>
          </w:p>
        </w:tc>
        <w:tc>
          <w:tcPr>
            <w:tcW w:w="1455" w:type="dxa"/>
            <w:tcBorders>
              <w:top w:val="nil"/>
              <w:left w:val="nil"/>
              <w:bottom w:val="single" w:sz="4" w:space="0" w:color="000000"/>
              <w:right w:val="single" w:sz="4" w:space="0" w:color="000000"/>
            </w:tcBorders>
            <w:vAlign w:val="center"/>
          </w:tcPr>
          <w:p w14:paraId="230B1EAC" w14:textId="77777777" w:rsidR="00770512" w:rsidRDefault="00000000">
            <w:pPr>
              <w:rPr>
                <w:rFonts w:ascii="Arial" w:eastAsia="Arial" w:hAnsi="Arial" w:cs="Arial"/>
                <w:color w:val="000000"/>
              </w:rPr>
            </w:pPr>
            <w:r>
              <w:rPr>
                <w:rFonts w:ascii="Arial" w:eastAsia="Arial" w:hAnsi="Arial" w:cs="Arial"/>
                <w:color w:val="000000"/>
              </w:rPr>
              <w:t>Lacks understanding of the article</w:t>
            </w:r>
          </w:p>
        </w:tc>
      </w:tr>
      <w:tr w:rsidR="00770512" w14:paraId="7FD22B8D"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4A04E666" w14:textId="77777777" w:rsidR="00770512" w:rsidRDefault="00000000">
            <w:pPr>
              <w:rPr>
                <w:rFonts w:ascii="Arial" w:eastAsia="Arial" w:hAnsi="Arial" w:cs="Arial"/>
                <w:color w:val="000000"/>
              </w:rPr>
            </w:pPr>
            <w:r>
              <w:rPr>
                <w:rFonts w:ascii="Arial" w:eastAsia="Arial" w:hAnsi="Arial" w:cs="Arial"/>
                <w:color w:val="000000"/>
              </w:rPr>
              <w:t>Summary</w:t>
            </w:r>
          </w:p>
        </w:tc>
        <w:tc>
          <w:tcPr>
            <w:tcW w:w="1350" w:type="dxa"/>
            <w:tcBorders>
              <w:top w:val="nil"/>
              <w:left w:val="nil"/>
              <w:bottom w:val="single" w:sz="4" w:space="0" w:color="000000"/>
              <w:right w:val="single" w:sz="4" w:space="0" w:color="000000"/>
            </w:tcBorders>
            <w:vAlign w:val="center"/>
          </w:tcPr>
          <w:p w14:paraId="3907BD2F" w14:textId="77777777" w:rsidR="00770512" w:rsidRDefault="00000000">
            <w:pPr>
              <w:jc w:val="center"/>
              <w:rPr>
                <w:rFonts w:ascii="Arial" w:eastAsia="Arial" w:hAnsi="Arial" w:cs="Arial"/>
                <w:color w:val="000000"/>
              </w:rPr>
            </w:pPr>
            <w:r>
              <w:rPr>
                <w:rFonts w:ascii="Arial" w:eastAsia="Arial" w:hAnsi="Arial" w:cs="Arial"/>
                <w:color w:val="000000"/>
              </w:rPr>
              <w:t>20%</w:t>
            </w:r>
          </w:p>
        </w:tc>
        <w:tc>
          <w:tcPr>
            <w:tcW w:w="2040" w:type="dxa"/>
            <w:tcBorders>
              <w:top w:val="nil"/>
              <w:left w:val="nil"/>
              <w:bottom w:val="single" w:sz="4" w:space="0" w:color="000000"/>
              <w:right w:val="single" w:sz="4" w:space="0" w:color="000000"/>
            </w:tcBorders>
            <w:vAlign w:val="center"/>
          </w:tcPr>
          <w:p w14:paraId="78F17DA7" w14:textId="77777777" w:rsidR="00770512" w:rsidRDefault="00000000">
            <w:pPr>
              <w:rPr>
                <w:rFonts w:ascii="Arial" w:eastAsia="Arial" w:hAnsi="Arial" w:cs="Arial"/>
                <w:color w:val="000000"/>
              </w:rPr>
            </w:pPr>
            <w:r>
              <w:rPr>
                <w:rFonts w:ascii="Arial" w:eastAsia="Arial" w:hAnsi="Arial" w:cs="Arial"/>
                <w:color w:val="000000"/>
              </w:rPr>
              <w:t>Provides concise and accurate summary highlighting all key points</w:t>
            </w:r>
          </w:p>
        </w:tc>
        <w:tc>
          <w:tcPr>
            <w:tcW w:w="1485" w:type="dxa"/>
            <w:tcBorders>
              <w:top w:val="nil"/>
              <w:left w:val="nil"/>
              <w:bottom w:val="single" w:sz="4" w:space="0" w:color="000000"/>
              <w:right w:val="single" w:sz="4" w:space="0" w:color="000000"/>
            </w:tcBorders>
            <w:vAlign w:val="center"/>
          </w:tcPr>
          <w:p w14:paraId="636E57BE" w14:textId="77777777" w:rsidR="00770512" w:rsidRDefault="00000000">
            <w:pPr>
              <w:rPr>
                <w:rFonts w:ascii="Arial" w:eastAsia="Arial" w:hAnsi="Arial" w:cs="Arial"/>
                <w:color w:val="000000"/>
              </w:rPr>
            </w:pPr>
            <w:r>
              <w:rPr>
                <w:rFonts w:ascii="Arial" w:eastAsia="Arial" w:hAnsi="Arial" w:cs="Arial"/>
                <w:color w:val="000000"/>
              </w:rPr>
              <w:t>Covers most key points with minor omissions</w:t>
            </w:r>
          </w:p>
        </w:tc>
        <w:tc>
          <w:tcPr>
            <w:tcW w:w="1590" w:type="dxa"/>
            <w:tcBorders>
              <w:top w:val="nil"/>
              <w:left w:val="nil"/>
              <w:bottom w:val="single" w:sz="4" w:space="0" w:color="000000"/>
              <w:right w:val="single" w:sz="4" w:space="0" w:color="000000"/>
            </w:tcBorders>
            <w:vAlign w:val="center"/>
          </w:tcPr>
          <w:p w14:paraId="1B28F967" w14:textId="77777777" w:rsidR="00770512" w:rsidRDefault="00000000">
            <w:pPr>
              <w:rPr>
                <w:rFonts w:ascii="Arial" w:eastAsia="Arial" w:hAnsi="Arial" w:cs="Arial"/>
                <w:color w:val="000000"/>
              </w:rPr>
            </w:pPr>
            <w:r>
              <w:rPr>
                <w:rFonts w:ascii="Arial" w:eastAsia="Arial" w:hAnsi="Arial" w:cs="Arial"/>
                <w:color w:val="000000"/>
              </w:rPr>
              <w:t>Incomplete or partially accurate summary</w:t>
            </w:r>
          </w:p>
        </w:tc>
        <w:tc>
          <w:tcPr>
            <w:tcW w:w="1455" w:type="dxa"/>
            <w:tcBorders>
              <w:top w:val="nil"/>
              <w:left w:val="nil"/>
              <w:bottom w:val="single" w:sz="4" w:space="0" w:color="000000"/>
              <w:right w:val="single" w:sz="4" w:space="0" w:color="000000"/>
            </w:tcBorders>
            <w:vAlign w:val="center"/>
          </w:tcPr>
          <w:p w14:paraId="0DF4B50B" w14:textId="77777777" w:rsidR="00770512" w:rsidRDefault="00000000">
            <w:pPr>
              <w:rPr>
                <w:rFonts w:ascii="Arial" w:eastAsia="Arial" w:hAnsi="Arial" w:cs="Arial"/>
                <w:color w:val="000000"/>
              </w:rPr>
            </w:pPr>
            <w:r>
              <w:rPr>
                <w:rFonts w:ascii="Arial" w:eastAsia="Arial" w:hAnsi="Arial" w:cs="Arial"/>
                <w:color w:val="000000"/>
              </w:rPr>
              <w:t>Poor or incorrect summary</w:t>
            </w:r>
          </w:p>
        </w:tc>
      </w:tr>
      <w:tr w:rsidR="00770512" w14:paraId="349A389D"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3CDDC825" w14:textId="77777777" w:rsidR="00770512" w:rsidRDefault="00000000">
            <w:pPr>
              <w:rPr>
                <w:rFonts w:ascii="Arial" w:eastAsia="Arial" w:hAnsi="Arial" w:cs="Arial"/>
                <w:color w:val="000000"/>
              </w:rPr>
            </w:pPr>
            <w:r>
              <w:rPr>
                <w:rFonts w:ascii="Arial" w:eastAsia="Arial" w:hAnsi="Arial" w:cs="Arial"/>
                <w:color w:val="000000"/>
              </w:rPr>
              <w:t>Critical Analysis</w:t>
            </w:r>
          </w:p>
        </w:tc>
        <w:tc>
          <w:tcPr>
            <w:tcW w:w="1350" w:type="dxa"/>
            <w:tcBorders>
              <w:top w:val="nil"/>
              <w:left w:val="nil"/>
              <w:bottom w:val="single" w:sz="4" w:space="0" w:color="000000"/>
              <w:right w:val="single" w:sz="4" w:space="0" w:color="000000"/>
            </w:tcBorders>
            <w:vAlign w:val="center"/>
          </w:tcPr>
          <w:p w14:paraId="2353FA1A" w14:textId="77777777" w:rsidR="00770512" w:rsidRDefault="00000000">
            <w:pPr>
              <w:jc w:val="center"/>
              <w:rPr>
                <w:rFonts w:ascii="Arial" w:eastAsia="Arial" w:hAnsi="Arial" w:cs="Arial"/>
                <w:color w:val="000000"/>
              </w:rPr>
            </w:pPr>
            <w:r>
              <w:rPr>
                <w:rFonts w:ascii="Arial" w:eastAsia="Arial" w:hAnsi="Arial" w:cs="Arial"/>
                <w:color w:val="000000"/>
              </w:rPr>
              <w:t>25%</w:t>
            </w:r>
          </w:p>
        </w:tc>
        <w:tc>
          <w:tcPr>
            <w:tcW w:w="2040" w:type="dxa"/>
            <w:tcBorders>
              <w:top w:val="nil"/>
              <w:left w:val="nil"/>
              <w:bottom w:val="single" w:sz="4" w:space="0" w:color="000000"/>
              <w:right w:val="single" w:sz="4" w:space="0" w:color="000000"/>
            </w:tcBorders>
            <w:vAlign w:val="center"/>
          </w:tcPr>
          <w:p w14:paraId="67AE75EF" w14:textId="77777777" w:rsidR="00770512" w:rsidRDefault="00000000">
            <w:pPr>
              <w:rPr>
                <w:rFonts w:ascii="Arial" w:eastAsia="Arial" w:hAnsi="Arial" w:cs="Arial"/>
                <w:color w:val="000000"/>
              </w:rPr>
            </w:pPr>
            <w:r>
              <w:rPr>
                <w:rFonts w:ascii="Arial" w:eastAsia="Arial" w:hAnsi="Arial" w:cs="Arial"/>
                <w:color w:val="000000"/>
              </w:rPr>
              <w:t>Provides insightful critique with strong reasoning and evaluation</w:t>
            </w:r>
          </w:p>
        </w:tc>
        <w:tc>
          <w:tcPr>
            <w:tcW w:w="1485" w:type="dxa"/>
            <w:tcBorders>
              <w:top w:val="nil"/>
              <w:left w:val="nil"/>
              <w:bottom w:val="single" w:sz="4" w:space="0" w:color="000000"/>
              <w:right w:val="single" w:sz="4" w:space="0" w:color="000000"/>
            </w:tcBorders>
            <w:vAlign w:val="center"/>
          </w:tcPr>
          <w:p w14:paraId="2AEF3E66" w14:textId="77777777" w:rsidR="00770512" w:rsidRDefault="00000000">
            <w:pPr>
              <w:rPr>
                <w:rFonts w:ascii="Arial" w:eastAsia="Arial" w:hAnsi="Arial" w:cs="Arial"/>
                <w:color w:val="000000"/>
              </w:rPr>
            </w:pPr>
            <w:r>
              <w:rPr>
                <w:rFonts w:ascii="Arial" w:eastAsia="Arial" w:hAnsi="Arial" w:cs="Arial"/>
                <w:color w:val="000000"/>
              </w:rPr>
              <w:t>Provides reasonable analysis with some justification</w:t>
            </w:r>
          </w:p>
        </w:tc>
        <w:tc>
          <w:tcPr>
            <w:tcW w:w="1590" w:type="dxa"/>
            <w:tcBorders>
              <w:top w:val="nil"/>
              <w:left w:val="nil"/>
              <w:bottom w:val="single" w:sz="4" w:space="0" w:color="000000"/>
              <w:right w:val="single" w:sz="4" w:space="0" w:color="000000"/>
            </w:tcBorders>
            <w:vAlign w:val="center"/>
          </w:tcPr>
          <w:p w14:paraId="37398A19" w14:textId="77777777" w:rsidR="00770512" w:rsidRDefault="00000000">
            <w:pPr>
              <w:rPr>
                <w:rFonts w:ascii="Arial" w:eastAsia="Arial" w:hAnsi="Arial" w:cs="Arial"/>
                <w:color w:val="000000"/>
              </w:rPr>
            </w:pPr>
            <w:r>
              <w:rPr>
                <w:rFonts w:ascii="Arial" w:eastAsia="Arial" w:hAnsi="Arial" w:cs="Arial"/>
                <w:color w:val="000000"/>
              </w:rPr>
              <w:t>Superficial analysis; limited evaluation</w:t>
            </w:r>
          </w:p>
        </w:tc>
        <w:tc>
          <w:tcPr>
            <w:tcW w:w="1455" w:type="dxa"/>
            <w:tcBorders>
              <w:top w:val="nil"/>
              <w:left w:val="nil"/>
              <w:bottom w:val="single" w:sz="4" w:space="0" w:color="000000"/>
              <w:right w:val="single" w:sz="4" w:space="0" w:color="000000"/>
            </w:tcBorders>
            <w:vAlign w:val="center"/>
          </w:tcPr>
          <w:p w14:paraId="3573C004" w14:textId="77777777" w:rsidR="00770512" w:rsidRDefault="00000000">
            <w:pPr>
              <w:rPr>
                <w:rFonts w:ascii="Arial" w:eastAsia="Arial" w:hAnsi="Arial" w:cs="Arial"/>
                <w:color w:val="000000"/>
              </w:rPr>
            </w:pPr>
            <w:r>
              <w:rPr>
                <w:rFonts w:ascii="Arial" w:eastAsia="Arial" w:hAnsi="Arial" w:cs="Arial"/>
                <w:color w:val="000000"/>
              </w:rPr>
              <w:t>No meaningful analysis</w:t>
            </w:r>
          </w:p>
        </w:tc>
      </w:tr>
      <w:tr w:rsidR="00770512" w14:paraId="3A437D19"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1B7AACBD" w14:textId="77777777" w:rsidR="00770512" w:rsidRDefault="00000000">
            <w:pPr>
              <w:rPr>
                <w:rFonts w:ascii="Arial" w:eastAsia="Arial" w:hAnsi="Arial" w:cs="Arial"/>
                <w:color w:val="000000"/>
              </w:rPr>
            </w:pPr>
            <w:r>
              <w:rPr>
                <w:rFonts w:ascii="Arial" w:eastAsia="Arial" w:hAnsi="Arial" w:cs="Arial"/>
                <w:color w:val="000000"/>
              </w:rPr>
              <w:t>Use of Evidence</w:t>
            </w:r>
          </w:p>
        </w:tc>
        <w:tc>
          <w:tcPr>
            <w:tcW w:w="1350" w:type="dxa"/>
            <w:tcBorders>
              <w:top w:val="nil"/>
              <w:left w:val="nil"/>
              <w:bottom w:val="single" w:sz="4" w:space="0" w:color="000000"/>
              <w:right w:val="single" w:sz="4" w:space="0" w:color="000000"/>
            </w:tcBorders>
            <w:vAlign w:val="center"/>
          </w:tcPr>
          <w:p w14:paraId="4C418FFF" w14:textId="77777777" w:rsidR="00770512" w:rsidRDefault="00000000">
            <w:pPr>
              <w:jc w:val="center"/>
              <w:rPr>
                <w:rFonts w:ascii="Arial" w:eastAsia="Arial" w:hAnsi="Arial" w:cs="Arial"/>
                <w:color w:val="000000"/>
              </w:rPr>
            </w:pPr>
            <w:r>
              <w:rPr>
                <w:rFonts w:ascii="Arial" w:eastAsia="Arial" w:hAnsi="Arial" w:cs="Arial"/>
                <w:color w:val="000000"/>
              </w:rPr>
              <w:t>15%</w:t>
            </w:r>
          </w:p>
        </w:tc>
        <w:tc>
          <w:tcPr>
            <w:tcW w:w="2040" w:type="dxa"/>
            <w:tcBorders>
              <w:top w:val="nil"/>
              <w:left w:val="nil"/>
              <w:bottom w:val="single" w:sz="4" w:space="0" w:color="000000"/>
              <w:right w:val="single" w:sz="4" w:space="0" w:color="000000"/>
            </w:tcBorders>
            <w:vAlign w:val="center"/>
          </w:tcPr>
          <w:p w14:paraId="0A3E1277" w14:textId="77777777" w:rsidR="00770512" w:rsidRDefault="00000000">
            <w:pPr>
              <w:rPr>
                <w:rFonts w:ascii="Arial" w:eastAsia="Arial" w:hAnsi="Arial" w:cs="Arial"/>
                <w:color w:val="000000"/>
              </w:rPr>
            </w:pPr>
            <w:r>
              <w:rPr>
                <w:rFonts w:ascii="Arial" w:eastAsia="Arial" w:hAnsi="Arial" w:cs="Arial"/>
                <w:color w:val="000000"/>
              </w:rPr>
              <w:t>Effectively uses examples, data, or references to support review</w:t>
            </w:r>
          </w:p>
        </w:tc>
        <w:tc>
          <w:tcPr>
            <w:tcW w:w="1485" w:type="dxa"/>
            <w:tcBorders>
              <w:top w:val="nil"/>
              <w:left w:val="nil"/>
              <w:bottom w:val="single" w:sz="4" w:space="0" w:color="000000"/>
              <w:right w:val="single" w:sz="4" w:space="0" w:color="000000"/>
            </w:tcBorders>
            <w:vAlign w:val="center"/>
          </w:tcPr>
          <w:p w14:paraId="0A571721" w14:textId="77777777" w:rsidR="00770512" w:rsidRDefault="00000000">
            <w:pPr>
              <w:rPr>
                <w:rFonts w:ascii="Arial" w:eastAsia="Arial" w:hAnsi="Arial" w:cs="Arial"/>
                <w:color w:val="000000"/>
              </w:rPr>
            </w:pPr>
            <w:r>
              <w:rPr>
                <w:rFonts w:ascii="Arial" w:eastAsia="Arial" w:hAnsi="Arial" w:cs="Arial"/>
                <w:color w:val="000000"/>
              </w:rPr>
              <w:t>Uses some supporting evidence with minor gaps</w:t>
            </w:r>
          </w:p>
        </w:tc>
        <w:tc>
          <w:tcPr>
            <w:tcW w:w="1590" w:type="dxa"/>
            <w:tcBorders>
              <w:top w:val="nil"/>
              <w:left w:val="nil"/>
              <w:bottom w:val="single" w:sz="4" w:space="0" w:color="000000"/>
              <w:right w:val="single" w:sz="4" w:space="0" w:color="000000"/>
            </w:tcBorders>
            <w:vAlign w:val="center"/>
          </w:tcPr>
          <w:p w14:paraId="4A1F13CC" w14:textId="77777777" w:rsidR="00770512" w:rsidRDefault="00000000">
            <w:pPr>
              <w:rPr>
                <w:rFonts w:ascii="Arial" w:eastAsia="Arial" w:hAnsi="Arial" w:cs="Arial"/>
                <w:color w:val="000000"/>
              </w:rPr>
            </w:pPr>
            <w:r>
              <w:rPr>
                <w:rFonts w:ascii="Arial" w:eastAsia="Arial" w:hAnsi="Arial" w:cs="Arial"/>
                <w:color w:val="000000"/>
              </w:rPr>
              <w:t>Limited or weak supporting evidence</w:t>
            </w:r>
          </w:p>
        </w:tc>
        <w:tc>
          <w:tcPr>
            <w:tcW w:w="1455" w:type="dxa"/>
            <w:tcBorders>
              <w:top w:val="nil"/>
              <w:left w:val="nil"/>
              <w:bottom w:val="single" w:sz="4" w:space="0" w:color="000000"/>
              <w:right w:val="single" w:sz="4" w:space="0" w:color="000000"/>
            </w:tcBorders>
            <w:vAlign w:val="center"/>
          </w:tcPr>
          <w:p w14:paraId="2547458A" w14:textId="77777777" w:rsidR="00770512" w:rsidRDefault="00000000">
            <w:pPr>
              <w:rPr>
                <w:rFonts w:ascii="Arial" w:eastAsia="Arial" w:hAnsi="Arial" w:cs="Arial"/>
                <w:color w:val="000000"/>
              </w:rPr>
            </w:pPr>
            <w:r>
              <w:rPr>
                <w:rFonts w:ascii="Arial" w:eastAsia="Arial" w:hAnsi="Arial" w:cs="Arial"/>
                <w:color w:val="000000"/>
              </w:rPr>
              <w:t>No supporting evidence provided</w:t>
            </w:r>
          </w:p>
        </w:tc>
      </w:tr>
      <w:tr w:rsidR="00770512" w14:paraId="48694983"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4A230A3D" w14:textId="77777777" w:rsidR="00770512" w:rsidRDefault="00000000">
            <w:pPr>
              <w:rPr>
                <w:rFonts w:ascii="Arial" w:eastAsia="Arial" w:hAnsi="Arial" w:cs="Arial"/>
                <w:color w:val="000000"/>
              </w:rPr>
            </w:pPr>
            <w:r>
              <w:rPr>
                <w:rFonts w:ascii="Arial" w:eastAsia="Arial" w:hAnsi="Arial" w:cs="Arial"/>
                <w:color w:val="000000"/>
              </w:rPr>
              <w:t>Organization</w:t>
            </w:r>
          </w:p>
        </w:tc>
        <w:tc>
          <w:tcPr>
            <w:tcW w:w="1350" w:type="dxa"/>
            <w:tcBorders>
              <w:top w:val="nil"/>
              <w:left w:val="nil"/>
              <w:bottom w:val="single" w:sz="4" w:space="0" w:color="000000"/>
              <w:right w:val="single" w:sz="4" w:space="0" w:color="000000"/>
            </w:tcBorders>
            <w:vAlign w:val="center"/>
          </w:tcPr>
          <w:p w14:paraId="3D4C9E0D" w14:textId="77777777" w:rsidR="00770512" w:rsidRDefault="00000000">
            <w:pPr>
              <w:jc w:val="center"/>
              <w:rPr>
                <w:rFonts w:ascii="Arial" w:eastAsia="Arial" w:hAnsi="Arial" w:cs="Arial"/>
                <w:color w:val="000000"/>
              </w:rPr>
            </w:pPr>
            <w:r>
              <w:rPr>
                <w:rFonts w:ascii="Arial" w:eastAsia="Arial" w:hAnsi="Arial" w:cs="Arial"/>
                <w:color w:val="000000"/>
              </w:rPr>
              <w:t>20%</w:t>
            </w:r>
          </w:p>
        </w:tc>
        <w:tc>
          <w:tcPr>
            <w:tcW w:w="2040" w:type="dxa"/>
            <w:tcBorders>
              <w:top w:val="nil"/>
              <w:left w:val="nil"/>
              <w:bottom w:val="single" w:sz="4" w:space="0" w:color="000000"/>
              <w:right w:val="single" w:sz="4" w:space="0" w:color="000000"/>
            </w:tcBorders>
            <w:vAlign w:val="center"/>
          </w:tcPr>
          <w:p w14:paraId="3F583509" w14:textId="77777777" w:rsidR="00770512" w:rsidRDefault="00000000">
            <w:pPr>
              <w:rPr>
                <w:rFonts w:ascii="Arial" w:eastAsia="Arial" w:hAnsi="Arial" w:cs="Arial"/>
                <w:color w:val="000000"/>
              </w:rPr>
            </w:pPr>
            <w:r>
              <w:rPr>
                <w:rFonts w:ascii="Arial" w:eastAsia="Arial" w:hAnsi="Arial" w:cs="Arial"/>
                <w:color w:val="000000"/>
              </w:rPr>
              <w:t>Well-structured, clear, and coherent writing with proper language and flow</w:t>
            </w:r>
          </w:p>
        </w:tc>
        <w:tc>
          <w:tcPr>
            <w:tcW w:w="1485" w:type="dxa"/>
            <w:tcBorders>
              <w:top w:val="nil"/>
              <w:left w:val="nil"/>
              <w:bottom w:val="single" w:sz="4" w:space="0" w:color="000000"/>
              <w:right w:val="single" w:sz="4" w:space="0" w:color="000000"/>
            </w:tcBorders>
            <w:vAlign w:val="center"/>
          </w:tcPr>
          <w:p w14:paraId="35F76BB8" w14:textId="77777777" w:rsidR="00770512" w:rsidRDefault="00000000">
            <w:pPr>
              <w:rPr>
                <w:rFonts w:ascii="Arial" w:eastAsia="Arial" w:hAnsi="Arial" w:cs="Arial"/>
                <w:color w:val="000000"/>
              </w:rPr>
            </w:pPr>
            <w:r>
              <w:rPr>
                <w:rFonts w:ascii="Arial" w:eastAsia="Arial" w:hAnsi="Arial" w:cs="Arial"/>
                <w:color w:val="000000"/>
              </w:rPr>
              <w:t>Generally clear with minor issues</w:t>
            </w:r>
          </w:p>
        </w:tc>
        <w:tc>
          <w:tcPr>
            <w:tcW w:w="1590" w:type="dxa"/>
            <w:tcBorders>
              <w:top w:val="nil"/>
              <w:left w:val="nil"/>
              <w:bottom w:val="single" w:sz="4" w:space="0" w:color="000000"/>
              <w:right w:val="single" w:sz="4" w:space="0" w:color="000000"/>
            </w:tcBorders>
            <w:vAlign w:val="center"/>
          </w:tcPr>
          <w:p w14:paraId="6FEC3653" w14:textId="77777777" w:rsidR="00770512" w:rsidRDefault="00000000">
            <w:pPr>
              <w:rPr>
                <w:rFonts w:ascii="Arial" w:eastAsia="Arial" w:hAnsi="Arial" w:cs="Arial"/>
                <w:color w:val="000000"/>
              </w:rPr>
            </w:pPr>
            <w:r>
              <w:rPr>
                <w:rFonts w:ascii="Arial" w:eastAsia="Arial" w:hAnsi="Arial" w:cs="Arial"/>
                <w:color w:val="000000"/>
              </w:rPr>
              <w:t>Poor organization; lacks clarity</w:t>
            </w:r>
          </w:p>
        </w:tc>
        <w:tc>
          <w:tcPr>
            <w:tcW w:w="1455" w:type="dxa"/>
            <w:tcBorders>
              <w:top w:val="nil"/>
              <w:left w:val="nil"/>
              <w:bottom w:val="single" w:sz="4" w:space="0" w:color="000000"/>
              <w:right w:val="single" w:sz="4" w:space="0" w:color="000000"/>
            </w:tcBorders>
            <w:vAlign w:val="center"/>
          </w:tcPr>
          <w:p w14:paraId="53ED0F1A" w14:textId="77777777" w:rsidR="00770512" w:rsidRDefault="00000000">
            <w:pPr>
              <w:rPr>
                <w:rFonts w:ascii="Arial" w:eastAsia="Arial" w:hAnsi="Arial" w:cs="Arial"/>
                <w:color w:val="000000"/>
              </w:rPr>
            </w:pPr>
            <w:r>
              <w:rPr>
                <w:rFonts w:ascii="Arial" w:eastAsia="Arial" w:hAnsi="Arial" w:cs="Arial"/>
                <w:color w:val="000000"/>
              </w:rPr>
              <w:t>Disorganized and difficult to understand</w:t>
            </w:r>
          </w:p>
        </w:tc>
      </w:tr>
    </w:tbl>
    <w:p w14:paraId="7E024897" w14:textId="77777777" w:rsidR="00C93920" w:rsidRPr="00C93920" w:rsidRDefault="00C93920" w:rsidP="00C93920">
      <w:pPr>
        <w:pStyle w:val="Heading1"/>
        <w:spacing w:before="300" w:after="150"/>
        <w:rPr>
          <w:b/>
          <w:bCs/>
          <w:color w:val="auto"/>
        </w:rPr>
      </w:pPr>
      <w:r w:rsidRPr="00C93920">
        <w:rPr>
          <w:b/>
          <w:bCs/>
          <w:color w:val="auto"/>
        </w:rPr>
        <w:t>Task 1: Article Summary</w:t>
      </w:r>
    </w:p>
    <w:p w14:paraId="38A7C829" w14:textId="77777777" w:rsidR="00C93920" w:rsidRPr="00C93920" w:rsidRDefault="00C93920" w:rsidP="00C93920">
      <w:pPr>
        <w:pStyle w:val="Heading2"/>
        <w:spacing w:before="250" w:after="120"/>
        <w:rPr>
          <w:i/>
          <w:iCs/>
          <w:color w:val="auto"/>
          <w:u w:val="single"/>
        </w:rPr>
      </w:pPr>
      <w:r w:rsidRPr="00C93920">
        <w:rPr>
          <w:i/>
          <w:iCs/>
          <w:color w:val="auto"/>
          <w:u w:val="single"/>
        </w:rPr>
        <w:t>(a) Full Citation</w:t>
      </w:r>
    </w:p>
    <w:p w14:paraId="17B697C0" w14:textId="77777777" w:rsidR="00C93920" w:rsidRPr="00C93920" w:rsidRDefault="00C93920" w:rsidP="00C93920">
      <w:pPr>
        <w:spacing w:after="150"/>
        <w:rPr>
          <w:sz w:val="24"/>
          <w:szCs w:val="24"/>
        </w:rPr>
      </w:pPr>
      <w:r w:rsidRPr="00C93920">
        <w:rPr>
          <w:sz w:val="24"/>
          <w:szCs w:val="24"/>
        </w:rPr>
        <w:t>S. K. L. Sameer and P. Sriramya, "Improving the Accuracy for Prediction of Heart Disease by Novel Feature Selection Scheme using Decision Tree Comparing with Naive-Bayes Classifier Algorithms," in Proc. 2022 International Conference on Business Analytics for Technology and Security (ICBATS), Dubai, United Arab Emirates, 2022, pp. 1-8.</w:t>
      </w:r>
    </w:p>
    <w:p w14:paraId="52E865D5" w14:textId="77777777" w:rsidR="00C93920" w:rsidRPr="00C93920" w:rsidRDefault="00C93920" w:rsidP="00C93920">
      <w:pPr>
        <w:spacing w:after="150"/>
        <w:rPr>
          <w:sz w:val="24"/>
          <w:szCs w:val="24"/>
        </w:rPr>
      </w:pPr>
      <w:r w:rsidRPr="00C93920">
        <w:rPr>
          <w:b/>
          <w:bCs/>
          <w:sz w:val="24"/>
          <w:szCs w:val="24"/>
        </w:rPr>
        <w:t xml:space="preserve">DOI: </w:t>
      </w:r>
      <w:r w:rsidRPr="00C93920">
        <w:rPr>
          <w:sz w:val="24"/>
          <w:szCs w:val="24"/>
        </w:rPr>
        <w:t>10.1109/ICBATS54253.2022.9758926</w:t>
      </w:r>
    </w:p>
    <w:p w14:paraId="3897885A" w14:textId="77777777" w:rsidR="00C93920" w:rsidRPr="00C93920" w:rsidRDefault="00C93920" w:rsidP="00C93920">
      <w:pPr>
        <w:spacing w:after="150"/>
        <w:rPr>
          <w:sz w:val="24"/>
          <w:szCs w:val="24"/>
        </w:rPr>
      </w:pPr>
      <w:r w:rsidRPr="00C93920">
        <w:rPr>
          <w:b/>
          <w:bCs/>
          <w:sz w:val="24"/>
          <w:szCs w:val="24"/>
        </w:rPr>
        <w:t xml:space="preserve">Publisher / Database: </w:t>
      </w:r>
      <w:r w:rsidRPr="00C93920">
        <w:rPr>
          <w:sz w:val="24"/>
          <w:szCs w:val="24"/>
        </w:rPr>
        <w:t>IEEE (IEEE Xplore Digital Library)</w:t>
      </w:r>
    </w:p>
    <w:p w14:paraId="2856B4B8" w14:textId="77777777" w:rsidR="00C93920" w:rsidRPr="00C93920" w:rsidRDefault="00C93920" w:rsidP="00C93920">
      <w:pPr>
        <w:spacing w:after="150"/>
        <w:rPr>
          <w:sz w:val="24"/>
          <w:szCs w:val="24"/>
        </w:rPr>
      </w:pPr>
      <w:r w:rsidRPr="00C93920">
        <w:rPr>
          <w:b/>
          <w:bCs/>
          <w:sz w:val="24"/>
          <w:szCs w:val="24"/>
        </w:rPr>
        <w:t xml:space="preserve">Domain / Application area: </w:t>
      </w:r>
      <w:r w:rsidRPr="00C93920">
        <w:rPr>
          <w:sz w:val="24"/>
          <w:szCs w:val="24"/>
        </w:rPr>
        <w:t>Healthcare analytics / clinical decision support - binary classification of patients as having heart disease or not, based on clinical attributes.</w:t>
      </w:r>
    </w:p>
    <w:p w14:paraId="215FD063" w14:textId="77777777" w:rsidR="00C93920" w:rsidRPr="00C93920" w:rsidRDefault="00C93920" w:rsidP="00C93920">
      <w:pPr>
        <w:spacing w:after="150"/>
        <w:rPr>
          <w:sz w:val="24"/>
          <w:szCs w:val="24"/>
        </w:rPr>
      </w:pPr>
      <w:r w:rsidRPr="00C93920">
        <w:rPr>
          <w:b/>
          <w:bCs/>
          <w:sz w:val="24"/>
          <w:szCs w:val="24"/>
        </w:rPr>
        <w:t xml:space="preserve">Specific ML problem: </w:t>
      </w:r>
      <w:r w:rsidRPr="00C93920">
        <w:rPr>
          <w:sz w:val="24"/>
          <w:szCs w:val="24"/>
        </w:rPr>
        <w:t>Supervised binary classification, comparing a Decision Tree classifier (paired with a proposed feature-selection scheme) against a Naive Bayes classifier for heart-disease prediction accuracy.</w:t>
      </w:r>
    </w:p>
    <w:p w14:paraId="73CA1BC3" w14:textId="77777777" w:rsidR="00C93920" w:rsidRPr="00C93920" w:rsidRDefault="00C93920" w:rsidP="00C93920">
      <w:pPr>
        <w:pStyle w:val="Heading2"/>
        <w:spacing w:before="250" w:after="120"/>
        <w:rPr>
          <w:i/>
          <w:iCs/>
          <w:color w:val="auto"/>
          <w:u w:val="single"/>
        </w:rPr>
      </w:pPr>
      <w:r w:rsidRPr="00C93920">
        <w:rPr>
          <w:i/>
          <w:iCs/>
          <w:color w:val="auto"/>
          <w:u w:val="single"/>
        </w:rPr>
        <w:t>(b) Summary of Objective (150-200 words)</w:t>
      </w:r>
    </w:p>
    <w:p w14:paraId="60646CF7" w14:textId="317B02C8" w:rsidR="00C93920" w:rsidRPr="00C93920" w:rsidRDefault="00C93920" w:rsidP="00C93920">
      <w:pPr>
        <w:spacing w:after="150"/>
        <w:rPr>
          <w:sz w:val="24"/>
          <w:szCs w:val="24"/>
        </w:rPr>
      </w:pPr>
      <w:r w:rsidRPr="00C93920">
        <w:rPr>
          <w:sz w:val="24"/>
          <w:szCs w:val="24"/>
        </w:rPr>
        <w:t xml:space="preserve">Cardiovascular disease remains one of the leading causes of death worldwide, and clinicians often need fast, reliable tools to flag high-risk patients from routine clinical data. This study sets out to improve the accuracy of automated heart-disease prediction by pairing a Decision Tree classifier with a novel feature-selection </w:t>
      </w:r>
      <w:r w:rsidRPr="00C93920">
        <w:rPr>
          <w:sz w:val="24"/>
          <w:szCs w:val="24"/>
        </w:rPr>
        <w:lastRenderedPageBreak/>
        <w:t>scheme, and then benchmarking it against a Naive Bayes classifier on the same task. The authors frame the research gap as follows: while both Decision Tree and Naive Bayes algorithms are widely used for medical diagnosis prediction, prior comparative studies rarely combine feature-selection with the classifier evaluation itself, which can leave models trained on redundant or weakly relevant attributes and therefore under-perform. To close this gap, the authors apply their feature-selection step before classification, run repeated independent-sample trials to obtain statistically robust accuracy estimates, and use significance testing to determine whether the Decision Tree's advantage over Naive Bayes is genuine rather than due to chance. Their headline finding is that the feature-selected Decision Tree reaches about 90.16% accuracy, outperforming the Naive Bayes baseline on the same dataset and validation setup.</w:t>
      </w:r>
    </w:p>
    <w:p w14:paraId="2C04E58F" w14:textId="77777777" w:rsidR="00C93920" w:rsidRPr="00C93920" w:rsidRDefault="00C93920" w:rsidP="00C93920">
      <w:pPr>
        <w:pStyle w:val="Heading1"/>
        <w:spacing w:before="300" w:after="150"/>
        <w:rPr>
          <w:b/>
          <w:bCs/>
          <w:color w:val="auto"/>
        </w:rPr>
      </w:pPr>
      <w:r w:rsidRPr="00C93920">
        <w:rPr>
          <w:b/>
          <w:bCs/>
          <w:color w:val="auto"/>
        </w:rPr>
        <w:t>Task 2: Methodology Analysis</w:t>
      </w:r>
    </w:p>
    <w:p w14:paraId="52E7618F" w14:textId="77777777" w:rsidR="00C93920" w:rsidRPr="00C93920" w:rsidRDefault="00C93920" w:rsidP="00C93920">
      <w:pPr>
        <w:pStyle w:val="Heading2"/>
        <w:spacing w:before="250" w:after="120"/>
        <w:rPr>
          <w:i/>
          <w:iCs/>
          <w:color w:val="auto"/>
          <w:u w:val="single"/>
        </w:rPr>
      </w:pPr>
      <w:r w:rsidRPr="00C93920">
        <w:rPr>
          <w:i/>
          <w:iCs/>
          <w:color w:val="auto"/>
          <w:u w:val="single"/>
        </w:rPr>
        <w:t>(a) ML Technique(s) Used</w:t>
      </w:r>
    </w:p>
    <w:p w14:paraId="11969726" w14:textId="77777777" w:rsidR="00C93920" w:rsidRPr="00C93920" w:rsidRDefault="00C93920" w:rsidP="00C93920">
      <w:pPr>
        <w:spacing w:after="150"/>
        <w:rPr>
          <w:sz w:val="24"/>
          <w:szCs w:val="24"/>
        </w:rPr>
      </w:pPr>
      <w:r w:rsidRPr="00C93920">
        <w:rPr>
          <w:sz w:val="24"/>
          <w:szCs w:val="24"/>
        </w:rPr>
        <w:t>The study compares two supervised classifiers on the same clinical dataset:</w:t>
      </w:r>
    </w:p>
    <w:p w14:paraId="59314B5E" w14:textId="77777777" w:rsidR="00C93920" w:rsidRPr="00C93920" w:rsidRDefault="00C93920" w:rsidP="00C93920">
      <w:pPr>
        <w:pStyle w:val="ListParagraph"/>
        <w:numPr>
          <w:ilvl w:val="0"/>
          <w:numId w:val="1"/>
        </w:numPr>
        <w:spacing w:after="80"/>
        <w:rPr>
          <w:sz w:val="24"/>
          <w:szCs w:val="24"/>
        </w:rPr>
      </w:pPr>
      <w:r w:rsidRPr="00C93920">
        <w:rPr>
          <w:sz w:val="24"/>
          <w:szCs w:val="24"/>
        </w:rPr>
        <w:t>Decision Tree classifier - the primary/proposed model, trained on a feature subset produced by the authors' novel feature-selection scheme. The paper does not specify in the openly accessible preview whether a specific variant (ID3, C4.5, or CART) was used; this detail requires the full paywalled text.</w:t>
      </w:r>
    </w:p>
    <w:p w14:paraId="532548B0" w14:textId="77777777" w:rsidR="00C93920" w:rsidRPr="00C93920" w:rsidRDefault="00C93920" w:rsidP="00C93920">
      <w:pPr>
        <w:pStyle w:val="ListParagraph"/>
        <w:numPr>
          <w:ilvl w:val="0"/>
          <w:numId w:val="1"/>
        </w:numPr>
        <w:spacing w:after="80"/>
        <w:rPr>
          <w:sz w:val="24"/>
          <w:szCs w:val="24"/>
        </w:rPr>
      </w:pPr>
      <w:r w:rsidRPr="00C93920">
        <w:rPr>
          <w:sz w:val="24"/>
          <w:szCs w:val="24"/>
        </w:rPr>
        <w:t>Naive Bayes classifier - used as the statistical-learning comparison group, trained on the same task for a like-for-like accuracy comparison.</w:t>
      </w:r>
    </w:p>
    <w:p w14:paraId="58626539" w14:textId="77777777" w:rsidR="00C93920" w:rsidRPr="00C93920" w:rsidRDefault="00C93920" w:rsidP="00C93920">
      <w:pPr>
        <w:spacing w:after="150"/>
        <w:rPr>
          <w:sz w:val="24"/>
          <w:szCs w:val="24"/>
        </w:rPr>
      </w:pPr>
      <w:r w:rsidRPr="00C93920">
        <w:rPr>
          <w:sz w:val="24"/>
          <w:szCs w:val="24"/>
        </w:rPr>
        <w:t>Dataset: the study uses a heart-disease clinical dataset (patient records with attributes such as age, blood pressure, cholesterol/glucose levels, and a binary disease-presence label, consistent with the UCI-style heart-disease datasets commonly used in this literature). The authors determined their sample size using G*Power with 80% statistical power and a 0.05 significance threshold, and repeated the train/test procedure 20 times to compute stable mean and standard-deviation accuracy figures within a 95% confidence interval. Exact sample size, the precise attribute list, and the train/test split ratio are not visible in the open-access abstract/preview and would need to be confirmed from the full IEEE Xplore text.</w:t>
      </w:r>
    </w:p>
    <w:p w14:paraId="51D21B04" w14:textId="77777777" w:rsidR="00C93920" w:rsidRPr="00C93920" w:rsidRDefault="00C93920" w:rsidP="00C93920">
      <w:pPr>
        <w:pStyle w:val="Heading2"/>
        <w:spacing w:before="250" w:after="120"/>
        <w:rPr>
          <w:i/>
          <w:iCs/>
          <w:color w:val="auto"/>
          <w:u w:val="single"/>
        </w:rPr>
      </w:pPr>
      <w:r w:rsidRPr="00C93920">
        <w:rPr>
          <w:i/>
          <w:iCs/>
          <w:color w:val="auto"/>
          <w:u w:val="single"/>
        </w:rPr>
        <w:t>(b) CO4 Mapping and Strength/Limitation</w:t>
      </w:r>
    </w:p>
    <w:p w14:paraId="04634418" w14:textId="77777777" w:rsidR="00C93920" w:rsidRPr="00C93920" w:rsidRDefault="00C93920" w:rsidP="00C93920">
      <w:pPr>
        <w:spacing w:after="150"/>
        <w:rPr>
          <w:sz w:val="24"/>
          <w:szCs w:val="24"/>
        </w:rPr>
      </w:pPr>
      <w:r w:rsidRPr="00C93920">
        <w:rPr>
          <w:b/>
          <w:bCs/>
          <w:sz w:val="24"/>
          <w:szCs w:val="24"/>
        </w:rPr>
        <w:t xml:space="preserve">CO4 mapping: </w:t>
      </w:r>
      <w:r w:rsidRPr="00C93920">
        <w:rPr>
          <w:sz w:val="24"/>
          <w:szCs w:val="24"/>
        </w:rPr>
        <w:t>Decision Trees (primary technique) and Statistical Learning Methods (Naive Bayes, used as the comparator). The paper is not concerned with Inductive Learning in the general rule-induction sense, nor with Reinforcement Learning.</w:t>
      </w:r>
    </w:p>
    <w:p w14:paraId="6F3805D0" w14:textId="77777777" w:rsidR="00C93920" w:rsidRPr="00C93920" w:rsidRDefault="00C93920" w:rsidP="00C93920">
      <w:pPr>
        <w:spacing w:after="150"/>
        <w:rPr>
          <w:sz w:val="24"/>
          <w:szCs w:val="24"/>
        </w:rPr>
      </w:pPr>
      <w:r w:rsidRPr="00C93920">
        <w:rPr>
          <w:b/>
          <w:bCs/>
          <w:sz w:val="24"/>
          <w:szCs w:val="24"/>
        </w:rPr>
        <w:t xml:space="preserve">Methodological strength: </w:t>
      </w:r>
      <w:r w:rsidRPr="00C93920">
        <w:rPr>
          <w:sz w:val="24"/>
          <w:szCs w:val="24"/>
        </w:rPr>
        <w:t>The authors go beyond a single train/test split - repeating the experiment 20 times and reporting results within a 95% confidence interval, with an a-priori power analysis (G*Power, 80% power) to justify sample size. This is stronger practice than the single-run accuracy comparisons common in similar heart-disease-prediction papers.</w:t>
      </w:r>
    </w:p>
    <w:p w14:paraId="5343E623" w14:textId="77777777" w:rsidR="00C93920" w:rsidRPr="00C93920" w:rsidRDefault="00C93920" w:rsidP="00C93920">
      <w:pPr>
        <w:spacing w:after="150"/>
        <w:rPr>
          <w:sz w:val="24"/>
          <w:szCs w:val="24"/>
        </w:rPr>
      </w:pPr>
      <w:r w:rsidRPr="00C93920">
        <w:rPr>
          <w:b/>
          <w:bCs/>
          <w:sz w:val="24"/>
          <w:szCs w:val="24"/>
        </w:rPr>
        <w:t xml:space="preserve">Methodological limitation: </w:t>
      </w:r>
      <w:r w:rsidRPr="00C93920">
        <w:rPr>
          <w:sz w:val="24"/>
          <w:szCs w:val="24"/>
        </w:rPr>
        <w:t>The openly accessible material does not report precision, recall, F1-score, or ROC-AUC - only overall accuracy is highlighted. On clinical data, which is often class-imbalanced (fewer positive/disease cases than negative), accuracy alone can be misleading, since a model that is biased toward the majority class can still score a high accuracy while missing many true disease cases.</w:t>
      </w:r>
    </w:p>
    <w:p w14:paraId="11F35C44" w14:textId="77777777" w:rsidR="00C93920" w:rsidRPr="00C93920" w:rsidRDefault="00C93920" w:rsidP="00C93920">
      <w:pPr>
        <w:pStyle w:val="Heading1"/>
        <w:spacing w:before="300" w:after="150"/>
        <w:rPr>
          <w:b/>
          <w:bCs/>
          <w:color w:val="auto"/>
        </w:rPr>
      </w:pPr>
      <w:r w:rsidRPr="00C93920">
        <w:rPr>
          <w:b/>
          <w:bCs/>
          <w:color w:val="auto"/>
        </w:rPr>
        <w:t>Task 3: Results &amp; Critical Evaluation</w:t>
      </w:r>
    </w:p>
    <w:p w14:paraId="40276370" w14:textId="77777777" w:rsidR="00C93920" w:rsidRPr="00C93920" w:rsidRDefault="00C93920" w:rsidP="00C93920">
      <w:pPr>
        <w:pStyle w:val="Heading2"/>
        <w:spacing w:before="250" w:after="120"/>
        <w:rPr>
          <w:i/>
          <w:iCs/>
          <w:color w:val="auto"/>
          <w:u w:val="single"/>
        </w:rPr>
      </w:pPr>
      <w:r w:rsidRPr="00C93920">
        <w:rPr>
          <w:i/>
          <w:iCs/>
          <w:color w:val="auto"/>
          <w:u w:val="single"/>
        </w:rPr>
        <w:t>(a) Key Results</w:t>
      </w:r>
    </w:p>
    <w:p w14:paraId="421E8525" w14:textId="77777777" w:rsidR="00C93920" w:rsidRDefault="00C93920" w:rsidP="00C93920">
      <w:pPr>
        <w:spacing w:after="150"/>
        <w:rPr>
          <w:sz w:val="24"/>
          <w:szCs w:val="24"/>
        </w:rPr>
      </w:pPr>
      <w:r w:rsidRPr="00C93920">
        <w:rPr>
          <w:sz w:val="24"/>
          <w:szCs w:val="24"/>
        </w:rPr>
        <w:t xml:space="preserve">The confirmed headline result from the openly accessible portion of the paper is that the feature-selected Decision Tree achieved 90.16% accuracy, outperforming the Naive Bayes classifier evaluated under the same conditions. The precise Naive Bayes accuracy value, along with precision/recall/F1-score for either </w:t>
      </w:r>
      <w:r w:rsidRPr="00C93920">
        <w:rPr>
          <w:sz w:val="24"/>
          <w:szCs w:val="24"/>
        </w:rPr>
        <w:lastRenderedPageBreak/>
        <w:t>model, sits behind the IEEE paywall and is not reproduced here; a comparative table is provided below with the fields that are confirmed versus the fields that require the full text.</w:t>
      </w:r>
    </w:p>
    <w:p w14:paraId="31A75293" w14:textId="1AC06D18" w:rsidR="00C93920" w:rsidRDefault="00C93920" w:rsidP="00C93920">
      <w:pPr>
        <w:spacing w:after="150"/>
        <w:rPr>
          <w:sz w:val="24"/>
          <w:szCs w:val="24"/>
        </w:rPr>
      </w:pPr>
      <w:r w:rsidRPr="00C93920">
        <w:rPr>
          <w:sz w:val="24"/>
          <w:szCs w:val="24"/>
        </w:rPr>
        <w:drawing>
          <wp:inline distT="0" distB="0" distL="0" distR="0" wp14:anchorId="6325EA4A" wp14:editId="4099F80B">
            <wp:extent cx="6309907" cy="1676545"/>
            <wp:effectExtent l="0" t="0" r="0" b="0"/>
            <wp:docPr id="2027796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796030" name=""/>
                    <pic:cNvPicPr/>
                  </pic:nvPicPr>
                  <pic:blipFill>
                    <a:blip r:embed="rId6"/>
                    <a:stretch>
                      <a:fillRect/>
                    </a:stretch>
                  </pic:blipFill>
                  <pic:spPr>
                    <a:xfrm>
                      <a:off x="0" y="0"/>
                      <a:ext cx="6309907" cy="1676545"/>
                    </a:xfrm>
                    <a:prstGeom prst="rect">
                      <a:avLst/>
                    </a:prstGeom>
                  </pic:spPr>
                </pic:pic>
              </a:graphicData>
            </a:graphic>
          </wp:inline>
        </w:drawing>
      </w:r>
    </w:p>
    <w:p w14:paraId="1D6BDE00" w14:textId="77777777" w:rsidR="00C93920" w:rsidRPr="00C93920" w:rsidRDefault="00C93920" w:rsidP="00C93920">
      <w:pPr>
        <w:pStyle w:val="Heading2"/>
        <w:spacing w:before="250" w:after="120"/>
        <w:rPr>
          <w:i/>
          <w:iCs/>
          <w:color w:val="auto"/>
          <w:u w:val="single"/>
        </w:rPr>
      </w:pPr>
      <w:r w:rsidRPr="00C93920">
        <w:rPr>
          <w:i/>
          <w:iCs/>
          <w:color w:val="auto"/>
          <w:u w:val="single"/>
        </w:rPr>
        <w:t>(b) Critical Evaluation</w:t>
      </w:r>
    </w:p>
    <w:p w14:paraId="4E30610B" w14:textId="77777777" w:rsidR="00C93920" w:rsidRPr="00C93920" w:rsidRDefault="00C93920" w:rsidP="00C93920">
      <w:pPr>
        <w:pStyle w:val="ListParagraph"/>
        <w:numPr>
          <w:ilvl w:val="0"/>
          <w:numId w:val="1"/>
        </w:numPr>
        <w:spacing w:after="80"/>
        <w:rPr>
          <w:sz w:val="24"/>
          <w:szCs w:val="24"/>
        </w:rPr>
      </w:pPr>
      <w:r w:rsidRPr="00C93920">
        <w:rPr>
          <w:sz w:val="24"/>
          <w:szCs w:val="24"/>
        </w:rPr>
        <w:t>Realism of the metric: reporting accuracy alone (rather than precision, recall, F1, or AUC) is a red flag for a medical-diagnosis task - a 90.16% accuracy could still hide a poor recall on the disease-positive class, which is the case that matters most clinically (a missed diagnosis is costlier than a false alarm).</w:t>
      </w:r>
    </w:p>
    <w:p w14:paraId="3107C1EE" w14:textId="5D533916" w:rsidR="00C93920" w:rsidRPr="00C93920" w:rsidRDefault="00C93920" w:rsidP="00C93920">
      <w:pPr>
        <w:pStyle w:val="ListParagraph"/>
        <w:numPr>
          <w:ilvl w:val="0"/>
          <w:numId w:val="1"/>
        </w:numPr>
        <w:spacing w:after="80"/>
        <w:rPr>
          <w:sz w:val="24"/>
          <w:szCs w:val="24"/>
        </w:rPr>
      </w:pPr>
      <w:r w:rsidRPr="00C93920">
        <w:rPr>
          <w:sz w:val="24"/>
          <w:szCs w:val="24"/>
        </w:rPr>
        <w:t xml:space="preserve">Potential bias - dataset: heart-disease datasets used in this literature stream are frequently small (a few hundred records) and drawn from a single hospital/region, which limits </w:t>
      </w:r>
      <w:r w:rsidR="00F721BD" w:rsidRPr="00C93920">
        <w:rPr>
          <w:sz w:val="24"/>
          <w:szCs w:val="24"/>
        </w:rPr>
        <w:t>generalizability</w:t>
      </w:r>
      <w:r w:rsidRPr="00C93920">
        <w:rPr>
          <w:sz w:val="24"/>
          <w:szCs w:val="24"/>
        </w:rPr>
        <w:t xml:space="preserve"> to other populations; it is not confirmed whether this study addresses class imbalance (e.g., via SMOTE or class weighting).</w:t>
      </w:r>
    </w:p>
    <w:p w14:paraId="11A7A69F" w14:textId="77777777" w:rsidR="00C93920" w:rsidRPr="00C93920" w:rsidRDefault="00C93920" w:rsidP="00C93920">
      <w:pPr>
        <w:pStyle w:val="ListParagraph"/>
        <w:numPr>
          <w:ilvl w:val="0"/>
          <w:numId w:val="1"/>
        </w:numPr>
        <w:spacing w:after="80"/>
        <w:rPr>
          <w:sz w:val="24"/>
          <w:szCs w:val="24"/>
        </w:rPr>
      </w:pPr>
      <w:r w:rsidRPr="00C93920">
        <w:rPr>
          <w:sz w:val="24"/>
          <w:szCs w:val="24"/>
        </w:rPr>
        <w:t>Potential bias - evaluation protocol: repeating the experiment 20 times strengthens statistical confidence, but if the same dataset is reshuffled and re-split each time without a held-out external test set, the reported accuracy may still overstate real-world performance (a form of optimistic bias from repeated use of the same pool of records).</w:t>
      </w:r>
    </w:p>
    <w:p w14:paraId="67AFEF76" w14:textId="77777777" w:rsidR="00C93920" w:rsidRPr="00C93920" w:rsidRDefault="00C93920" w:rsidP="00C93920">
      <w:pPr>
        <w:pStyle w:val="ListParagraph"/>
        <w:numPr>
          <w:ilvl w:val="0"/>
          <w:numId w:val="1"/>
        </w:numPr>
        <w:spacing w:after="80"/>
        <w:rPr>
          <w:sz w:val="24"/>
          <w:szCs w:val="24"/>
        </w:rPr>
      </w:pPr>
      <w:r w:rsidRPr="00C93920">
        <w:rPr>
          <w:sz w:val="24"/>
          <w:szCs w:val="24"/>
        </w:rPr>
        <w:t>Strengthening experiments: (1) report a full metric suite (precision, recall, F1, specificity, ROC-AUC) and a confusion matrix, not just accuracy; (2) validate on an external, independently collected heart-disease dataset; (3) run k-fold cross-validation in addition to repeated holdout trials; (4) test robustness to class imbalance explicitly.</w:t>
      </w:r>
    </w:p>
    <w:p w14:paraId="63826991" w14:textId="77777777" w:rsidR="00C93920" w:rsidRPr="00C93920" w:rsidRDefault="00C93920" w:rsidP="00C93920">
      <w:pPr>
        <w:pStyle w:val="Heading2"/>
        <w:spacing w:before="250" w:after="120"/>
        <w:rPr>
          <w:i/>
          <w:iCs/>
          <w:color w:val="auto"/>
          <w:u w:val="single"/>
        </w:rPr>
      </w:pPr>
      <w:r w:rsidRPr="00C93920">
        <w:rPr>
          <w:i/>
          <w:iCs/>
          <w:color w:val="auto"/>
          <w:u w:val="single"/>
        </w:rPr>
        <w:t>(c) Real-World Applicability</w:t>
      </w:r>
    </w:p>
    <w:p w14:paraId="1D18C881" w14:textId="77777777" w:rsidR="00C93920" w:rsidRPr="00C93920" w:rsidRDefault="00C93920" w:rsidP="00C93920">
      <w:pPr>
        <w:spacing w:after="150"/>
        <w:rPr>
          <w:sz w:val="24"/>
          <w:szCs w:val="24"/>
        </w:rPr>
      </w:pPr>
      <w:r w:rsidRPr="00C93920">
        <w:rPr>
          <w:sz w:val="24"/>
          <w:szCs w:val="24"/>
        </w:rPr>
        <w:t>A lightweight, interpretable Decision Tree of this kind is well suited to deployment as a clinical decision-support / triage aid in primary-care or screening settings - it can flag higher-risk patients for further cardiology work-up, and its rule-based structure is easy for a clinician to inspect and sanity-check, unlike a black-box model.</w:t>
      </w:r>
    </w:p>
    <w:p w14:paraId="5AD0B4C2" w14:textId="77777777" w:rsidR="00C93920" w:rsidRDefault="00C93920" w:rsidP="00C93920">
      <w:pPr>
        <w:spacing w:after="150"/>
        <w:rPr>
          <w:sz w:val="24"/>
          <w:szCs w:val="24"/>
        </w:rPr>
      </w:pPr>
      <w:r w:rsidRPr="00C93920">
        <w:rPr>
          <w:sz w:val="24"/>
          <w:szCs w:val="24"/>
        </w:rPr>
        <w:t>Scaling this to real industry/clinical use raises several challenges: data availability (larger, more diverse, multi-site patient data is needed to avoid overfitting to one hospital's population); compute is not a major barrier for a Decision Tree, but continuous data pipelines and model-monitoring infrastructure would be; and ethical issues are significant - clinical predictions must be validated for fairness across age, sex, and ethnicity groups, patient data must be handled under privacy regulation (e.g., HIPAA/GDPR-equivalent), and any deployed tool needs a clear human-in-the-loop review step so it augments rather than replaces clinical judgement.</w:t>
      </w:r>
    </w:p>
    <w:p w14:paraId="50226B8E" w14:textId="77777777" w:rsidR="00C93920" w:rsidRPr="00C93920" w:rsidRDefault="00C93920" w:rsidP="00C93920">
      <w:pPr>
        <w:pStyle w:val="Heading1"/>
        <w:spacing w:before="300" w:after="150"/>
        <w:rPr>
          <w:b/>
          <w:bCs/>
          <w:color w:val="auto"/>
        </w:rPr>
      </w:pPr>
      <w:r w:rsidRPr="00C93920">
        <w:rPr>
          <w:b/>
          <w:bCs/>
          <w:color w:val="auto"/>
        </w:rPr>
        <w:t>Task 4: Reflection &amp; Learning Outcome</w:t>
      </w:r>
    </w:p>
    <w:p w14:paraId="538514CE" w14:textId="77777777" w:rsidR="00C93920" w:rsidRPr="00C93920" w:rsidRDefault="00C93920" w:rsidP="00C93920">
      <w:pPr>
        <w:pStyle w:val="Heading2"/>
        <w:spacing w:before="250" w:after="120"/>
        <w:rPr>
          <w:i/>
          <w:iCs/>
          <w:color w:val="auto"/>
          <w:u w:val="single"/>
        </w:rPr>
      </w:pPr>
      <w:r w:rsidRPr="00C93920">
        <w:rPr>
          <w:i/>
          <w:iCs/>
          <w:color w:val="auto"/>
          <w:u w:val="single"/>
        </w:rPr>
        <w:t>(a) Three Key Insights</w:t>
      </w:r>
    </w:p>
    <w:p w14:paraId="337C0418" w14:textId="77777777" w:rsidR="00C93920" w:rsidRPr="00C93920" w:rsidRDefault="00C93920" w:rsidP="00C93920">
      <w:pPr>
        <w:spacing w:after="150"/>
        <w:rPr>
          <w:sz w:val="24"/>
          <w:szCs w:val="24"/>
        </w:rPr>
      </w:pPr>
      <w:r w:rsidRPr="00C93920">
        <w:rPr>
          <w:b/>
          <w:bCs/>
          <w:sz w:val="24"/>
          <w:szCs w:val="24"/>
        </w:rPr>
        <w:lastRenderedPageBreak/>
        <w:t xml:space="preserve">1. Feature selection materially changes classifier performance - </w:t>
      </w:r>
      <w:r w:rsidRPr="00C93920">
        <w:rPr>
          <w:sz w:val="24"/>
          <w:szCs w:val="24"/>
        </w:rPr>
        <w:t>connects to the Statistical Learning / Decision Trees CO4 topic on preprocessing: pruning irrelevant attributes before training a Decision Tree can raise accuracy and reduce overfitting, reinforcing that model choice and feature engineering are not independent decisions.</w:t>
      </w:r>
    </w:p>
    <w:p w14:paraId="37B5DDB8" w14:textId="77777777" w:rsidR="00C93920" w:rsidRPr="00C93920" w:rsidRDefault="00C93920" w:rsidP="00C93920">
      <w:pPr>
        <w:spacing w:after="150"/>
        <w:rPr>
          <w:sz w:val="24"/>
          <w:szCs w:val="24"/>
        </w:rPr>
      </w:pPr>
      <w:r w:rsidRPr="00C93920">
        <w:rPr>
          <w:b/>
          <w:bCs/>
          <w:sz w:val="24"/>
          <w:szCs w:val="24"/>
        </w:rPr>
        <w:t xml:space="preserve">2. Decision Trees can outperform Naive Bayes on structured tabular clinical data - </w:t>
      </w:r>
      <w:r w:rsidRPr="00C93920">
        <w:rPr>
          <w:sz w:val="24"/>
          <w:szCs w:val="24"/>
        </w:rPr>
        <w:t>connects to the CO4 comparison of Decision Trees vs. Statistical Learning Methods: Naive Bayes assumes conditional independence between features, an assumption that is often violated in clinical attributes (e.g., blood pressure and cholesterol are correlated), which likely explains its weaker performance here.</w:t>
      </w:r>
    </w:p>
    <w:p w14:paraId="57079CE1" w14:textId="77777777" w:rsidR="00C93920" w:rsidRPr="00C93920" w:rsidRDefault="00C93920" w:rsidP="00C93920">
      <w:pPr>
        <w:spacing w:after="150"/>
        <w:rPr>
          <w:sz w:val="24"/>
          <w:szCs w:val="24"/>
        </w:rPr>
      </w:pPr>
      <w:r w:rsidRPr="00C93920">
        <w:rPr>
          <w:b/>
          <w:bCs/>
          <w:sz w:val="24"/>
          <w:szCs w:val="24"/>
        </w:rPr>
        <w:t xml:space="preserve">3. Accuracy alone is an insufficient evaluation metric - </w:t>
      </w:r>
      <w:r w:rsidRPr="00C93920">
        <w:rPr>
          <w:sz w:val="24"/>
          <w:szCs w:val="24"/>
        </w:rPr>
        <w:t>connects to the CO4 topic of evaluating classification/statistical learning models: metrics like precision, recall, F1-score, and ROC-AUC are essential, especially for imbalanced, high-stakes domains such as medical diagnosis, where the cost of a false negative and a false positive are not equal.</w:t>
      </w:r>
    </w:p>
    <w:p w14:paraId="5A1A570D" w14:textId="77777777" w:rsidR="00C93920" w:rsidRPr="00C93920" w:rsidRDefault="00C93920" w:rsidP="00C93920">
      <w:pPr>
        <w:pStyle w:val="Heading2"/>
        <w:spacing w:before="250" w:after="120"/>
        <w:rPr>
          <w:i/>
          <w:iCs/>
          <w:color w:val="auto"/>
          <w:u w:val="single"/>
        </w:rPr>
      </w:pPr>
      <w:r w:rsidRPr="00C93920">
        <w:rPr>
          <w:i/>
          <w:iCs/>
          <w:color w:val="auto"/>
          <w:u w:val="single"/>
        </w:rPr>
        <w:t>(b) Proposed Extension</w:t>
      </w:r>
    </w:p>
    <w:p w14:paraId="3F8A7C78" w14:textId="5F70FF12" w:rsidR="00C93920" w:rsidRPr="00F721BD" w:rsidRDefault="00C93920" w:rsidP="00C93920">
      <w:pPr>
        <w:spacing w:after="150"/>
        <w:rPr>
          <w:sz w:val="24"/>
          <w:szCs w:val="24"/>
        </w:rPr>
      </w:pPr>
      <w:r w:rsidRPr="00F721BD">
        <w:rPr>
          <w:sz w:val="24"/>
          <w:szCs w:val="24"/>
        </w:rPr>
        <w:t xml:space="preserve">Proposed experiment: extend the study by applying the same feature-selected Decision Tree approach to a larger, multi-region heart-disease dataset (e.g., combining the Cleveland, Hungarian, Switzerland, and Long Beach UCI heart-disease subsets, or a newer IEEE </w:t>
      </w:r>
      <w:r w:rsidR="00F721BD" w:rsidRPr="00F721BD">
        <w:rPr>
          <w:sz w:val="24"/>
          <w:szCs w:val="24"/>
        </w:rPr>
        <w:t>Data Port</w:t>
      </w:r>
      <w:r w:rsidRPr="00F721BD">
        <w:rPr>
          <w:sz w:val="24"/>
          <w:szCs w:val="24"/>
        </w:rPr>
        <w:t xml:space="preserve"> clinical dataset) and benchmarking against a wider set of models - Naive Bayes, Logistic Regression, Random Forest, and XGBoost - using a full metric suite (precision, recall, F1, ROC-AUC) plus 5-fold cross-validation instead of only repeated random holdout.</w:t>
      </w:r>
    </w:p>
    <w:p w14:paraId="3ED5CCE7" w14:textId="77777777" w:rsidR="00C93920" w:rsidRPr="00F721BD" w:rsidRDefault="00C93920" w:rsidP="00C93920">
      <w:pPr>
        <w:spacing w:after="150"/>
        <w:rPr>
          <w:sz w:val="24"/>
          <w:szCs w:val="24"/>
        </w:rPr>
      </w:pPr>
      <w:r w:rsidRPr="00F721BD">
        <w:rPr>
          <w:sz w:val="24"/>
          <w:szCs w:val="24"/>
        </w:rPr>
        <w:t>Justification for feasibility: all of the proposed datasets are already public and commonly used in this literature, so no new data-collection effort is required; the additional models (Random Forest, XGBoost) are simple ensemble extensions of the Decision Tree already used in the original study, so the implementation cost is low.</w:t>
      </w:r>
    </w:p>
    <w:p w14:paraId="2B22946F" w14:textId="77777777" w:rsidR="00C93920" w:rsidRPr="00F721BD" w:rsidRDefault="00C93920" w:rsidP="00C93920">
      <w:pPr>
        <w:spacing w:after="150"/>
        <w:rPr>
          <w:sz w:val="24"/>
          <w:szCs w:val="24"/>
        </w:rPr>
      </w:pPr>
      <w:r w:rsidRPr="00F721BD">
        <w:rPr>
          <w:sz w:val="24"/>
          <w:szCs w:val="24"/>
        </w:rPr>
        <w:t>Expected impact: combining multiple regional datasets would test whether the reported 90.16% accuracy generalises across populations rather than being specific to one hospital's patient mix, and reporting a full metric suite would reveal whether the Decision Tree's advantage holds up on recall/F1 (clinically the more important metrics) and not just on raw accuracy - directly addressing the main limitation identified in Task 3(b).</w:t>
      </w:r>
    </w:p>
    <w:p w14:paraId="7898F0D8" w14:textId="77777777" w:rsidR="00C93920" w:rsidRPr="00C93920" w:rsidRDefault="00C93920" w:rsidP="00C93920">
      <w:pPr>
        <w:spacing w:after="150"/>
        <w:rPr>
          <w:sz w:val="24"/>
          <w:szCs w:val="24"/>
        </w:rPr>
      </w:pPr>
    </w:p>
    <w:p w14:paraId="1FBE9365" w14:textId="77777777" w:rsidR="00C93920" w:rsidRPr="00C93920" w:rsidRDefault="00C93920" w:rsidP="00C93920">
      <w:pPr>
        <w:spacing w:after="150"/>
        <w:rPr>
          <w:sz w:val="24"/>
          <w:szCs w:val="24"/>
        </w:rPr>
      </w:pPr>
    </w:p>
    <w:p w14:paraId="0A36041B" w14:textId="77777777" w:rsidR="00770512" w:rsidRDefault="00770512">
      <w:pPr>
        <w:tabs>
          <w:tab w:val="left" w:pos="9810"/>
        </w:tabs>
        <w:spacing w:before="120" w:after="80"/>
        <w:rPr>
          <w:rFonts w:ascii="Arial" w:eastAsia="Arial" w:hAnsi="Arial" w:cs="Arial"/>
          <w:b/>
          <w:bCs/>
          <w:sz w:val="24"/>
          <w:szCs w:val="24"/>
          <w:u w:val="single"/>
        </w:rPr>
      </w:pPr>
    </w:p>
    <w:sectPr w:rsidR="00770512">
      <w:pgSz w:w="12240" w:h="15840"/>
      <w:pgMar w:top="720" w:right="630" w:bottom="720" w:left="117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C63A315-AA6E-44D9-96EB-B39AE623D145}"/>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8FDA0F77-845B-446A-B908-E4CB5BA9AB13}"/>
  </w:font>
  <w:font w:name="Cambria">
    <w:panose1 w:val="02040503050406030204"/>
    <w:charset w:val="00"/>
    <w:family w:val="roman"/>
    <w:pitch w:val="variable"/>
    <w:sig w:usb0="E00006FF" w:usb1="420024FF" w:usb2="02000000" w:usb3="00000000" w:csb0="0000019F" w:csb1="00000000"/>
    <w:embedRegular r:id="rId3" w:fontKey="{7D78468C-A02E-4966-AEE3-78D0E3058D0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9B2CCE"/>
    <w:multiLevelType w:val="hybridMultilevel"/>
    <w:tmpl w:val="2A3A537C"/>
    <w:lvl w:ilvl="0" w:tplc="39724EA2">
      <w:start w:val="1"/>
      <w:numFmt w:val="bullet"/>
      <w:lvlText w:val="●"/>
      <w:lvlJc w:val="left"/>
      <w:pPr>
        <w:ind w:left="720" w:hanging="360"/>
      </w:pPr>
    </w:lvl>
    <w:lvl w:ilvl="1" w:tplc="234C69E4">
      <w:start w:val="1"/>
      <w:numFmt w:val="bullet"/>
      <w:lvlText w:val="○"/>
      <w:lvlJc w:val="left"/>
      <w:pPr>
        <w:ind w:left="1440" w:hanging="360"/>
      </w:pPr>
    </w:lvl>
    <w:lvl w:ilvl="2" w:tplc="E88CC68C">
      <w:start w:val="1"/>
      <w:numFmt w:val="bullet"/>
      <w:lvlText w:val="■"/>
      <w:lvlJc w:val="left"/>
      <w:pPr>
        <w:ind w:left="2160" w:hanging="360"/>
      </w:pPr>
    </w:lvl>
    <w:lvl w:ilvl="3" w:tplc="A57C0722">
      <w:start w:val="1"/>
      <w:numFmt w:val="bullet"/>
      <w:lvlText w:val="●"/>
      <w:lvlJc w:val="left"/>
      <w:pPr>
        <w:ind w:left="2880" w:hanging="360"/>
      </w:pPr>
    </w:lvl>
    <w:lvl w:ilvl="4" w:tplc="13F62618">
      <w:start w:val="1"/>
      <w:numFmt w:val="bullet"/>
      <w:lvlText w:val="○"/>
      <w:lvlJc w:val="left"/>
      <w:pPr>
        <w:ind w:left="3600" w:hanging="360"/>
      </w:pPr>
    </w:lvl>
    <w:lvl w:ilvl="5" w:tplc="A8847A6A">
      <w:start w:val="1"/>
      <w:numFmt w:val="bullet"/>
      <w:lvlText w:val="■"/>
      <w:lvlJc w:val="left"/>
      <w:pPr>
        <w:ind w:left="4320" w:hanging="360"/>
      </w:pPr>
    </w:lvl>
    <w:lvl w:ilvl="6" w:tplc="D85494D0">
      <w:start w:val="1"/>
      <w:numFmt w:val="bullet"/>
      <w:lvlText w:val="●"/>
      <w:lvlJc w:val="left"/>
      <w:pPr>
        <w:ind w:left="5040" w:hanging="360"/>
      </w:pPr>
    </w:lvl>
    <w:lvl w:ilvl="7" w:tplc="6D0CFE78">
      <w:start w:val="1"/>
      <w:numFmt w:val="bullet"/>
      <w:lvlText w:val="●"/>
      <w:lvlJc w:val="left"/>
      <w:pPr>
        <w:ind w:left="5760" w:hanging="360"/>
      </w:pPr>
    </w:lvl>
    <w:lvl w:ilvl="8" w:tplc="E82EE2D4">
      <w:start w:val="1"/>
      <w:numFmt w:val="bullet"/>
      <w:lvlText w:val="●"/>
      <w:lvlJc w:val="left"/>
      <w:pPr>
        <w:ind w:left="6480" w:hanging="360"/>
      </w:pPr>
    </w:lvl>
  </w:abstractNum>
  <w:num w:numId="1" w16cid:durableId="16948449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1338"/>
    <w:rsid w:val="00270932"/>
    <w:rsid w:val="003A1338"/>
    <w:rsid w:val="0073065E"/>
    <w:rsid w:val="00770512"/>
    <w:rsid w:val="009213FD"/>
    <w:rsid w:val="00A00291"/>
    <w:rsid w:val="00BC0441"/>
    <w:rsid w:val="00C93920"/>
    <w:rsid w:val="00EA48B1"/>
    <w:rsid w:val="00F721BD"/>
    <w:rsid w:val="00FD6B8C"/>
    <w:rsid w:val="061B687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1CD7557"/>
  <w15:docId w15:val="{4B260FF4-4EED-4E17-9A89-1E716AEEB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iPriority="0"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IN" w:eastAsia="en-IN"/>
    </w:r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uiPriority w:val="10"/>
    <w:qFormat/>
    <w:rPr>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tblCellMar>
        <w:top w:w="0" w:type="dxa"/>
        <w:left w:w="115" w:type="dxa"/>
        <w:bottom w:w="0" w:type="dxa"/>
        <w:right w:w="115" w:type="dxa"/>
      </w:tblCellMar>
    </w:tblPr>
  </w:style>
  <w:style w:type="paragraph" w:styleId="ListParagraph">
    <w:name w:val="List Paragraph"/>
    <w:qFormat/>
    <w:rsid w:val="00C939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2108</Words>
  <Characters>12017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Shailaja Sankar</cp:lastModifiedBy>
  <cp:revision>2</cp:revision>
  <dcterms:created xsi:type="dcterms:W3CDTF">2026-08-21T09:05:00Z</dcterms:created>
  <dcterms:modified xsi:type="dcterms:W3CDTF">2026-08-21T09:05:00Z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1033-12.1.0.26880</vt:lpwstr>
  </property>
  <property fmtid="{D5CDD505-2E9C-101B-9397-08002B2CF9AE}" pid="4" name="ICV">
    <vt:lpwstr>0E8C3A622F024186A5A3304D8BA27780_12</vt:lpwstr>
  </property>
</Properties>
</file>