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tl w:val="0"/>
        </w:rPr>
        <w:t xml:space="preserve"> SIMATS ENGINEERING</w:t>
      </w:r>
    </w:p>
    <w:p w14:paraId="00000002">
      <w:pPr>
        <w:jc w:val="center"/>
        <w:rPr>
          <w:b/>
          <w:bCs/>
          <w:sz w:val="28"/>
          <w:szCs w:val="28"/>
        </w:rPr>
      </w:pPr>
      <w:bookmarkStart w:id="0" w:name="_heading=h.aed08ur8k5is" w:colFirst="0" w:colLast="0"/>
      <w:bookmarkEnd w:id="0"/>
      <w:r>
        <w:rPr>
          <w:b/>
          <w:bCs/>
          <w:sz w:val="28"/>
          <w:szCs w:val="28"/>
          <w:rtl w:val="0"/>
        </w:rPr>
        <w:t>ASSESSMENT TOOL 1</w:t>
      </w:r>
    </w:p>
    <w:p w14:paraId="00000003">
      <w:pPr>
        <w:jc w:val="center"/>
        <w:rPr>
          <w:b/>
          <w:bCs/>
          <w:sz w:val="34"/>
          <w:szCs w:val="34"/>
        </w:rPr>
      </w:pPr>
    </w:p>
    <w:p w14:paraId="00000004">
      <w:pPr>
        <w:rPr>
          <w:rFonts w:ascii="Arial" w:hAnsi="Arial" w:eastAsia="Arial" w:cs="Arial"/>
          <w:b/>
          <w:bCs/>
        </w:rPr>
      </w:pPr>
      <w:r>
        <w:rPr>
          <w:rFonts w:ascii="Arial" w:hAnsi="Arial" w:eastAsia="Arial" w:cs="Arial"/>
          <w:b/>
          <w:bCs/>
          <w:rtl w:val="0"/>
        </w:rPr>
        <w:t>COURSE NAME:</w:t>
      </w:r>
      <w:r>
        <w:rPr>
          <w:rFonts w:ascii="Arial" w:hAnsi="Arial" w:eastAsia="Arial" w:cs="Arial"/>
          <w:rtl w:val="0"/>
        </w:rPr>
        <w:t xml:space="preserve"> </w:t>
      </w:r>
      <w:r>
        <w:rPr>
          <w:rFonts w:ascii="Arial" w:hAnsi="Arial" w:eastAsia="Arial" w:cs="Arial"/>
          <w:b/>
          <w:bCs/>
          <w:rtl w:val="0"/>
        </w:rPr>
        <w:t>Ethical Hacking</w:t>
      </w:r>
      <w:r>
        <w:rPr>
          <w:rFonts w:ascii="Arial" w:hAnsi="Arial" w:eastAsia="Arial" w:cs="Arial"/>
          <w:b/>
          <w:bCs/>
          <w:rtl w:val="0"/>
        </w:rPr>
        <w:tab/>
      </w:r>
      <w:r>
        <w:rPr>
          <w:rFonts w:ascii="Arial" w:hAnsi="Arial" w:eastAsia="Arial" w:cs="Arial"/>
          <w:b/>
          <w:bCs/>
          <w:rtl w:val="0"/>
        </w:rPr>
        <w:t xml:space="preserve">                                                  COURSE CODE: ITA14 </w:t>
      </w:r>
      <w:r>
        <w:rPr>
          <w:rFonts w:ascii="Arial" w:hAnsi="Arial" w:eastAsia="Arial" w:cs="Arial"/>
          <w:b/>
          <w:bCs/>
          <w:rtl w:val="0"/>
        </w:rPr>
        <w:tab/>
      </w:r>
      <w:r>
        <w:rPr>
          <w:rFonts w:ascii="Arial" w:hAnsi="Arial" w:eastAsia="Arial" w:cs="Arial"/>
          <w:b/>
          <w:bCs/>
          <w:rtl w:val="0"/>
        </w:rPr>
        <w:tab/>
      </w:r>
      <w:r>
        <w:rPr>
          <w:rFonts w:ascii="Arial" w:hAnsi="Arial" w:eastAsia="Arial" w:cs="Arial"/>
          <w:b/>
          <w:bCs/>
          <w:rtl w:val="0"/>
        </w:rPr>
        <w:tab/>
      </w:r>
    </w:p>
    <w:p w14:paraId="00000005">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6559550" cy="57785"/>
                <wp:effectExtent l="0" t="0" r="0" b="0"/>
                <wp:docPr id="2" name="Rectangle 2"/>
                <wp:cNvGraphicFramePr/>
                <a:graphic xmlns:a="http://schemas.openxmlformats.org/drawingml/2006/main">
                  <a:graphicData uri="http://schemas.microsoft.com/office/word/2010/wordprocessingShape">
                    <wps:wsp>
                      <wps:cNvSpPr/>
                      <wps:spPr>
                        <a:xfrm>
                          <a:off x="2072575" y="3757141"/>
                          <a:ext cx="6546850" cy="45719"/>
                        </a:xfrm>
                        <a:prstGeom prst="rect">
                          <a:avLst/>
                        </a:prstGeom>
                        <a:noFill/>
                        <a:ln w="12700" cap="flat" cmpd="sng">
                          <a:solidFill>
                            <a:srgbClr val="000000"/>
                          </a:solidFill>
                          <a:prstDash val="solid"/>
                          <a:round/>
                          <a:headEnd type="none" w="sm" len="sm"/>
                          <a:tailEnd type="none" w="sm" len="sm"/>
                        </a:ln>
                      </wps:spPr>
                      <wps:txbx>
                        <w:txbxContent>
                          <w:p w14:paraId="06A0923F">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4.55pt;width:516.5pt;v-text-anchor:middle;" filled="f" stroked="t" coordsize="21600,21600" o:gfxdata="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aIYMu0wAAAAQBAAAPAAAAAAAAAAEAIAAAACIAAABkcnMvZG93bnJldi54&#10;bWxQSwECFAAUAAAACACHTuJAP0uRPTgCAACLBAAADgAAAAAAAAABACAAAAAiAQAAZHJzL2Uyb0Rv&#10;Yy54bWxQSwUGAAAAAAYABgBZAQAAzA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6A0923F">
                      <w:pPr>
                        <w:spacing w:before="0" w:after="0" w:line="240" w:lineRule="auto"/>
                        <w:ind w:left="0" w:right="0" w:firstLine="0"/>
                        <w:jc w:val="left"/>
                      </w:pPr>
                    </w:p>
                  </w:txbxContent>
                </v:textbox>
                <w10:wrap type="none"/>
                <w10:anchorlock/>
              </v:rect>
            </w:pict>
          </mc:Fallback>
        </mc:AlternateContent>
      </w:r>
    </w:p>
    <w:p w14:paraId="00000006">
      <w:pPr>
        <w:rPr>
          <w:rFonts w:ascii="Arial" w:hAnsi="Arial" w:eastAsia="Arial" w:cs="Arial"/>
          <w:b/>
          <w:bCs/>
        </w:rPr>
      </w:pPr>
    </w:p>
    <w:p w14:paraId="00000007">
      <w:pPr>
        <w:rPr>
          <w:rFonts w:ascii="Arial" w:hAnsi="Arial" w:eastAsia="Arial" w:cs="Arial"/>
          <w:b/>
          <w:bCs/>
        </w:rPr>
      </w:pPr>
      <w:r>
        <w:rPr>
          <w:rFonts w:ascii="Arial" w:hAnsi="Arial" w:eastAsia="Arial" w:cs="Arial"/>
          <w:b/>
          <w:bCs/>
          <w:rtl w:val="0"/>
        </w:rPr>
        <w:t>COURSE OUTCOME COVERED</w:t>
      </w:r>
    </w:p>
    <w:p w14:paraId="00000008">
      <w:pPr>
        <w:rPr>
          <w:rFonts w:ascii="Arial" w:hAnsi="Arial" w:eastAsia="Arial" w:cs="Arial"/>
          <w:b/>
          <w:bCs/>
        </w:rPr>
      </w:pPr>
    </w:p>
    <w:p w14:paraId="0000000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b/>
          <w:bCs/>
          <w:color w:val="000000"/>
          <w:rtl w:val="0"/>
        </w:rPr>
        <w:t xml:space="preserve">CO2: </w:t>
      </w:r>
      <w:r>
        <w:rPr>
          <w:rtl w:val="0"/>
        </w:rPr>
        <w:t>Execute footprinting in social engineering such as DNS analysis, competitive intelligence gathering, and attack simulations to collect relevant information for identifying potential security risks.</w:t>
      </w:r>
    </w:p>
    <w:p w14:paraId="0000000A">
      <w:pPr>
        <w:pBdr>
          <w:top w:val="none" w:color="auto" w:sz="0" w:space="0"/>
          <w:left w:val="none" w:color="auto" w:sz="0" w:space="0"/>
          <w:bottom w:val="none" w:color="auto" w:sz="0" w:space="0"/>
          <w:right w:val="none" w:color="auto" w:sz="0" w:space="0"/>
          <w:between w:val="none" w:color="auto" w:sz="0" w:space="0"/>
        </w:pBdr>
        <w:jc w:val="both"/>
        <w:rPr>
          <w:color w:val="000000"/>
        </w:rPr>
      </w:pPr>
      <w:r>
        <w:rPr>
          <w:rFonts w:ascii="Arial" w:hAnsi="Arial" w:eastAsia="Arial" w:cs="Arial"/>
          <w:b/>
          <w:bCs/>
          <w:color w:val="000000"/>
          <w:rtl w:val="0"/>
        </w:rPr>
        <w:tab/>
      </w:r>
      <w:r>
        <w:rPr>
          <w:rFonts w:ascii="Arial" w:hAnsi="Arial" w:eastAsia="Arial" w:cs="Arial"/>
          <w:b/>
          <w:bCs/>
          <w:color w:val="000000"/>
          <w:rtl w:val="0"/>
        </w:rPr>
        <w:tab/>
      </w:r>
    </w:p>
    <w:p w14:paraId="0000000B">
      <w:pPr>
        <w:rPr>
          <w:rFonts w:ascii="Arial" w:hAnsi="Arial" w:eastAsia="Arial" w:cs="Arial"/>
          <w:i/>
          <w:iCs/>
        </w:rPr>
      </w:pPr>
      <w:r>
        <w:rPr>
          <w:rFonts w:ascii="Arial" w:hAnsi="Arial" w:eastAsia="Arial" w:cs="Arial"/>
          <w:i/>
          <w:iCs/>
          <w:rtl w:val="0"/>
        </w:rPr>
        <w:t>Assessment Tool Weightage: 30%</w:t>
      </w:r>
    </w:p>
    <w:p w14:paraId="0000000C">
      <w:pPr>
        <w:rPr>
          <w:b/>
          <w:bCs/>
          <w:color w:val="000000"/>
        </w:rPr>
      </w:pPr>
    </w:p>
    <w:p w14:paraId="0000000D">
      <w:pPr>
        <w:rPr>
          <w:b/>
          <w:bCs/>
          <w:color w:val="000000"/>
        </w:rPr>
      </w:pPr>
      <w:r>
        <w:rPr>
          <w:b/>
          <w:bCs/>
          <w:color w:val="000000"/>
          <w:rtl w:val="0"/>
        </w:rPr>
        <w:t>Duration: 90 min                                                                                                 Total Marks: 50</w:t>
      </w:r>
    </w:p>
    <w:p w14:paraId="0000000E">
      <w:pPr>
        <w:rPr>
          <w:rFonts w:ascii="Arial" w:hAnsi="Arial" w:eastAsia="Arial" w:cs="Arial"/>
        </w:rPr>
      </w:pPr>
      <w:r>
        <w:rPr>
          <w:sz w:val="22"/>
          <w:szCs w:val="22"/>
        </w:rPr>
        <mc:AlternateContent>
          <mc:Choice Requires="wps">
            <w:drawing>
              <wp:inline distT="0" distB="0" distL="114300" distR="114300">
                <wp:extent cx="6502400" cy="57785"/>
                <wp:effectExtent l="0" t="0" r="0" b="0"/>
                <wp:docPr id="1" name="Rectangle 1"/>
                <wp:cNvGraphicFramePr/>
                <a:graphic xmlns:a="http://schemas.openxmlformats.org/drawingml/2006/main">
                  <a:graphicData uri="http://schemas.microsoft.com/office/word/2010/wordprocessingShape">
                    <wps:wsp>
                      <wps:cNvSpPr/>
                      <wps:spPr>
                        <a:xfrm>
                          <a:off x="2101150" y="3757141"/>
                          <a:ext cx="6489700" cy="45719"/>
                        </a:xfrm>
                        <a:prstGeom prst="rect">
                          <a:avLst/>
                        </a:prstGeom>
                        <a:noFill/>
                        <a:ln w="12700" cap="flat" cmpd="sng">
                          <a:solidFill>
                            <a:srgbClr val="000000"/>
                          </a:solidFill>
                          <a:prstDash val="solid"/>
                          <a:round/>
                          <a:headEnd type="none" w="sm" len="sm"/>
                          <a:tailEnd type="none" w="sm" len="sm"/>
                        </a:ln>
                      </wps:spPr>
                      <wps:txbx>
                        <w:txbxContent>
                          <w:p w14:paraId="18716F9A">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inline>
            </w:drawing>
          </mc:Choice>
          <mc:Fallback>
            <w:pict>
              <v:rect id="_x0000_s1026" o:spid="_x0000_s1026" o:spt="1" style="height:4.55pt;width:512pt;v-text-anchor:middle;" filled="f" stroked="t" coordsize="21600,21600" o:gfxdata="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Ga4/3TAAAABAEAAA8AAAAAAAAAAQAgAAAAIgAAAGRycy9kb3ducmV2Lnht&#10;bFBLAQIUABQAAAAIAIdO4kDkOopuNwIAAIsEAAAOAAAAAAAAAAEAIAAAACIBAABkcnMvZTJvRG9j&#10;LnhtbFBLBQYAAAAABgAGAFkBAADL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18716F9A">
                      <w:pPr>
                        <w:spacing w:before="0" w:after="0" w:line="240" w:lineRule="auto"/>
                        <w:ind w:left="0" w:right="0" w:firstLine="0"/>
                        <w:jc w:val="left"/>
                      </w:pPr>
                    </w:p>
                  </w:txbxContent>
                </v:textbox>
                <w10:wrap type="none"/>
                <w10:anchorlock/>
              </v:rect>
            </w:pict>
          </mc:Fallback>
        </mc:AlternateContent>
      </w:r>
    </w:p>
    <w:p w14:paraId="0000000F">
      <w:pPr>
        <w:ind w:left="1440" w:firstLine="720"/>
        <w:jc w:val="both"/>
        <w:rPr>
          <w:rFonts w:ascii="Arial" w:hAnsi="Arial" w:eastAsia="Arial" w:cs="Arial"/>
        </w:rPr>
      </w:pPr>
    </w:p>
    <w:p w14:paraId="00000010">
      <w:pPr>
        <w:jc w:val="center"/>
        <w:rPr>
          <w:b/>
          <w:bCs/>
          <w:sz w:val="36"/>
          <w:szCs w:val="36"/>
        </w:rPr>
      </w:pPr>
      <w:r>
        <w:rPr>
          <w:b/>
          <w:bCs/>
          <w:sz w:val="32"/>
          <w:szCs w:val="32"/>
          <w:rtl w:val="0"/>
        </w:rPr>
        <w:t>Report Analysis</w:t>
      </w:r>
    </w:p>
    <w:p w14:paraId="00000011">
      <w:pPr>
        <w:rPr>
          <w:b/>
          <w:bCs/>
        </w:rPr>
      </w:pPr>
      <w:r>
        <w:rPr>
          <w:b/>
          <w:bCs/>
          <w:rtl w:val="0"/>
        </w:rPr>
        <w:t xml:space="preserve">                                                                            Questions</w:t>
      </w:r>
    </w:p>
    <w:p w14:paraId="00000012">
      <w:pPr>
        <w:rPr>
          <w:b/>
          <w:bCs/>
        </w:rPr>
      </w:pPr>
      <w:r>
        <w:rPr>
          <w:b/>
          <w:bCs/>
          <w:rtl w:val="0"/>
        </w:rPr>
        <w:t xml:space="preserve">                                                                                  </w:t>
      </w:r>
    </w:p>
    <w:p w14:paraId="00000013"/>
    <w:p w14:paraId="0000001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security analyst performed a network scan on the target 192.168.1.10 using the Nmap tool. The report identified several open ports, including HTTP (80), SSH (22), and MySQL (3306), along with the operating system and service versions. Analyze the report and explain the security risks associated with the identified services. Discuss how an attacker could exploit these services and recommend suitable security measures to protect the target system.</w:t>
      </w:r>
    </w:p>
    <w:p w14:paraId="7250EFAF">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leftChars="0" w:right="0" w:rightChars="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p>
    <w:p w14:paraId="12A8716C">
      <w:pPr>
        <w:pStyle w:val="11"/>
        <w:keepNext w:val="0"/>
        <w:keepLines w:val="0"/>
        <w:widowControl/>
        <w:suppressLineNumbers w:val="0"/>
        <w:ind w:left="0" w:firstLine="0"/>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1. Introduction</w:t>
      </w:r>
    </w:p>
    <w:p w14:paraId="4C4398C7">
      <w:pPr>
        <w:pStyle w:val="11"/>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Nmap (Network Mapper) is a network scanning tool used to identify open ports, running services, and operating systems. The scan of target </w:t>
      </w:r>
      <w:r>
        <w:rPr>
          <w:rStyle w:val="10"/>
          <w:i w:val="0"/>
          <w:iCs w:val="0"/>
          <w:caps w:val="0"/>
          <w:color w:val="000000"/>
          <w:spacing w:val="0"/>
          <w:u w:val="none"/>
        </w:rPr>
        <w:t>192.168.1.10</w:t>
      </w:r>
      <w:r>
        <w:rPr>
          <w:i w:val="0"/>
          <w:iCs w:val="0"/>
          <w:caps w:val="0"/>
          <w:color w:val="000000"/>
          <w:spacing w:val="0"/>
          <w:u w:val="none"/>
        </w:rPr>
        <w:t> identified HTTP (80), SSH (22), and MySQL (3306).</w:t>
      </w:r>
    </w:p>
    <w:p w14:paraId="6889CC0C">
      <w:pPr>
        <w:pStyle w:val="11"/>
        <w:keepNext w:val="0"/>
        <w:keepLines w:val="0"/>
        <w:widowControl/>
        <w:suppressLineNumbers w:val="0"/>
        <w:ind w:left="0" w:firstLine="0"/>
        <w:rPr>
          <w:rFonts w:hint="default" w:ascii="Times New Roman Bold" w:hAnsi="Times New Roman Bold" w:cs="Times New Roman Bold"/>
          <w:b/>
          <w:bCs/>
        </w:rPr>
      </w:pPr>
      <w:r>
        <w:rPr>
          <w:rFonts w:hint="default" w:ascii="Times New Roman Bold" w:hAnsi="Times New Roman Bold" w:cs="Times New Roman Bold"/>
          <w:b/>
          <w:bCs/>
          <w:i w:val="0"/>
          <w:iCs w:val="0"/>
          <w:caps w:val="0"/>
          <w:color w:val="000000"/>
          <w:spacing w:val="0"/>
          <w:u w:val="none"/>
        </w:rPr>
        <w:t>2. Security Risks and Possible Attacks</w:t>
      </w:r>
    </w:p>
    <w:p w14:paraId="1A347D68">
      <w:pPr>
        <w:pStyle w:val="11"/>
        <w:keepNext w:val="0"/>
        <w:keepLines w:val="0"/>
        <w:widowControl/>
        <w:numPr>
          <w:ilvl w:val="0"/>
          <w:numId w:val="2"/>
        </w:numPr>
        <w:suppressLineNumbers w:val="0"/>
        <w:spacing w:line="360" w:lineRule="auto"/>
        <w:ind w:left="420" w:leftChars="0" w:hanging="420" w:firstLineChars="0"/>
      </w:pPr>
      <w:r>
        <w:rPr>
          <w:i w:val="0"/>
          <w:iCs w:val="0"/>
          <w:caps w:val="0"/>
          <w:color w:val="000000"/>
          <w:spacing w:val="0"/>
          <w:u w:val="none"/>
        </w:rPr>
        <w:t>HTTP (Port 80): Unencrypted communication may expose sensitive information. Attackers may exploit web application vulnerabilities or intercept data.</w:t>
      </w:r>
    </w:p>
    <w:p w14:paraId="1FF3DD21">
      <w:pPr>
        <w:pStyle w:val="11"/>
        <w:keepNext w:val="0"/>
        <w:keepLines w:val="0"/>
        <w:widowControl/>
        <w:numPr>
          <w:ilvl w:val="0"/>
          <w:numId w:val="2"/>
        </w:numPr>
        <w:suppressLineNumbers w:val="0"/>
        <w:spacing w:line="360" w:lineRule="auto"/>
        <w:ind w:left="420" w:leftChars="0" w:hanging="420" w:firstLineChars="0"/>
      </w:pPr>
      <w:r>
        <w:rPr>
          <w:i w:val="0"/>
          <w:iCs w:val="0"/>
          <w:caps w:val="0"/>
          <w:color w:val="000000"/>
          <w:spacing w:val="0"/>
          <w:u w:val="none"/>
        </w:rPr>
        <w:t>SSH (Port 22): Weak passwords or outdated SSH versions may allow unauthorized access through brute-force attacks or known vulnerabilities.</w:t>
      </w:r>
    </w:p>
    <w:p w14:paraId="573F6188">
      <w:pPr>
        <w:pStyle w:val="11"/>
        <w:keepNext w:val="0"/>
        <w:keepLines w:val="0"/>
        <w:widowControl/>
        <w:numPr>
          <w:ilvl w:val="0"/>
          <w:numId w:val="2"/>
        </w:numPr>
        <w:suppressLineNumbers w:val="0"/>
        <w:spacing w:line="360" w:lineRule="auto"/>
        <w:ind w:left="420" w:leftChars="0" w:hanging="420" w:firstLineChars="0"/>
      </w:pPr>
      <w:r>
        <w:rPr>
          <w:i w:val="0"/>
          <w:iCs w:val="0"/>
          <w:caps w:val="0"/>
          <w:color w:val="000000"/>
          <w:spacing w:val="0"/>
          <w:u w:val="none"/>
        </w:rPr>
        <w:t>MySQL (Port 3306): If exposed to unauthorized networks, attackers may attempt password attacks or exploit database vulnerabilities to access sensitive information.</w:t>
      </w:r>
    </w:p>
    <w:p w14:paraId="5641D8D9">
      <w:pPr>
        <w:pStyle w:val="11"/>
        <w:keepNext w:val="0"/>
        <w:keepLines w:val="0"/>
        <w:widowControl/>
        <w:numPr>
          <w:ilvl w:val="0"/>
          <w:numId w:val="2"/>
        </w:numPr>
        <w:suppressLineNumbers w:val="0"/>
        <w:spacing w:line="360" w:lineRule="auto"/>
        <w:ind w:left="420" w:leftChars="0" w:hanging="420" w:firstLineChars="0"/>
      </w:pPr>
      <w:r>
        <w:rPr>
          <w:i w:val="0"/>
          <w:iCs w:val="0"/>
          <w:caps w:val="0"/>
          <w:color w:val="000000"/>
          <w:spacing w:val="0"/>
          <w:u w:val="none"/>
        </w:rPr>
        <w:t>Operating System and Service Versions: Attackers can use version information to identify outdated software and known vulnerabilities.</w:t>
      </w:r>
    </w:p>
    <w:p w14:paraId="563B2169">
      <w:pPr>
        <w:pStyle w:val="11"/>
        <w:keepNext w:val="0"/>
        <w:keepLines w:val="0"/>
        <w:widowControl/>
        <w:suppressLineNumbers w:val="0"/>
        <w:ind w:left="0" w:firstLine="0"/>
        <w:rPr>
          <w:rFonts w:hint="default" w:ascii="Times New Roman Bold" w:hAnsi="Times New Roman Bold" w:cs="Times New Roman Bold"/>
          <w:b/>
          <w:bCs/>
        </w:rPr>
      </w:pPr>
      <w:r>
        <w:rPr>
          <w:rFonts w:hint="default" w:ascii="Times New Roman Bold" w:hAnsi="Times New Roman Bold" w:cs="Times New Roman Bold"/>
          <w:b/>
          <w:bCs/>
          <w:i w:val="0"/>
          <w:iCs w:val="0"/>
          <w:caps w:val="0"/>
          <w:color w:val="000000"/>
          <w:spacing w:val="0"/>
          <w:u w:val="none"/>
        </w:rPr>
        <w:t>3. Security Measures</w:t>
      </w:r>
    </w:p>
    <w:p w14:paraId="050E7C99">
      <w:pPr>
        <w:pStyle w:val="11"/>
        <w:keepNext w:val="0"/>
        <w:keepLines w:val="0"/>
        <w:widowControl/>
        <w:numPr>
          <w:ilvl w:val="0"/>
          <w:numId w:val="3"/>
        </w:numPr>
        <w:suppressLineNumbers w:val="0"/>
        <w:spacing w:line="360" w:lineRule="auto"/>
        <w:ind w:left="425" w:leftChars="0" w:hanging="425" w:firstLineChars="0"/>
      </w:pPr>
      <w:r>
        <w:rPr>
          <w:i w:val="0"/>
          <w:iCs w:val="0"/>
          <w:caps w:val="0"/>
          <w:color w:val="000000"/>
          <w:spacing w:val="0"/>
          <w:u w:val="none"/>
        </w:rPr>
        <w:t>Close unnecessary open ports and disable unused services.</w:t>
      </w:r>
    </w:p>
    <w:p w14:paraId="0320215B">
      <w:pPr>
        <w:pStyle w:val="11"/>
        <w:keepNext w:val="0"/>
        <w:keepLines w:val="0"/>
        <w:widowControl/>
        <w:numPr>
          <w:ilvl w:val="0"/>
          <w:numId w:val="3"/>
        </w:numPr>
        <w:suppressLineNumbers w:val="0"/>
        <w:spacing w:line="360" w:lineRule="auto"/>
        <w:ind w:left="425" w:leftChars="0" w:hanging="425" w:firstLineChars="0"/>
      </w:pPr>
      <w:r>
        <w:rPr>
          <w:i w:val="0"/>
          <w:iCs w:val="0"/>
          <w:caps w:val="0"/>
          <w:color w:val="000000"/>
          <w:spacing w:val="0"/>
          <w:u w:val="none"/>
        </w:rPr>
        <w:t>Use HTTPS instead of HTTP to encrypt web communication.</w:t>
      </w:r>
    </w:p>
    <w:p w14:paraId="6B308B13">
      <w:pPr>
        <w:pStyle w:val="11"/>
        <w:keepNext w:val="0"/>
        <w:keepLines w:val="0"/>
        <w:widowControl/>
        <w:numPr>
          <w:ilvl w:val="0"/>
          <w:numId w:val="3"/>
        </w:numPr>
        <w:suppressLineNumbers w:val="0"/>
        <w:spacing w:line="360" w:lineRule="auto"/>
        <w:ind w:left="425" w:leftChars="0" w:hanging="425" w:firstLineChars="0"/>
      </w:pPr>
      <w:r>
        <w:rPr>
          <w:i w:val="0"/>
          <w:iCs w:val="0"/>
          <w:caps w:val="0"/>
          <w:color w:val="000000"/>
          <w:spacing w:val="0"/>
          <w:u w:val="none"/>
        </w:rPr>
        <w:t>Secure SSH using strong passwords, SSH keys, and multi-factor authentication where supported.</w:t>
      </w:r>
    </w:p>
    <w:p w14:paraId="28496634">
      <w:pPr>
        <w:pStyle w:val="11"/>
        <w:keepNext w:val="0"/>
        <w:keepLines w:val="0"/>
        <w:widowControl/>
        <w:numPr>
          <w:ilvl w:val="0"/>
          <w:numId w:val="3"/>
        </w:numPr>
        <w:suppressLineNumbers w:val="0"/>
        <w:spacing w:line="360" w:lineRule="auto"/>
        <w:ind w:left="425" w:leftChars="0" w:hanging="425" w:firstLineChars="0"/>
      </w:pPr>
      <w:r>
        <w:rPr>
          <w:i w:val="0"/>
          <w:iCs w:val="0"/>
          <w:caps w:val="0"/>
          <w:color w:val="000000"/>
          <w:spacing w:val="0"/>
          <w:u w:val="none"/>
        </w:rPr>
        <w:t>Restrict MySQL access to trusted hosts and keep it off public networks.</w:t>
      </w:r>
    </w:p>
    <w:p w14:paraId="117FD67A">
      <w:pPr>
        <w:pStyle w:val="11"/>
        <w:keepNext w:val="0"/>
        <w:keepLines w:val="0"/>
        <w:widowControl/>
        <w:numPr>
          <w:ilvl w:val="0"/>
          <w:numId w:val="3"/>
        </w:numPr>
        <w:suppressLineNumbers w:val="0"/>
        <w:spacing w:line="360" w:lineRule="auto"/>
        <w:ind w:left="425" w:leftChars="0" w:hanging="425" w:firstLineChars="0"/>
      </w:pPr>
      <w:r>
        <w:rPr>
          <w:i w:val="0"/>
          <w:iCs w:val="0"/>
          <w:caps w:val="0"/>
          <w:color w:val="000000"/>
          <w:spacing w:val="0"/>
          <w:u w:val="none"/>
        </w:rPr>
        <w:t>Regularly update the operating system and software.</w:t>
      </w:r>
    </w:p>
    <w:p w14:paraId="1C418DC3">
      <w:pPr>
        <w:pStyle w:val="11"/>
        <w:keepNext w:val="0"/>
        <w:keepLines w:val="0"/>
        <w:widowControl/>
        <w:numPr>
          <w:ilvl w:val="0"/>
          <w:numId w:val="3"/>
        </w:numPr>
        <w:suppressLineNumbers w:val="0"/>
        <w:spacing w:line="360" w:lineRule="auto"/>
        <w:ind w:left="425" w:leftChars="0" w:hanging="425" w:firstLineChars="0"/>
      </w:pPr>
      <w:r>
        <w:rPr>
          <w:i w:val="0"/>
          <w:iCs w:val="0"/>
          <w:caps w:val="0"/>
          <w:color w:val="000000"/>
          <w:spacing w:val="0"/>
          <w:u w:val="none"/>
        </w:rPr>
        <w:t>Use firewalls, intrusion detection systems, and regular vulnerability assessments.</w:t>
      </w:r>
    </w:p>
    <w:p w14:paraId="6166703F">
      <w:pPr>
        <w:pStyle w:val="11"/>
        <w:keepNext w:val="0"/>
        <w:keepLines w:val="0"/>
        <w:widowControl/>
        <w:suppressLineNumbers w:val="0"/>
        <w:ind w:left="0" w:firstLine="0"/>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Conclusion:</w:t>
      </w:r>
    </w:p>
    <w:p w14:paraId="2C8CA901">
      <w:pPr>
        <w:pStyle w:val="11"/>
        <w:keepNext w:val="0"/>
        <w:keepLines w:val="0"/>
        <w:widowControl/>
        <w:suppressLineNumbers w:val="0"/>
        <w:spacing w:line="360" w:lineRule="auto"/>
        <w:ind w:left="0" w:firstLine="0"/>
        <w:rPr>
          <w:i w:val="0"/>
          <w:iCs w:val="0"/>
          <w:caps w:val="0"/>
          <w:color w:val="000000"/>
          <w:spacing w:val="0"/>
          <w:u w:val="none"/>
        </w:rPr>
      </w:pPr>
      <w:r>
        <w:rPr>
          <w:i w:val="0"/>
          <w:iCs w:val="0"/>
          <w:caps w:val="0"/>
          <w:color w:val="000000"/>
          <w:spacing w:val="0"/>
          <w:u w:val="none"/>
        </w:rPr>
        <w:t> Nmap helps identify potential security weaknesses. Proper port management, secure configurations, and regular updates reduce the risk of unauthorized access.</w:t>
      </w:r>
    </w:p>
    <w:p w14:paraId="1357FAB7">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leftChars="0" w:right="0" w:rightChars="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pPr>
    </w:p>
    <w:p w14:paraId="00000015">
      <w:pPr>
        <w:jc w:val="both"/>
        <w:rPr>
          <w:b/>
          <w:bCs/>
        </w:rPr>
      </w:pPr>
    </w:p>
    <w:p w14:paraId="000000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phishing awareness campaign was conducted for employees of ABC Technologies Pvt. Ltd. using the GoPhish tool. The report indicates that 40% of employees clicked the phishing link, 20% entered their login credentials, and several users downloaded a malicious attachment. Analyze the report and identify the security weaknesses demonstrated by the employees. Recommend suitable user awareness programs, email security controls, and organizational policies to reduce the risk of successful social engineering attacks.</w:t>
      </w:r>
    </w:p>
    <w:p w14:paraId="776E92A6">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leftChars="0" w:right="0" w:rightChars="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pP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 xml:space="preserve"> </w:t>
      </w:r>
    </w:p>
    <w:p w14:paraId="7C4F5A06">
      <w:pPr>
        <w:pStyle w:val="11"/>
        <w:keepNext w:val="0"/>
        <w:keepLines w:val="0"/>
        <w:widowControl/>
        <w:suppressLineNumbers w:val="0"/>
        <w:ind w:left="0" w:firstLine="0"/>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1. Introduction</w:t>
      </w:r>
    </w:p>
    <w:p w14:paraId="55F403D8">
      <w:pPr>
        <w:pStyle w:val="11"/>
        <w:keepNext w:val="0"/>
        <w:keepLines w:val="0"/>
        <w:widowControl/>
        <w:suppressLineNumbers w:val="0"/>
        <w:ind w:left="0" w:firstLine="0"/>
      </w:pPr>
      <w:r>
        <w:rPr>
          <w:i w:val="0"/>
          <w:iCs w:val="0"/>
          <w:caps w:val="0"/>
          <w:color w:val="000000"/>
          <w:spacing w:val="0"/>
          <w:u w:val="none"/>
        </w:rPr>
        <w:t>GoPhish is a tool used to conduct phishing simulations and improve employee security awareness. The campaign at ABC Technologies Pvt. Ltd. reported the following results:</w:t>
      </w:r>
    </w:p>
    <w:p w14:paraId="5E8DC4D1">
      <w:pPr>
        <w:pStyle w:val="11"/>
        <w:keepNext w:val="0"/>
        <w:keepLines w:val="0"/>
        <w:widowControl/>
        <w:numPr>
          <w:ilvl w:val="0"/>
          <w:numId w:val="4"/>
        </w:numPr>
        <w:suppressLineNumbers w:val="0"/>
        <w:spacing w:line="360" w:lineRule="auto"/>
        <w:ind w:left="420" w:leftChars="0" w:hanging="420" w:firstLineChars="0"/>
      </w:pPr>
      <w:r>
        <w:rPr>
          <w:i w:val="0"/>
          <w:iCs w:val="0"/>
          <w:caps w:val="0"/>
          <w:color w:val="000000"/>
          <w:spacing w:val="0"/>
          <w:u w:val="none"/>
        </w:rPr>
        <w:t>40% of employees clicked the phishing link.</w:t>
      </w:r>
    </w:p>
    <w:p w14:paraId="605B1AB1">
      <w:pPr>
        <w:pStyle w:val="11"/>
        <w:keepNext w:val="0"/>
        <w:keepLines w:val="0"/>
        <w:widowControl/>
        <w:numPr>
          <w:ilvl w:val="0"/>
          <w:numId w:val="4"/>
        </w:numPr>
        <w:suppressLineNumbers w:val="0"/>
        <w:spacing w:line="360" w:lineRule="auto"/>
        <w:ind w:left="420" w:leftChars="0" w:hanging="420" w:firstLineChars="0"/>
      </w:pPr>
      <w:r>
        <w:rPr>
          <w:i w:val="0"/>
          <w:iCs w:val="0"/>
          <w:caps w:val="0"/>
          <w:color w:val="000000"/>
          <w:spacing w:val="0"/>
          <w:u w:val="none"/>
        </w:rPr>
        <w:t>20% entered their login credentials.</w:t>
      </w:r>
    </w:p>
    <w:p w14:paraId="618D76AD">
      <w:pPr>
        <w:pStyle w:val="11"/>
        <w:keepNext w:val="0"/>
        <w:keepLines w:val="0"/>
        <w:widowControl/>
        <w:numPr>
          <w:ilvl w:val="0"/>
          <w:numId w:val="4"/>
        </w:numPr>
        <w:suppressLineNumbers w:val="0"/>
        <w:spacing w:line="360" w:lineRule="auto"/>
        <w:ind w:left="420" w:leftChars="0" w:hanging="420" w:firstLineChars="0"/>
      </w:pPr>
      <w:r>
        <w:rPr>
          <w:i w:val="0"/>
          <w:iCs w:val="0"/>
          <w:caps w:val="0"/>
          <w:color w:val="000000"/>
          <w:spacing w:val="0"/>
          <w:u w:val="none"/>
        </w:rPr>
        <w:t>Several employees downloaded a malicious attachment.</w:t>
      </w:r>
    </w:p>
    <w:p w14:paraId="0F167C56">
      <w:pPr>
        <w:pStyle w:val="11"/>
        <w:keepNext w:val="0"/>
        <w:keepLines w:val="0"/>
        <w:widowControl/>
        <w:suppressLineNumbers w:val="0"/>
        <w:ind w:left="0" w:firstLine="0"/>
        <w:rPr>
          <w:rFonts w:hint="default" w:ascii="Times New Roman Bold" w:hAnsi="Times New Roman Bold" w:cs="Times New Roman Bold"/>
          <w:b/>
          <w:bCs/>
        </w:rPr>
      </w:pPr>
      <w:r>
        <w:rPr>
          <w:rFonts w:hint="default" w:ascii="Times New Roman Bold" w:hAnsi="Times New Roman Bold" w:cs="Times New Roman Bold"/>
          <w:b/>
          <w:bCs/>
          <w:i w:val="0"/>
          <w:iCs w:val="0"/>
          <w:caps w:val="0"/>
          <w:color w:val="000000"/>
          <w:spacing w:val="0"/>
          <w:u w:val="none"/>
        </w:rPr>
        <w:t>2. Security Weaknesses Identified</w:t>
      </w:r>
    </w:p>
    <w:p w14:paraId="155618E8">
      <w:pPr>
        <w:pStyle w:val="11"/>
        <w:keepNext w:val="0"/>
        <w:keepLines w:val="0"/>
        <w:widowControl/>
        <w:numPr>
          <w:ilvl w:val="0"/>
          <w:numId w:val="5"/>
        </w:numPr>
        <w:suppressLineNumbers w:val="0"/>
        <w:spacing w:line="360" w:lineRule="auto"/>
        <w:ind w:left="420" w:leftChars="0" w:hanging="420" w:firstLineChars="0"/>
      </w:pPr>
      <w:r>
        <w:rPr>
          <w:i w:val="0"/>
          <w:iCs w:val="0"/>
          <w:caps w:val="0"/>
          <w:color w:val="000000"/>
          <w:spacing w:val="0"/>
          <w:u w:val="none"/>
        </w:rPr>
        <w:t>High click rate: Many employees could not recognize suspicious links.</w:t>
      </w:r>
    </w:p>
    <w:p w14:paraId="2BBFCC44">
      <w:pPr>
        <w:pStyle w:val="11"/>
        <w:keepNext w:val="0"/>
        <w:keepLines w:val="0"/>
        <w:widowControl/>
        <w:numPr>
          <w:ilvl w:val="0"/>
          <w:numId w:val="5"/>
        </w:numPr>
        <w:suppressLineNumbers w:val="0"/>
        <w:spacing w:line="360" w:lineRule="auto"/>
        <w:ind w:left="420" w:leftChars="0" w:hanging="420" w:firstLineChars="0"/>
      </w:pPr>
      <w:r>
        <w:rPr>
          <w:i w:val="0"/>
          <w:iCs w:val="0"/>
          <w:caps w:val="0"/>
          <w:color w:val="000000"/>
          <w:spacing w:val="0"/>
          <w:u w:val="none"/>
        </w:rPr>
        <w:t>Credential disclosure: Employees entered login details on a potentially fraudulent website.</w:t>
      </w:r>
    </w:p>
    <w:p w14:paraId="17CE68C0">
      <w:pPr>
        <w:pStyle w:val="11"/>
        <w:keepNext w:val="0"/>
        <w:keepLines w:val="0"/>
        <w:widowControl/>
        <w:numPr>
          <w:ilvl w:val="0"/>
          <w:numId w:val="5"/>
        </w:numPr>
        <w:suppressLineNumbers w:val="0"/>
        <w:spacing w:line="360" w:lineRule="auto"/>
        <w:ind w:left="420" w:leftChars="0" w:hanging="420" w:firstLineChars="0"/>
      </w:pPr>
      <w:r>
        <w:rPr>
          <w:i w:val="0"/>
          <w:iCs w:val="0"/>
          <w:caps w:val="0"/>
          <w:color w:val="000000"/>
          <w:spacing w:val="0"/>
          <w:u w:val="none"/>
        </w:rPr>
        <w:t>Unsafe attachment handling: Downloading malicious attachments could introduce malware.</w:t>
      </w:r>
    </w:p>
    <w:p w14:paraId="56B9B483">
      <w:pPr>
        <w:pStyle w:val="11"/>
        <w:keepNext w:val="0"/>
        <w:keepLines w:val="0"/>
        <w:widowControl/>
        <w:numPr>
          <w:ilvl w:val="0"/>
          <w:numId w:val="5"/>
        </w:numPr>
        <w:suppressLineNumbers w:val="0"/>
        <w:spacing w:line="360" w:lineRule="auto"/>
        <w:ind w:left="420" w:leftChars="0" w:hanging="420" w:firstLineChars="0"/>
        <w:rPr>
          <w:rFonts w:hint="default" w:ascii="Times New Roman Bold" w:hAnsi="Times New Roman Bold" w:cs="Times New Roman Bold"/>
          <w:b/>
          <w:bCs/>
        </w:rPr>
      </w:pPr>
      <w:r>
        <w:rPr>
          <w:i w:val="0"/>
          <w:iCs w:val="0"/>
          <w:caps w:val="0"/>
          <w:color w:val="000000"/>
          <w:spacing w:val="0"/>
          <w:u w:val="none"/>
        </w:rPr>
        <w:t>Insufficient awareness: Employees may lack adequate knowledge of phishing techniques and social engineering.</w:t>
      </w:r>
    </w:p>
    <w:p w14:paraId="02C5C217">
      <w:pPr>
        <w:pStyle w:val="11"/>
        <w:keepNext w:val="0"/>
        <w:keepLines w:val="0"/>
        <w:widowControl/>
        <w:suppressLineNumbers w:val="0"/>
        <w:ind w:left="0" w:firstLine="0"/>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3. Recommended Security Measures</w:t>
      </w:r>
    </w:p>
    <w:p w14:paraId="6543E8CD">
      <w:pPr>
        <w:pStyle w:val="11"/>
        <w:keepNext w:val="0"/>
        <w:keepLines w:val="0"/>
        <w:widowControl/>
        <w:suppressLineNumbers w:val="0"/>
        <w:ind w:left="0" w:firstLine="0"/>
      </w:pPr>
      <w:r>
        <w:rPr>
          <w:i w:val="0"/>
          <w:iCs w:val="0"/>
          <w:caps w:val="0"/>
          <w:color w:val="000000"/>
          <w:spacing w:val="0"/>
          <w:u w:val="none"/>
        </w:rPr>
        <w:t>A. User Awareness Programs</w:t>
      </w:r>
    </w:p>
    <w:p w14:paraId="60F45472">
      <w:pPr>
        <w:pStyle w:val="11"/>
        <w:keepNext w:val="0"/>
        <w:keepLines w:val="0"/>
        <w:widowControl/>
        <w:numPr>
          <w:ilvl w:val="0"/>
          <w:numId w:val="6"/>
        </w:numPr>
        <w:suppressLineNumbers w:val="0"/>
        <w:spacing w:line="360" w:lineRule="auto"/>
        <w:ind w:left="420" w:leftChars="0" w:hanging="420" w:firstLineChars="0"/>
      </w:pPr>
      <w:r>
        <w:rPr>
          <w:i w:val="0"/>
          <w:iCs w:val="0"/>
          <w:caps w:val="0"/>
          <w:color w:val="000000"/>
          <w:spacing w:val="0"/>
          <w:u w:val="none"/>
        </w:rPr>
        <w:t>Conduct regular phishing awareness training.</w:t>
      </w:r>
    </w:p>
    <w:p w14:paraId="4BDEE0E5">
      <w:pPr>
        <w:pStyle w:val="11"/>
        <w:keepNext w:val="0"/>
        <w:keepLines w:val="0"/>
        <w:widowControl/>
        <w:numPr>
          <w:ilvl w:val="0"/>
          <w:numId w:val="6"/>
        </w:numPr>
        <w:suppressLineNumbers w:val="0"/>
        <w:spacing w:line="360" w:lineRule="auto"/>
        <w:ind w:left="420" w:leftChars="0" w:hanging="420" w:firstLineChars="0"/>
      </w:pPr>
      <w:r>
        <w:rPr>
          <w:i w:val="0"/>
          <w:iCs w:val="0"/>
          <w:caps w:val="0"/>
          <w:color w:val="000000"/>
          <w:spacing w:val="0"/>
          <w:u w:val="none"/>
        </w:rPr>
        <w:t>Teach employees to identify suspicious links, senders, and attachments.</w:t>
      </w:r>
    </w:p>
    <w:p w14:paraId="360CB483">
      <w:pPr>
        <w:pStyle w:val="11"/>
        <w:keepNext w:val="0"/>
        <w:keepLines w:val="0"/>
        <w:widowControl/>
        <w:numPr>
          <w:ilvl w:val="0"/>
          <w:numId w:val="6"/>
        </w:numPr>
        <w:suppressLineNumbers w:val="0"/>
        <w:spacing w:line="360" w:lineRule="auto"/>
        <w:ind w:left="420" w:leftChars="0" w:hanging="420" w:firstLineChars="0"/>
      </w:pPr>
      <w:r>
        <w:rPr>
          <w:i w:val="0"/>
          <w:iCs w:val="0"/>
          <w:caps w:val="0"/>
          <w:color w:val="000000"/>
          <w:spacing w:val="0"/>
          <w:u w:val="none"/>
        </w:rPr>
        <w:t>Conduct periodic phishing simulations and provide feedback.</w:t>
      </w:r>
    </w:p>
    <w:p w14:paraId="7FF29CA2">
      <w:pPr>
        <w:pStyle w:val="11"/>
        <w:keepNext w:val="0"/>
        <w:keepLines w:val="0"/>
        <w:widowControl/>
        <w:numPr>
          <w:ilvl w:val="0"/>
          <w:numId w:val="6"/>
        </w:numPr>
        <w:suppressLineNumbers w:val="0"/>
        <w:spacing w:line="360" w:lineRule="auto"/>
        <w:ind w:left="420" w:leftChars="0" w:hanging="420" w:firstLineChars="0"/>
      </w:pPr>
      <w:r>
        <w:rPr>
          <w:i w:val="0"/>
          <w:iCs w:val="0"/>
          <w:caps w:val="0"/>
          <w:color w:val="000000"/>
          <w:spacing w:val="0"/>
          <w:u w:val="none"/>
        </w:rPr>
        <w:t>Encourage employees to report suspicious emails.</w:t>
      </w:r>
    </w:p>
    <w:p w14:paraId="307FD81B">
      <w:pPr>
        <w:pStyle w:val="11"/>
        <w:keepNext w:val="0"/>
        <w:keepLines w:val="0"/>
        <w:widowControl/>
        <w:suppressLineNumbers w:val="0"/>
        <w:ind w:left="0" w:firstLine="0"/>
      </w:pPr>
      <w:r>
        <w:rPr>
          <w:i w:val="0"/>
          <w:iCs w:val="0"/>
          <w:caps w:val="0"/>
          <w:color w:val="000000"/>
          <w:spacing w:val="0"/>
          <w:u w:val="none"/>
        </w:rPr>
        <w:t>B. Email Security Controls</w:t>
      </w:r>
    </w:p>
    <w:p w14:paraId="68A0D596">
      <w:pPr>
        <w:pStyle w:val="11"/>
        <w:keepNext w:val="0"/>
        <w:keepLines w:val="0"/>
        <w:widowControl/>
        <w:numPr>
          <w:ilvl w:val="0"/>
          <w:numId w:val="7"/>
        </w:numPr>
        <w:suppressLineNumbers w:val="0"/>
        <w:spacing w:line="360" w:lineRule="auto"/>
        <w:ind w:left="420" w:leftChars="0" w:hanging="420" w:firstLineChars="0"/>
      </w:pPr>
      <w:r>
        <w:rPr>
          <w:i w:val="0"/>
          <w:iCs w:val="0"/>
          <w:caps w:val="0"/>
          <w:color w:val="000000"/>
          <w:spacing w:val="0"/>
          <w:u w:val="none"/>
        </w:rPr>
        <w:t>Use spam filters and email security gateways.</w:t>
      </w:r>
    </w:p>
    <w:p w14:paraId="69D2FD9D">
      <w:pPr>
        <w:pStyle w:val="11"/>
        <w:keepNext w:val="0"/>
        <w:keepLines w:val="0"/>
        <w:widowControl/>
        <w:numPr>
          <w:ilvl w:val="0"/>
          <w:numId w:val="7"/>
        </w:numPr>
        <w:suppressLineNumbers w:val="0"/>
        <w:spacing w:line="360" w:lineRule="auto"/>
        <w:ind w:left="420" w:leftChars="0" w:hanging="420" w:firstLineChars="0"/>
      </w:pPr>
      <w:r>
        <w:rPr>
          <w:i w:val="0"/>
          <w:iCs w:val="0"/>
          <w:caps w:val="0"/>
          <w:color w:val="000000"/>
          <w:spacing w:val="0"/>
          <w:u w:val="none"/>
        </w:rPr>
        <w:t>Implement SPF, DKIM, and DMARC to help prevent email spoofing.</w:t>
      </w:r>
    </w:p>
    <w:p w14:paraId="7911C589">
      <w:pPr>
        <w:pStyle w:val="11"/>
        <w:keepNext w:val="0"/>
        <w:keepLines w:val="0"/>
        <w:widowControl/>
        <w:numPr>
          <w:ilvl w:val="0"/>
          <w:numId w:val="7"/>
        </w:numPr>
        <w:suppressLineNumbers w:val="0"/>
        <w:spacing w:line="360" w:lineRule="auto"/>
        <w:ind w:left="420" w:leftChars="0" w:hanging="420" w:firstLineChars="0"/>
      </w:pPr>
      <w:r>
        <w:rPr>
          <w:i w:val="0"/>
          <w:iCs w:val="0"/>
          <w:caps w:val="0"/>
          <w:color w:val="000000"/>
          <w:spacing w:val="0"/>
          <w:u w:val="none"/>
        </w:rPr>
        <w:t>Scan attachments for malware and block dangerous file types.</w:t>
      </w:r>
    </w:p>
    <w:p w14:paraId="717DC9DD">
      <w:pPr>
        <w:pStyle w:val="11"/>
        <w:keepNext w:val="0"/>
        <w:keepLines w:val="0"/>
        <w:widowControl/>
        <w:numPr>
          <w:ilvl w:val="0"/>
          <w:numId w:val="7"/>
        </w:numPr>
        <w:suppressLineNumbers w:val="0"/>
        <w:spacing w:line="360" w:lineRule="auto"/>
        <w:ind w:left="420" w:leftChars="0" w:hanging="420" w:firstLineChars="0"/>
      </w:pPr>
      <w:r>
        <w:rPr>
          <w:i w:val="0"/>
          <w:iCs w:val="0"/>
          <w:caps w:val="0"/>
          <w:color w:val="000000"/>
          <w:spacing w:val="0"/>
          <w:u w:val="none"/>
        </w:rPr>
        <w:t>Use endpoint protection and multi-factor authentication (MFA).</w:t>
      </w:r>
    </w:p>
    <w:p w14:paraId="358D557D">
      <w:pPr>
        <w:pStyle w:val="11"/>
        <w:keepNext w:val="0"/>
        <w:keepLines w:val="0"/>
        <w:widowControl/>
        <w:suppressLineNumbers w:val="0"/>
        <w:ind w:left="0" w:firstLine="0"/>
      </w:pPr>
      <w:r>
        <w:rPr>
          <w:i w:val="0"/>
          <w:iCs w:val="0"/>
          <w:caps w:val="0"/>
          <w:color w:val="000000"/>
          <w:spacing w:val="0"/>
          <w:u w:val="none"/>
        </w:rPr>
        <w:t>C. Organizational Policies</w:t>
      </w:r>
    </w:p>
    <w:p w14:paraId="2A231F22">
      <w:pPr>
        <w:pStyle w:val="11"/>
        <w:keepNext w:val="0"/>
        <w:keepLines w:val="0"/>
        <w:widowControl/>
        <w:numPr>
          <w:ilvl w:val="0"/>
          <w:numId w:val="8"/>
        </w:numPr>
        <w:suppressLineNumbers w:val="0"/>
        <w:spacing w:line="360" w:lineRule="auto"/>
        <w:ind w:left="425" w:leftChars="0" w:hanging="425" w:firstLineChars="0"/>
      </w:pPr>
      <w:r>
        <w:rPr>
          <w:i w:val="0"/>
          <w:iCs w:val="0"/>
          <w:caps w:val="0"/>
          <w:color w:val="000000"/>
          <w:spacing w:val="0"/>
          <w:u w:val="none"/>
        </w:rPr>
        <w:t>Establish a clear procedure for reporting phishing emails.</w:t>
      </w:r>
    </w:p>
    <w:p w14:paraId="738CCF0A">
      <w:pPr>
        <w:pStyle w:val="11"/>
        <w:keepNext w:val="0"/>
        <w:keepLines w:val="0"/>
        <w:widowControl/>
        <w:numPr>
          <w:ilvl w:val="0"/>
          <w:numId w:val="8"/>
        </w:numPr>
        <w:suppressLineNumbers w:val="0"/>
        <w:spacing w:line="360" w:lineRule="auto"/>
        <w:ind w:left="425" w:leftChars="0" w:hanging="425" w:firstLineChars="0"/>
      </w:pPr>
      <w:r>
        <w:rPr>
          <w:i w:val="0"/>
          <w:iCs w:val="0"/>
          <w:caps w:val="0"/>
          <w:color w:val="000000"/>
          <w:spacing w:val="0"/>
          <w:u w:val="none"/>
        </w:rPr>
        <w:t>Enforce strong password and MFA policies.</w:t>
      </w:r>
    </w:p>
    <w:p w14:paraId="4DB737FF">
      <w:pPr>
        <w:pStyle w:val="11"/>
        <w:keepNext w:val="0"/>
        <w:keepLines w:val="0"/>
        <w:widowControl/>
        <w:numPr>
          <w:ilvl w:val="0"/>
          <w:numId w:val="8"/>
        </w:numPr>
        <w:suppressLineNumbers w:val="0"/>
        <w:spacing w:line="360" w:lineRule="auto"/>
        <w:ind w:left="425" w:leftChars="0" w:hanging="425" w:firstLineChars="0"/>
      </w:pPr>
      <w:r>
        <w:rPr>
          <w:i w:val="0"/>
          <w:iCs w:val="0"/>
          <w:caps w:val="0"/>
          <w:color w:val="000000"/>
          <w:spacing w:val="0"/>
          <w:u w:val="none"/>
        </w:rPr>
        <w:t>Apply least-privilege access to limit potential damage.</w:t>
      </w:r>
    </w:p>
    <w:p w14:paraId="69FB5851">
      <w:pPr>
        <w:pStyle w:val="11"/>
        <w:keepNext w:val="0"/>
        <w:keepLines w:val="0"/>
        <w:widowControl/>
        <w:numPr>
          <w:ilvl w:val="0"/>
          <w:numId w:val="8"/>
        </w:numPr>
        <w:suppressLineNumbers w:val="0"/>
        <w:spacing w:line="360" w:lineRule="auto"/>
        <w:ind w:left="425" w:leftChars="0" w:hanging="425" w:firstLineChars="0"/>
      </w:pPr>
      <w:r>
        <w:rPr>
          <w:i w:val="0"/>
          <w:iCs w:val="0"/>
          <w:caps w:val="0"/>
          <w:color w:val="000000"/>
          <w:spacing w:val="0"/>
          <w:u w:val="none"/>
        </w:rPr>
        <w:t>Create an incident response plan for phishing attacks.</w:t>
      </w:r>
    </w:p>
    <w:p w14:paraId="3E9D0F7D">
      <w:pPr>
        <w:pStyle w:val="11"/>
        <w:keepNext w:val="0"/>
        <w:keepLines w:val="0"/>
        <w:widowControl/>
        <w:suppressLineNumbers w:val="0"/>
        <w:ind w:left="0" w:firstLine="0"/>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Conclusion:</w:t>
      </w:r>
    </w:p>
    <w:p w14:paraId="6534F67E">
      <w:pPr>
        <w:pStyle w:val="11"/>
        <w:keepNext w:val="0"/>
        <w:keepLines w:val="0"/>
        <w:widowControl/>
        <w:suppressLineNumbers w:val="0"/>
        <w:spacing w:line="360" w:lineRule="auto"/>
        <w:ind w:left="0" w:firstLine="0"/>
        <w:rPr>
          <w:i w:val="0"/>
          <w:iCs w:val="0"/>
          <w:caps w:val="0"/>
          <w:color w:val="000000"/>
          <w:spacing w:val="0"/>
          <w:u w:val="none"/>
        </w:rPr>
      </w:pPr>
      <w:r>
        <w:rPr>
          <w:i w:val="0"/>
          <w:iCs w:val="0"/>
          <w:caps w:val="0"/>
          <w:color w:val="000000"/>
          <w:spacing w:val="0"/>
          <w:u w:val="none"/>
        </w:rPr>
        <w:t> The campaign revealed weaknesses in employee awareness and email security. Regular training, technical controls, and clear policies can reduce successful phishing attacks.</w:t>
      </w:r>
    </w:p>
    <w:p w14:paraId="543A94C3">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leftChars="0" w:right="0" w:rightChars="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pPr>
    </w:p>
    <w:p w14:paraId="00000017">
      <w:pPr>
        <w:jc w:val="both"/>
      </w:pPr>
    </w:p>
    <w:p w14:paraId="0000001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DNS assessment report generated using the Dig tool shows that the organization's DNS server permits a successful DNS Zone Transfer (AXFR), exposing internal hostnames, mail servers, and DNS records. Analyze the report and explain the security implications of the exposed information. Discuss how attackers could exploit these findings and recommend best practices to secure the DNS infrastructure</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t>.</w:t>
      </w:r>
    </w:p>
    <w:p w14:paraId="7D3FB30F">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leftChars="0" w:right="0" w:rightChars="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pPr>
    </w:p>
    <w:p w14:paraId="601C8B60">
      <w:pPr>
        <w:pStyle w:val="11"/>
        <w:keepNext w:val="0"/>
        <w:keepLines w:val="0"/>
        <w:widowControl/>
        <w:suppressLineNumbers w:val="0"/>
        <w:ind w:left="0" w:firstLine="0"/>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1. Introduction</w:t>
      </w:r>
    </w:p>
    <w:p w14:paraId="02AE1601">
      <w:pPr>
        <w:pStyle w:val="11"/>
        <w:keepNext w:val="0"/>
        <w:keepLines w:val="0"/>
        <w:widowControl/>
        <w:suppressLineNumbers w:val="0"/>
        <w:ind w:left="0" w:firstLine="0"/>
        <w:rPr>
          <w:i w:val="0"/>
          <w:iCs w:val="0"/>
          <w:caps w:val="0"/>
          <w:color w:val="000000"/>
          <w:spacing w:val="0"/>
          <w:u w:val="none"/>
        </w:rPr>
      </w:pPr>
      <w:r>
        <w:rPr>
          <w:i w:val="0"/>
          <w:iCs w:val="0"/>
          <w:caps w:val="0"/>
          <w:color w:val="000000"/>
          <w:spacing w:val="0"/>
          <w:u w:val="none"/>
        </w:rPr>
        <w:t>DNS (Domain Name System) converts domain names into IP addresses. The Dig tool can be used to examine DNS records and test whether a DNS server permits a zone transfer (AXFR).</w:t>
      </w:r>
    </w:p>
    <w:p w14:paraId="10C96C06">
      <w:pPr>
        <w:pStyle w:val="11"/>
        <w:keepNext w:val="0"/>
        <w:keepLines w:val="0"/>
        <w:widowControl/>
        <w:suppressLineNumbers w:val="0"/>
        <w:ind w:left="0" w:firstLine="0"/>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2. Security Implications</w:t>
      </w:r>
    </w:p>
    <w:p w14:paraId="7F988199">
      <w:pPr>
        <w:pStyle w:val="11"/>
        <w:keepNext w:val="0"/>
        <w:keepLines w:val="0"/>
        <w:widowControl/>
        <w:suppressLineNumbers w:val="0"/>
        <w:ind w:left="0" w:firstLine="0"/>
      </w:pPr>
      <w:r>
        <w:rPr>
          <w:i w:val="0"/>
          <w:iCs w:val="0"/>
          <w:caps w:val="0"/>
          <w:color w:val="000000"/>
          <w:spacing w:val="0"/>
          <w:u w:val="none"/>
        </w:rPr>
        <w:t>The report indicates that the DNS server permits a successful zone transfer, exposing internal hostnames, mail servers, and DNS records.</w:t>
      </w:r>
    </w:p>
    <w:p w14:paraId="6EEE2199">
      <w:pPr>
        <w:pStyle w:val="11"/>
        <w:keepNext w:val="0"/>
        <w:keepLines w:val="0"/>
        <w:widowControl/>
        <w:numPr>
          <w:ilvl w:val="0"/>
          <w:numId w:val="9"/>
        </w:numPr>
        <w:suppressLineNumbers w:val="0"/>
        <w:spacing w:line="360" w:lineRule="auto"/>
        <w:ind w:left="420" w:leftChars="0" w:hanging="420" w:firstLineChars="0"/>
      </w:pPr>
      <w:r>
        <w:rPr>
          <w:i w:val="0"/>
          <w:iCs w:val="0"/>
          <w:caps w:val="0"/>
          <w:color w:val="000000"/>
          <w:spacing w:val="0"/>
          <w:u w:val="none"/>
        </w:rPr>
        <w:t>Information disclosure: Attackers can discover internal systems and network structure.</w:t>
      </w:r>
    </w:p>
    <w:p w14:paraId="23573BDE">
      <w:pPr>
        <w:pStyle w:val="11"/>
        <w:keepNext w:val="0"/>
        <w:keepLines w:val="0"/>
        <w:widowControl/>
        <w:numPr>
          <w:ilvl w:val="0"/>
          <w:numId w:val="9"/>
        </w:numPr>
        <w:suppressLineNumbers w:val="0"/>
        <w:spacing w:line="360" w:lineRule="auto"/>
        <w:ind w:left="420" w:leftChars="0" w:hanging="420" w:firstLineChars="0"/>
      </w:pPr>
      <w:r>
        <w:rPr>
          <w:i w:val="0"/>
          <w:iCs w:val="0"/>
          <w:caps w:val="0"/>
          <w:color w:val="000000"/>
          <w:spacing w:val="0"/>
          <w:u w:val="none"/>
        </w:rPr>
        <w:t>Target identification: Exposed hostnames may reveal important servers and services.</w:t>
      </w:r>
    </w:p>
    <w:p w14:paraId="65155492">
      <w:pPr>
        <w:pStyle w:val="11"/>
        <w:keepNext w:val="0"/>
        <w:keepLines w:val="0"/>
        <w:widowControl/>
        <w:numPr>
          <w:ilvl w:val="0"/>
          <w:numId w:val="9"/>
        </w:numPr>
        <w:suppressLineNumbers w:val="0"/>
        <w:spacing w:line="360" w:lineRule="auto"/>
        <w:ind w:left="420" w:leftChars="0" w:hanging="420" w:firstLineChars="0"/>
      </w:pPr>
      <w:r>
        <w:rPr>
          <w:i w:val="0"/>
          <w:iCs w:val="0"/>
          <w:caps w:val="0"/>
          <w:color w:val="000000"/>
          <w:spacing w:val="0"/>
          <w:u w:val="none"/>
        </w:rPr>
        <w:t>Reconnaissance: Attackers can use the information to plan targeted attacks.</w:t>
      </w:r>
    </w:p>
    <w:p w14:paraId="0BC524BA">
      <w:pPr>
        <w:pStyle w:val="11"/>
        <w:keepNext w:val="0"/>
        <w:keepLines w:val="0"/>
        <w:widowControl/>
        <w:numPr>
          <w:ilvl w:val="0"/>
          <w:numId w:val="9"/>
        </w:numPr>
        <w:suppressLineNumbers w:val="0"/>
        <w:spacing w:line="360" w:lineRule="auto"/>
        <w:ind w:left="420" w:leftChars="0" w:hanging="420" w:firstLineChars="0"/>
      </w:pPr>
      <w:r>
        <w:rPr>
          <w:i w:val="0"/>
          <w:iCs w:val="0"/>
          <w:caps w:val="0"/>
          <w:color w:val="000000"/>
          <w:spacing w:val="0"/>
          <w:u w:val="none"/>
        </w:rPr>
        <w:t>Increased attack risk: Identifying mail and internal servers may help attackers conduct phishing or further network attacks.</w:t>
      </w:r>
    </w:p>
    <w:p w14:paraId="48B2EB85">
      <w:pPr>
        <w:pStyle w:val="11"/>
        <w:keepNext w:val="0"/>
        <w:keepLines w:val="0"/>
        <w:widowControl/>
        <w:suppressLineNumbers w:val="0"/>
        <w:ind w:left="0" w:firstLine="0"/>
        <w:rPr>
          <w:rFonts w:hint="default" w:ascii="Times New Roman Bold" w:hAnsi="Times New Roman Bold" w:cs="Times New Roman Bold"/>
          <w:b/>
          <w:bCs/>
        </w:rPr>
      </w:pPr>
      <w:r>
        <w:rPr>
          <w:rFonts w:hint="default" w:ascii="Times New Roman Bold" w:hAnsi="Times New Roman Bold" w:cs="Times New Roman Bold"/>
          <w:b/>
          <w:bCs/>
          <w:i w:val="0"/>
          <w:iCs w:val="0"/>
          <w:caps w:val="0"/>
          <w:color w:val="000000"/>
          <w:spacing w:val="0"/>
          <w:u w:val="none"/>
        </w:rPr>
        <w:t>3. Security Measures</w:t>
      </w:r>
    </w:p>
    <w:p w14:paraId="3E262A96">
      <w:pPr>
        <w:pStyle w:val="11"/>
        <w:keepNext w:val="0"/>
        <w:keepLines w:val="0"/>
        <w:widowControl/>
        <w:numPr>
          <w:ilvl w:val="0"/>
          <w:numId w:val="10"/>
        </w:numPr>
        <w:suppressLineNumbers w:val="0"/>
        <w:spacing w:line="360" w:lineRule="auto"/>
        <w:ind w:left="420" w:leftChars="0" w:hanging="420" w:firstLineChars="0"/>
      </w:pPr>
      <w:r>
        <w:rPr>
          <w:i w:val="0"/>
          <w:iCs w:val="0"/>
          <w:caps w:val="0"/>
          <w:color w:val="000000"/>
          <w:spacing w:val="0"/>
          <w:u w:val="none"/>
        </w:rPr>
        <w:t>Restrict zone transfers to authorized secondary DNS servers.</w:t>
      </w:r>
    </w:p>
    <w:p w14:paraId="2700F678">
      <w:pPr>
        <w:pStyle w:val="11"/>
        <w:keepNext w:val="0"/>
        <w:keepLines w:val="0"/>
        <w:widowControl/>
        <w:numPr>
          <w:ilvl w:val="0"/>
          <w:numId w:val="10"/>
        </w:numPr>
        <w:suppressLineNumbers w:val="0"/>
        <w:spacing w:line="360" w:lineRule="auto"/>
        <w:ind w:left="420" w:leftChars="0" w:hanging="420" w:firstLineChars="0"/>
      </w:pPr>
      <w:r>
        <w:rPr>
          <w:i w:val="0"/>
          <w:iCs w:val="0"/>
          <w:caps w:val="0"/>
          <w:color w:val="000000"/>
          <w:spacing w:val="0"/>
          <w:u w:val="none"/>
        </w:rPr>
        <w:t>Configure access control lists (ACLs) on DNS servers.</w:t>
      </w:r>
    </w:p>
    <w:p w14:paraId="35430071">
      <w:pPr>
        <w:pStyle w:val="11"/>
        <w:keepNext w:val="0"/>
        <w:keepLines w:val="0"/>
        <w:widowControl/>
        <w:numPr>
          <w:ilvl w:val="0"/>
          <w:numId w:val="10"/>
        </w:numPr>
        <w:suppressLineNumbers w:val="0"/>
        <w:spacing w:line="360" w:lineRule="auto"/>
        <w:ind w:left="420" w:leftChars="0" w:hanging="420" w:firstLineChars="0"/>
      </w:pPr>
      <w:r>
        <w:rPr>
          <w:i w:val="0"/>
          <w:iCs w:val="0"/>
          <w:caps w:val="0"/>
          <w:color w:val="000000"/>
          <w:spacing w:val="0"/>
          <w:u w:val="none"/>
        </w:rPr>
        <w:t>Use TSIG (Transaction Signature) to authenticate zone transfers where supported.</w:t>
      </w:r>
    </w:p>
    <w:p w14:paraId="52E82735">
      <w:pPr>
        <w:pStyle w:val="11"/>
        <w:keepNext w:val="0"/>
        <w:keepLines w:val="0"/>
        <w:widowControl/>
        <w:numPr>
          <w:ilvl w:val="0"/>
          <w:numId w:val="10"/>
        </w:numPr>
        <w:suppressLineNumbers w:val="0"/>
        <w:spacing w:line="360" w:lineRule="auto"/>
        <w:ind w:left="420" w:leftChars="0" w:hanging="420" w:firstLineChars="0"/>
      </w:pPr>
      <w:r>
        <w:rPr>
          <w:i w:val="0"/>
          <w:iCs w:val="0"/>
          <w:caps w:val="0"/>
          <w:color w:val="000000"/>
          <w:spacing w:val="0"/>
          <w:u w:val="none"/>
        </w:rPr>
        <w:t>Regularly audit DNS configurations and records.</w:t>
      </w:r>
    </w:p>
    <w:p w14:paraId="3F8C20E7">
      <w:pPr>
        <w:pStyle w:val="11"/>
        <w:keepNext w:val="0"/>
        <w:keepLines w:val="0"/>
        <w:widowControl/>
        <w:numPr>
          <w:ilvl w:val="0"/>
          <w:numId w:val="10"/>
        </w:numPr>
        <w:suppressLineNumbers w:val="0"/>
        <w:spacing w:line="360" w:lineRule="auto"/>
        <w:ind w:left="420" w:leftChars="0" w:hanging="420" w:firstLineChars="0"/>
      </w:pPr>
      <w:r>
        <w:rPr>
          <w:i w:val="0"/>
          <w:iCs w:val="0"/>
          <w:caps w:val="0"/>
          <w:color w:val="000000"/>
          <w:spacing w:val="0"/>
          <w:u w:val="none"/>
        </w:rPr>
        <w:t>Avoid exposing unnecessary internal DNS records to the public.</w:t>
      </w:r>
    </w:p>
    <w:p w14:paraId="2524EE2E">
      <w:pPr>
        <w:pStyle w:val="11"/>
        <w:keepNext w:val="0"/>
        <w:keepLines w:val="0"/>
        <w:widowControl/>
        <w:numPr>
          <w:ilvl w:val="0"/>
          <w:numId w:val="10"/>
        </w:numPr>
        <w:suppressLineNumbers w:val="0"/>
        <w:spacing w:line="360" w:lineRule="auto"/>
        <w:ind w:left="420" w:leftChars="0" w:hanging="420" w:firstLineChars="0"/>
      </w:pPr>
      <w:r>
        <w:rPr>
          <w:i w:val="0"/>
          <w:iCs w:val="0"/>
          <w:caps w:val="0"/>
          <w:color w:val="000000"/>
          <w:spacing w:val="0"/>
          <w:u w:val="none"/>
        </w:rPr>
        <w:t>Monitor DNS logs for unauthorized transfer attempts.</w:t>
      </w:r>
    </w:p>
    <w:p w14:paraId="29B52BED">
      <w:pPr>
        <w:pStyle w:val="11"/>
        <w:keepNext w:val="0"/>
        <w:keepLines w:val="0"/>
        <w:widowControl/>
        <w:suppressLineNumbers w:val="0"/>
        <w:ind w:left="0" w:firstLine="0"/>
        <w:rPr>
          <w:rFonts w:hint="default" w:ascii="Times New Roman Bold" w:hAnsi="Times New Roman Bold" w:cs="Times New Roman Bold"/>
          <w:b/>
          <w:bCs/>
          <w:i w:val="0"/>
          <w:iCs w:val="0"/>
          <w:caps w:val="0"/>
          <w:color w:val="000000"/>
          <w:spacing w:val="0"/>
          <w:u w:val="none"/>
        </w:rPr>
      </w:pPr>
      <w:r>
        <w:rPr>
          <w:rFonts w:hint="default" w:ascii="Times New Roman Bold" w:hAnsi="Times New Roman Bold" w:cs="Times New Roman Bold"/>
          <w:b/>
          <w:bCs/>
          <w:i w:val="0"/>
          <w:iCs w:val="0"/>
          <w:caps w:val="0"/>
          <w:color w:val="000000"/>
          <w:spacing w:val="0"/>
          <w:u w:val="none"/>
        </w:rPr>
        <w:t>Conclusion:</w:t>
      </w:r>
    </w:p>
    <w:p w14:paraId="74E7B3C3">
      <w:pPr>
        <w:pStyle w:val="11"/>
        <w:keepNext w:val="0"/>
        <w:keepLines w:val="0"/>
        <w:widowControl/>
        <w:suppressLineNumbers w:val="0"/>
        <w:spacing w:line="360" w:lineRule="auto"/>
        <w:ind w:left="0" w:firstLine="0"/>
        <w:rPr>
          <w:i w:val="0"/>
          <w:iCs w:val="0"/>
          <w:caps w:val="0"/>
          <w:color w:val="000000"/>
          <w:spacing w:val="0"/>
          <w:u w:val="none"/>
        </w:rPr>
      </w:pPr>
      <w:r>
        <w:rPr>
          <w:i w:val="0"/>
          <w:iCs w:val="0"/>
          <w:caps w:val="0"/>
          <w:color w:val="000000"/>
          <w:spacing w:val="0"/>
          <w:u w:val="none"/>
        </w:rPr>
        <w:t> Unrestricted DNS zone transfers can expose sensitive infrastructure information. Proper access controls, authentication, and regular security audits help protect DNS infrastructure.</w:t>
      </w:r>
    </w:p>
    <w:p w14:paraId="0BE3C4AB">
      <w:pPr>
        <w:keepNext w:val="0"/>
        <w:keepLines w:val="0"/>
        <w:pageBreakBefore w:val="0"/>
        <w:widowControl/>
        <w:numPr>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leftChars="0" w:right="0" w:rightChars="0"/>
        <w:jc w:val="both"/>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US"/>
        </w:rPr>
      </w:pPr>
    </w:p>
    <w:p w14:paraId="00000019"/>
    <w:p w14:paraId="0000001A"/>
    <w:p w14:paraId="0000001B">
      <w:r>
        <w:rPr>
          <w:b/>
          <w:bCs/>
          <w:i/>
          <w:iCs/>
          <w:rtl w:val="0"/>
        </w:rPr>
        <w:t>Code of Conduct:</w:t>
      </w:r>
    </w:p>
    <w:p w14:paraId="0000001C"/>
    <w:p w14:paraId="0000001D">
      <w:pPr>
        <w:jc w:val="both"/>
      </w:pPr>
      <w:r>
        <w:rPr>
          <w:i/>
          <w:iCs/>
          <w:rtl w:val="0"/>
        </w:rPr>
        <w:t>I ____</w:t>
      </w:r>
      <w:r>
        <w:rPr>
          <w:rFonts w:hint="default"/>
          <w:i/>
          <w:iCs/>
          <w:rtl w:val="0"/>
          <w:lang w:val="en-US"/>
        </w:rPr>
        <w:t>K.Divya(192511316)</w:t>
      </w:r>
      <w:r>
        <w:rPr>
          <w:i/>
          <w:iCs/>
          <w:rtl w:val="0"/>
        </w:rPr>
        <w:t>______ (Name / Reg No) certify that this submission is my original work and that I have adhered to the guidelines specified for this assessment.</w:t>
      </w:r>
    </w:p>
    <w:p w14:paraId="0000001E">
      <w:pPr>
        <w:jc w:val="both"/>
      </w:pPr>
      <w:r>
        <w:rPr>
          <w:i/>
          <w:iCs/>
          <w:rtl w:val="0"/>
        </w:rPr>
        <w:t>I understand that any violation of academic integrity rules will result in disciplinary action.</w:t>
      </w:r>
    </w:p>
    <w:p w14:paraId="0000001F"/>
    <w:p w14:paraId="00000020">
      <w:r>
        <w:rPr>
          <w:b/>
          <w:bCs/>
          <w:i/>
          <w:iCs/>
          <w:rtl w:val="0"/>
        </w:rPr>
        <w:t>Signature of the student:</w:t>
      </w:r>
    </w:p>
    <w:p w14:paraId="00000021">
      <w:pPr>
        <w:rPr>
          <w:rFonts w:hint="default"/>
          <w:lang w:val="en-US"/>
        </w:rPr>
      </w:pPr>
      <w:r>
        <w:rPr>
          <w:rFonts w:hint="default"/>
          <w:lang w:val="en-US"/>
        </w:rPr>
        <w:t xml:space="preserve">       Divya.k</w:t>
      </w:r>
      <w:bookmarkStart w:id="1" w:name="_GoBack"/>
      <w:bookmarkEnd w:id="1"/>
    </w:p>
    <w:p w14:paraId="00000022"/>
    <w:p w14:paraId="00000023">
      <w:pPr>
        <w:rPr>
          <w:rFonts w:ascii="Arial" w:hAnsi="Arial" w:eastAsia="Arial" w:cs="Arial"/>
          <w:color w:val="000000"/>
        </w:rPr>
      </w:pPr>
      <w:r>
        <w:br w:type="page"/>
      </w:r>
      <w:r>
        <w:rPr>
          <w:rFonts w:ascii="Arial" w:hAnsi="Arial" w:eastAsia="Arial" w:cs="Arial"/>
          <w:b/>
          <w:bCs/>
          <w:color w:val="000000"/>
          <w:rtl w:val="0"/>
        </w:rPr>
        <w:t>RUBRICS FOR CALCULATION</w:t>
      </w:r>
    </w:p>
    <w:p w14:paraId="00000024">
      <w:pPr>
        <w:pBdr>
          <w:top w:val="none" w:color="000000" w:sz="0" w:space="0"/>
          <w:left w:val="none" w:color="000000" w:sz="0" w:space="0"/>
          <w:bottom w:val="none" w:color="000000" w:sz="0" w:space="0"/>
          <w:right w:val="none" w:color="000000" w:sz="0" w:space="0"/>
          <w:between w:val="none" w:color="000000" w:sz="0" w:space="0"/>
        </w:pBdr>
        <w:jc w:val="both"/>
        <w:rPr>
          <w:rFonts w:ascii="Arial" w:hAnsi="Arial" w:eastAsia="Arial" w:cs="Arial"/>
          <w:color w:val="000000"/>
        </w:rPr>
      </w:pPr>
    </w:p>
    <w:tbl>
      <w:tblPr>
        <w:tblStyle w:val="15"/>
        <w:tblW w:w="10179" w:type="dxa"/>
        <w:tblInd w:w="0" w:type="dxa"/>
        <w:tblLayout w:type="fixed"/>
        <w:tblCellMar>
          <w:top w:w="15" w:type="dxa"/>
          <w:left w:w="15" w:type="dxa"/>
          <w:bottom w:w="15" w:type="dxa"/>
          <w:right w:w="15" w:type="dxa"/>
        </w:tblCellMar>
      </w:tblPr>
      <w:tblGrid>
        <w:gridCol w:w="1560"/>
        <w:gridCol w:w="1311"/>
        <w:gridCol w:w="1983"/>
        <w:gridCol w:w="1798"/>
        <w:gridCol w:w="1765"/>
        <w:gridCol w:w="1762"/>
      </w:tblGrid>
      <w:tr w14:paraId="4D3300F4">
        <w:trPr>
          <w:trHeight w:val="757" w:hRule="atLeast"/>
        </w:trPr>
        <w:tc>
          <w:tcPr>
            <w:gridSpan w:val="6"/>
            <w:tcBorders>
              <w:top w:val="nil"/>
              <w:left w:val="nil"/>
              <w:bottom w:val="nil"/>
              <w:right w:val="nil"/>
            </w:tcBorders>
            <w:tcMar>
              <w:top w:w="0" w:type="dxa"/>
              <w:left w:w="108" w:type="dxa"/>
              <w:bottom w:w="0" w:type="dxa"/>
              <w:right w:w="108" w:type="dxa"/>
            </w:tcMar>
            <w:vAlign w:val="center"/>
          </w:tcPr>
          <w:p w14:paraId="00000025">
            <w:pPr>
              <w:jc w:val="center"/>
              <w:rPr>
                <w:rFonts w:ascii="Google Sans" w:hAnsi="Google Sans" w:eastAsia="Google Sans" w:cs="Google Sans"/>
                <w:b/>
                <w:bCs/>
                <w:color w:val="222222"/>
              </w:rPr>
            </w:pPr>
            <w:r>
              <w:rPr>
                <w:rFonts w:ascii="Google Sans" w:hAnsi="Google Sans" w:eastAsia="Google Sans" w:cs="Google Sans"/>
                <w:b/>
                <w:bCs/>
                <w:color w:val="222222"/>
                <w:rtl w:val="0"/>
              </w:rPr>
              <w:t>Report Analysis</w:t>
            </w:r>
          </w:p>
        </w:tc>
      </w:tr>
      <w:tr w14:paraId="13560427">
        <w:trPr>
          <w:trHeight w:val="529"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B">
            <w:pPr>
              <w:jc w:val="center"/>
              <w:rPr>
                <w:rFonts w:ascii="Arial" w:hAnsi="Arial" w:eastAsia="Arial" w:cs="Arial"/>
                <w:b/>
                <w:bCs/>
                <w:color w:val="000000"/>
                <w:sz w:val="20"/>
                <w:szCs w:val="20"/>
              </w:rPr>
            </w:pPr>
            <w:r>
              <w:rPr>
                <w:rFonts w:ascii="Arial" w:hAnsi="Arial" w:eastAsia="Arial" w:cs="Arial"/>
                <w:b/>
                <w:bCs/>
                <w:color w:val="000000"/>
                <w:sz w:val="20"/>
                <w:szCs w:val="20"/>
                <w:rtl w:val="0"/>
              </w:rPr>
              <w:t>Criteria</w:t>
            </w:r>
          </w:p>
        </w:tc>
        <w:tc>
          <w:tcPr>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0000002C">
            <w:pPr>
              <w:jc w:val="center"/>
              <w:rPr>
                <w:rFonts w:ascii="Arial" w:hAnsi="Arial" w:eastAsia="Arial" w:cs="Arial"/>
                <w:b/>
                <w:bCs/>
                <w:color w:val="000000"/>
                <w:sz w:val="20"/>
                <w:szCs w:val="20"/>
              </w:rPr>
            </w:pPr>
            <w:r>
              <w:rPr>
                <w:rFonts w:ascii="Arial" w:hAnsi="Arial" w:eastAsia="Arial" w:cs="Arial"/>
                <w:b/>
                <w:bCs/>
                <w:color w:val="000000"/>
                <w:sz w:val="20"/>
                <w:szCs w:val="20"/>
                <w:rtl w:val="0"/>
              </w:rPr>
              <w:t>Weightage (%)</w:t>
            </w:r>
          </w:p>
        </w:tc>
        <w:tc>
          <w:tcPr>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0000002D">
            <w:pPr>
              <w:jc w:val="center"/>
              <w:rPr>
                <w:rFonts w:ascii="Arial" w:hAnsi="Arial" w:eastAsia="Arial" w:cs="Arial"/>
                <w:b/>
                <w:bCs/>
                <w:color w:val="000000"/>
                <w:sz w:val="20"/>
                <w:szCs w:val="20"/>
              </w:rPr>
            </w:pPr>
            <w:r>
              <w:rPr>
                <w:rFonts w:ascii="Arial" w:hAnsi="Arial" w:eastAsia="Arial" w:cs="Arial"/>
                <w:b/>
                <w:bCs/>
                <w:color w:val="000000"/>
                <w:sz w:val="20"/>
                <w:szCs w:val="20"/>
                <w:rtl w:val="0"/>
              </w:rPr>
              <w:t>Level 4 (Exemplary)</w:t>
            </w:r>
          </w:p>
        </w:tc>
        <w:tc>
          <w:tcPr>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0000002E">
            <w:pPr>
              <w:jc w:val="center"/>
              <w:rPr>
                <w:rFonts w:ascii="Arial" w:hAnsi="Arial" w:eastAsia="Arial" w:cs="Arial"/>
                <w:b/>
                <w:bCs/>
                <w:color w:val="000000"/>
                <w:sz w:val="20"/>
                <w:szCs w:val="20"/>
              </w:rPr>
            </w:pPr>
            <w:r>
              <w:rPr>
                <w:rFonts w:ascii="Arial" w:hAnsi="Arial" w:eastAsia="Arial" w:cs="Arial"/>
                <w:b/>
                <w:bCs/>
                <w:color w:val="000000"/>
                <w:sz w:val="20"/>
                <w:szCs w:val="20"/>
                <w:rtl w:val="0"/>
              </w:rPr>
              <w:t>Level 3 (Proficient)</w:t>
            </w:r>
          </w:p>
        </w:tc>
        <w:tc>
          <w:tcPr>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0000002F">
            <w:pPr>
              <w:jc w:val="center"/>
              <w:rPr>
                <w:rFonts w:ascii="Arial" w:hAnsi="Arial" w:eastAsia="Arial" w:cs="Arial"/>
                <w:b/>
                <w:bCs/>
                <w:color w:val="000000"/>
                <w:sz w:val="20"/>
                <w:szCs w:val="20"/>
              </w:rPr>
            </w:pPr>
            <w:r>
              <w:rPr>
                <w:rFonts w:ascii="Arial" w:hAnsi="Arial" w:eastAsia="Arial" w:cs="Arial"/>
                <w:b/>
                <w:bCs/>
                <w:color w:val="000000"/>
                <w:sz w:val="20"/>
                <w:szCs w:val="20"/>
                <w:rtl w:val="0"/>
              </w:rPr>
              <w:t>Level 2 (Developing)</w:t>
            </w:r>
          </w:p>
        </w:tc>
        <w:tc>
          <w:tcPr>
            <w:tcBorders>
              <w:top w:val="single" w:color="000000" w:sz="4" w:space="0"/>
              <w:left w:val="nil"/>
              <w:bottom w:val="single" w:color="000000" w:sz="4" w:space="0"/>
              <w:right w:val="single" w:color="000000" w:sz="4" w:space="0"/>
            </w:tcBorders>
            <w:tcMar>
              <w:top w:w="0" w:type="dxa"/>
              <w:left w:w="108" w:type="dxa"/>
              <w:bottom w:w="0" w:type="dxa"/>
              <w:right w:w="108" w:type="dxa"/>
            </w:tcMar>
            <w:vAlign w:val="center"/>
          </w:tcPr>
          <w:p w14:paraId="00000030">
            <w:pPr>
              <w:jc w:val="center"/>
              <w:rPr>
                <w:rFonts w:ascii="Arial" w:hAnsi="Arial" w:eastAsia="Arial" w:cs="Arial"/>
                <w:b/>
                <w:bCs/>
                <w:color w:val="000000"/>
                <w:sz w:val="20"/>
                <w:szCs w:val="20"/>
              </w:rPr>
            </w:pPr>
            <w:r>
              <w:rPr>
                <w:rFonts w:ascii="Arial" w:hAnsi="Arial" w:eastAsia="Arial" w:cs="Arial"/>
                <w:b/>
                <w:bCs/>
                <w:color w:val="000000"/>
                <w:sz w:val="20"/>
                <w:szCs w:val="20"/>
                <w:rtl w:val="0"/>
              </w:rPr>
              <w:t>Level 1 (Beginning)</w:t>
            </w:r>
          </w:p>
        </w:tc>
      </w:tr>
      <w:tr w14:paraId="222620EF">
        <w:trPr>
          <w:trHeight w:val="832" w:hRule="atLeast"/>
        </w:trPr>
        <w:tc>
          <w:tcPr>
            <w:tcBorders>
              <w:top w:val="nil"/>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1">
            <w:pPr>
              <w:jc w:val="center"/>
              <w:rPr>
                <w:rFonts w:ascii="Arial" w:hAnsi="Arial" w:eastAsia="Arial" w:cs="Arial"/>
                <w:color w:val="000000"/>
                <w:sz w:val="20"/>
                <w:szCs w:val="20"/>
              </w:rPr>
            </w:pPr>
            <w:r>
              <w:rPr>
                <w:rFonts w:ascii="Arial" w:hAnsi="Arial" w:eastAsia="Arial" w:cs="Arial"/>
                <w:color w:val="000000"/>
                <w:sz w:val="20"/>
                <w:szCs w:val="20"/>
                <w:rtl w:val="0"/>
              </w:rPr>
              <w:t>Report Analysis and Interpretation</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32">
            <w:pPr>
              <w:jc w:val="center"/>
              <w:rPr>
                <w:rFonts w:ascii="Arial" w:hAnsi="Arial" w:eastAsia="Arial" w:cs="Arial"/>
                <w:color w:val="000000"/>
                <w:sz w:val="20"/>
                <w:szCs w:val="20"/>
              </w:rPr>
            </w:pPr>
            <w:r>
              <w:rPr>
                <w:rtl w:val="0"/>
              </w:rPr>
              <w:t>25%</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33">
            <w:pPr>
              <w:jc w:val="center"/>
              <w:rPr>
                <w:rFonts w:ascii="Arial" w:hAnsi="Arial" w:eastAsia="Arial" w:cs="Arial"/>
                <w:color w:val="000000"/>
                <w:sz w:val="20"/>
                <w:szCs w:val="20"/>
              </w:rPr>
            </w:pPr>
            <w:r>
              <w:rPr>
                <w:rtl w:val="0"/>
              </w:rPr>
              <w:t>Accurately interprets the security report, identifies all key findings, and explains their significance with excellent technical understanding.</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34">
            <w:pPr>
              <w:jc w:val="center"/>
              <w:rPr>
                <w:rFonts w:ascii="Arial" w:hAnsi="Arial" w:eastAsia="Arial" w:cs="Arial"/>
                <w:color w:val="000000"/>
                <w:sz w:val="20"/>
                <w:szCs w:val="20"/>
              </w:rPr>
            </w:pPr>
            <w:r>
              <w:rPr>
                <w:rtl w:val="0"/>
              </w:rPr>
              <w:t>Correctly interprets most findings with minor omissions or inaccuracies.</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35">
            <w:pPr>
              <w:jc w:val="center"/>
              <w:rPr>
                <w:rFonts w:ascii="Arial" w:hAnsi="Arial" w:eastAsia="Arial" w:cs="Arial"/>
                <w:color w:val="000000"/>
                <w:sz w:val="20"/>
                <w:szCs w:val="20"/>
              </w:rPr>
            </w:pPr>
            <w:r>
              <w:rPr>
                <w:rtl w:val="0"/>
              </w:rPr>
              <w:t>Identifies only some findings and provides limited interpretation.</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36">
            <w:pPr>
              <w:jc w:val="center"/>
              <w:rPr>
                <w:rFonts w:ascii="Arial" w:hAnsi="Arial" w:eastAsia="Arial" w:cs="Arial"/>
                <w:color w:val="000000"/>
                <w:sz w:val="20"/>
                <w:szCs w:val="20"/>
              </w:rPr>
            </w:pPr>
            <w:r>
              <w:rPr>
                <w:rtl w:val="0"/>
              </w:rPr>
              <w:t>Unable to interpret the report or identify key findings.</w:t>
            </w:r>
          </w:p>
        </w:tc>
      </w:tr>
      <w:tr w14:paraId="11F05765">
        <w:trPr>
          <w:trHeight w:val="832" w:hRule="atLeast"/>
        </w:trPr>
        <w:tc>
          <w:tcPr>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00000037">
            <w:pPr>
              <w:jc w:val="center"/>
              <w:rPr>
                <w:rFonts w:ascii="Arial" w:hAnsi="Arial" w:eastAsia="Arial" w:cs="Arial"/>
                <w:color w:val="000000"/>
                <w:sz w:val="20"/>
                <w:szCs w:val="20"/>
              </w:rPr>
            </w:pPr>
            <w:r>
              <w:rPr>
                <w:rtl w:val="0"/>
              </w:rPr>
              <w:t>Identification of Security Risks and Vulnerabilities</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38">
            <w:pPr>
              <w:jc w:val="center"/>
              <w:rPr>
                <w:rFonts w:ascii="Arial" w:hAnsi="Arial" w:eastAsia="Arial" w:cs="Arial"/>
                <w:color w:val="000000"/>
                <w:sz w:val="20"/>
                <w:szCs w:val="20"/>
              </w:rPr>
            </w:pPr>
            <w:r>
              <w:rPr>
                <w:rtl w:val="0"/>
              </w:rPr>
              <w:t>25%</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39">
            <w:pPr>
              <w:jc w:val="center"/>
              <w:rPr>
                <w:rFonts w:ascii="Arial" w:hAnsi="Arial" w:eastAsia="Arial" w:cs="Arial"/>
                <w:color w:val="000000"/>
                <w:sz w:val="20"/>
                <w:szCs w:val="20"/>
              </w:rPr>
            </w:pPr>
            <w:r>
              <w:rPr>
                <w:rtl w:val="0"/>
              </w:rPr>
              <w:t>Correctly identifies all security risks, vulnerabilities, and possible attack vectors with clear technical justification.</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3A">
            <w:pPr>
              <w:jc w:val="center"/>
              <w:rPr>
                <w:rFonts w:ascii="Arial" w:hAnsi="Arial" w:eastAsia="Arial" w:cs="Arial"/>
                <w:color w:val="000000"/>
                <w:sz w:val="20"/>
                <w:szCs w:val="20"/>
              </w:rPr>
            </w:pPr>
            <w:r>
              <w:rPr>
                <w:rtl w:val="0"/>
              </w:rPr>
              <w:t>Identifies most risks and vulnerabilities with minor errors.</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3B">
            <w:pPr>
              <w:jc w:val="center"/>
              <w:rPr>
                <w:rFonts w:ascii="Arial" w:hAnsi="Arial" w:eastAsia="Arial" w:cs="Arial"/>
                <w:color w:val="000000"/>
                <w:sz w:val="20"/>
                <w:szCs w:val="20"/>
              </w:rPr>
            </w:pPr>
            <w:r>
              <w:rPr>
                <w:rtl w:val="0"/>
              </w:rPr>
              <w:t>Identifies only a few risks with limited technical explanation.</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3C">
            <w:pPr>
              <w:jc w:val="center"/>
              <w:rPr>
                <w:rFonts w:ascii="Arial" w:hAnsi="Arial" w:eastAsia="Arial" w:cs="Arial"/>
                <w:color w:val="000000"/>
                <w:sz w:val="20"/>
                <w:szCs w:val="20"/>
              </w:rPr>
            </w:pPr>
            <w:r>
              <w:rPr>
                <w:rtl w:val="0"/>
              </w:rPr>
              <w:t>Fails to identify major risks or vulnerabilities.</w:t>
            </w:r>
          </w:p>
        </w:tc>
      </w:tr>
      <w:tr w14:paraId="615AF430">
        <w:trPr>
          <w:trHeight w:val="832" w:hRule="atLeast"/>
        </w:trPr>
        <w:tc>
          <w:tcPr>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0000003D">
            <w:pPr>
              <w:jc w:val="center"/>
              <w:rPr>
                <w:rFonts w:ascii="Arial" w:hAnsi="Arial" w:eastAsia="Arial" w:cs="Arial"/>
                <w:color w:val="000000"/>
                <w:sz w:val="20"/>
                <w:szCs w:val="20"/>
              </w:rPr>
            </w:pPr>
            <w:r>
              <w:rPr>
                <w:rtl w:val="0"/>
              </w:rPr>
              <w:t>Application of Cybersecurity Concepts and Countermeasures</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3E">
            <w:pPr>
              <w:jc w:val="center"/>
              <w:rPr>
                <w:rFonts w:ascii="Arial" w:hAnsi="Arial" w:eastAsia="Arial" w:cs="Arial"/>
                <w:color w:val="000000"/>
                <w:sz w:val="20"/>
                <w:szCs w:val="20"/>
              </w:rPr>
            </w:pPr>
            <w:r>
              <w:rPr>
                <w:rtl w:val="0"/>
              </w:rPr>
              <w:t>30%</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3F">
            <w:pPr>
              <w:jc w:val="center"/>
              <w:rPr>
                <w:rFonts w:ascii="Arial" w:hAnsi="Arial" w:eastAsia="Arial" w:cs="Arial"/>
                <w:color w:val="000000"/>
                <w:sz w:val="20"/>
                <w:szCs w:val="20"/>
              </w:rPr>
            </w:pPr>
            <w:r>
              <w:rPr>
                <w:rtl w:val="0"/>
              </w:rPr>
              <w:t>Applies appropriate ethical hacking concepts and recommends comprehensive, practical, and technically sound countermeasures.</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40">
            <w:pPr>
              <w:jc w:val="center"/>
              <w:rPr>
                <w:rFonts w:ascii="Arial" w:hAnsi="Arial" w:eastAsia="Arial" w:cs="Arial"/>
                <w:color w:val="000000"/>
                <w:sz w:val="20"/>
                <w:szCs w:val="20"/>
              </w:rPr>
            </w:pPr>
            <w:r>
              <w:rPr>
                <w:rtl w:val="0"/>
              </w:rPr>
              <w:t>Recommends suitable countermeasures with minor technical gaps.</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41">
            <w:pPr>
              <w:jc w:val="center"/>
              <w:rPr>
                <w:rFonts w:ascii="Arial" w:hAnsi="Arial" w:eastAsia="Arial" w:cs="Arial"/>
                <w:color w:val="000000"/>
                <w:sz w:val="20"/>
                <w:szCs w:val="20"/>
              </w:rPr>
            </w:pPr>
            <w:r>
              <w:rPr>
                <w:rtl w:val="0"/>
              </w:rPr>
              <w:t>Provides limited or partially appropriate recommendations.</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42">
            <w:pPr>
              <w:jc w:val="center"/>
              <w:rPr>
                <w:rFonts w:ascii="Arial" w:hAnsi="Arial" w:eastAsia="Arial" w:cs="Arial"/>
                <w:color w:val="000000"/>
                <w:sz w:val="20"/>
                <w:szCs w:val="20"/>
              </w:rPr>
            </w:pPr>
            <w:r>
              <w:rPr>
                <w:rtl w:val="0"/>
              </w:rPr>
              <w:t>Recommendations are inappropriate, incomplete, or missing.</w:t>
            </w:r>
          </w:p>
        </w:tc>
      </w:tr>
      <w:tr w14:paraId="06301F99">
        <w:trPr>
          <w:trHeight w:val="832" w:hRule="atLeast"/>
        </w:trPr>
        <w:tc>
          <w:tcPr>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00000043">
            <w:pPr>
              <w:jc w:val="center"/>
              <w:rPr>
                <w:rFonts w:ascii="Arial" w:hAnsi="Arial" w:eastAsia="Arial" w:cs="Arial"/>
                <w:color w:val="000000"/>
                <w:sz w:val="20"/>
                <w:szCs w:val="20"/>
              </w:rPr>
            </w:pPr>
            <w:r>
              <w:rPr>
                <w:rtl w:val="0"/>
              </w:rPr>
              <w:t>Technical Communication and Documentation</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44">
            <w:pPr>
              <w:jc w:val="center"/>
              <w:rPr>
                <w:rFonts w:ascii="Arial" w:hAnsi="Arial" w:eastAsia="Arial" w:cs="Arial"/>
                <w:color w:val="000000"/>
                <w:sz w:val="20"/>
                <w:szCs w:val="20"/>
              </w:rPr>
            </w:pPr>
            <w:r>
              <w:rPr>
                <w:rtl w:val="0"/>
              </w:rPr>
              <w:t>20%</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45">
            <w:pPr>
              <w:jc w:val="center"/>
              <w:rPr>
                <w:rFonts w:ascii="Arial" w:hAnsi="Arial" w:eastAsia="Arial" w:cs="Arial"/>
                <w:color w:val="000000"/>
                <w:sz w:val="20"/>
                <w:szCs w:val="20"/>
              </w:rPr>
            </w:pPr>
            <w:r>
              <w:rPr>
                <w:rtl w:val="0"/>
              </w:rPr>
              <w:t>Response is well-organized, technically accurate, clearly presented, and uses appropriate cybersecurity terminology throughout.</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46">
            <w:pPr>
              <w:jc w:val="center"/>
              <w:rPr>
                <w:rFonts w:ascii="Arial" w:hAnsi="Arial" w:eastAsia="Arial" w:cs="Arial"/>
                <w:color w:val="000000"/>
                <w:sz w:val="20"/>
                <w:szCs w:val="20"/>
              </w:rPr>
            </w:pPr>
            <w:r>
              <w:rPr>
                <w:rtl w:val="0"/>
              </w:rPr>
              <w:t>Response is organized and understandable with minor documentation or presentation issues.</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47">
            <w:pPr>
              <w:jc w:val="center"/>
              <w:rPr>
                <w:rFonts w:ascii="Arial" w:hAnsi="Arial" w:eastAsia="Arial" w:cs="Arial"/>
                <w:color w:val="000000"/>
                <w:sz w:val="20"/>
                <w:szCs w:val="20"/>
              </w:rPr>
            </w:pPr>
            <w:r>
              <w:rPr>
                <w:rtl w:val="0"/>
              </w:rPr>
              <w:t>Response lacks clarity, organization, or contains several technical inaccuracies.</w:t>
            </w:r>
          </w:p>
        </w:tc>
        <w:tc>
          <w:tcPr>
            <w:tcBorders>
              <w:top w:val="nil"/>
              <w:left w:val="nil"/>
              <w:bottom w:val="single" w:color="000000" w:sz="4" w:space="0"/>
              <w:right w:val="single" w:color="000000" w:sz="4" w:space="0"/>
            </w:tcBorders>
            <w:tcMar>
              <w:top w:w="0" w:type="dxa"/>
              <w:left w:w="108" w:type="dxa"/>
              <w:bottom w:w="0" w:type="dxa"/>
              <w:right w:w="108" w:type="dxa"/>
            </w:tcMar>
          </w:tcPr>
          <w:p w14:paraId="00000048">
            <w:pPr>
              <w:jc w:val="center"/>
              <w:rPr>
                <w:rFonts w:ascii="Arial" w:hAnsi="Arial" w:eastAsia="Arial" w:cs="Arial"/>
                <w:color w:val="000000"/>
                <w:sz w:val="20"/>
                <w:szCs w:val="20"/>
              </w:rPr>
            </w:pPr>
            <w:r>
              <w:rPr>
                <w:rtl w:val="0"/>
              </w:rPr>
              <w:t>Response is poorly organized, incomplete, and difficult to understand.</w:t>
            </w:r>
          </w:p>
        </w:tc>
      </w:tr>
    </w:tbl>
    <w:p w14:paraId="00000049">
      <w:pPr>
        <w:rPr>
          <w:rFonts w:ascii="Arial" w:hAnsi="Arial" w:eastAsia="Arial" w:cs="Arial"/>
          <w:b/>
          <w:bCs/>
          <w:color w:val="000000"/>
        </w:rPr>
      </w:pPr>
    </w:p>
    <w:sectPr>
      <w:pgSz w:w="11909" w:h="16834"/>
      <w:pgMar w:top="720" w:right="720" w:bottom="720" w:left="72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66CC564B-51B4-20DF-4F7D-D76A26E69F1A}"/>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embedRegular r:id="rId2" w:fontKey="{91B8BE29-D3A4-CC55-4F7D-D76A4FB2BF92}"/>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embedRegular r:id="rId3" w:fontKey="{60690474-58A6-B6CC-4F7D-D76A96E72F4F}"/>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Google San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embedRegular r:id="rId4" w:fontKey="{700ACB62-8654-3FB3-4F7D-D76AD462D25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79A32B"/>
    <w:multiLevelType w:val="singleLevel"/>
    <w:tmpl w:val="9C79A3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D8A467A"/>
    <w:multiLevelType w:val="singleLevel"/>
    <w:tmpl w:val="9D8A46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8EE4054"/>
    <w:multiLevelType w:val="singleLevel"/>
    <w:tmpl w:val="D8EE405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367E844"/>
    <w:multiLevelType w:val="singleLevel"/>
    <w:tmpl w:val="F367E844"/>
    <w:lvl w:ilvl="0" w:tentative="0">
      <w:start w:val="1"/>
      <w:numFmt w:val="decimal"/>
      <w:lvlText w:val="%1)"/>
      <w:lvlJc w:val="left"/>
      <w:pPr>
        <w:tabs>
          <w:tab w:val="left" w:pos="425"/>
        </w:tabs>
        <w:ind w:left="425" w:leftChars="0" w:hanging="425" w:firstLineChars="0"/>
      </w:pPr>
      <w:rPr>
        <w:rFonts w:hint="default"/>
      </w:rPr>
    </w:lvl>
  </w:abstractNum>
  <w:abstractNum w:abstractNumId="4">
    <w:nsid w:val="F3A4D1B2"/>
    <w:multiLevelType w:val="singleLevel"/>
    <w:tmpl w:val="F3A4D1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6E429E3"/>
    <w:multiLevelType w:val="singleLevel"/>
    <w:tmpl w:val="F6E429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76FCDF5"/>
    <w:multiLevelType w:val="singleLevel"/>
    <w:tmpl w:val="F76FCD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7F35743"/>
    <w:multiLevelType w:val="singleLevel"/>
    <w:tmpl w:val="F7F35743"/>
    <w:lvl w:ilvl="0" w:tentative="0">
      <w:start w:val="1"/>
      <w:numFmt w:val="lowerRoman"/>
      <w:lvlText w:val="%1."/>
      <w:lvlJc w:val="left"/>
      <w:pPr>
        <w:tabs>
          <w:tab w:val="left" w:pos="425"/>
        </w:tabs>
        <w:ind w:left="425" w:leftChars="0" w:hanging="425" w:firstLineChars="0"/>
      </w:pPr>
      <w:rPr>
        <w:rFonts w:hint="default"/>
      </w:rPr>
    </w:lvl>
  </w:abstractNum>
  <w:abstractNum w:abstractNumId="8">
    <w:nsid w:val="FBF707D7"/>
    <w:multiLevelType w:val="singleLevel"/>
    <w:tmpl w:val="FBF707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FDBF27E"/>
    <w:multiLevelType w:val="multilevel"/>
    <w:tmpl w:val="FFDBF27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9"/>
  </w:num>
  <w:num w:numId="2">
    <w:abstractNumId w:val="6"/>
  </w:num>
  <w:num w:numId="3">
    <w:abstractNumId w:val="3"/>
  </w:num>
  <w:num w:numId="4">
    <w:abstractNumId w:val="8"/>
  </w:num>
  <w:num w:numId="5">
    <w:abstractNumId w:val="5"/>
  </w:num>
  <w:num w:numId="6">
    <w:abstractNumId w:val="0"/>
  </w:num>
  <w:num w:numId="7">
    <w:abstractNumId w:val="1"/>
  </w:num>
  <w:num w:numId="8">
    <w:abstractNumId w:val="7"/>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F67B044"/>
    <w:rsid w:val="7FD77E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heme="minorHAnsi" w:hAnsiTheme="minorHAnsi" w:eastAsiaTheme="minorEastAsia" w:cstheme="minorBidi"/>
      <w:sz w:val="24"/>
      <w:szCs w:val="24"/>
      <w:lang w:val="en-IN"/>
    </w:rPr>
  </w:style>
  <w:style w:type="paragraph" w:styleId="2">
    <w:name w:val="heading 1"/>
    <w:basedOn w:val="1"/>
    <w:next w:val="1"/>
    <w:uiPriority w:val="0"/>
    <w:pPr>
      <w:keepNext/>
      <w:keepLines/>
      <w:spacing w:before="400" w:after="120" w:line="276" w:lineRule="auto"/>
    </w:pPr>
    <w:rPr>
      <w:rFonts w:ascii="Arial" w:hAnsi="Arial" w:eastAsia="Arial" w:cs="Arial"/>
      <w:sz w:val="40"/>
      <w:szCs w:val="40"/>
    </w:rPr>
  </w:style>
  <w:style w:type="paragraph" w:styleId="3">
    <w:name w:val="heading 2"/>
    <w:basedOn w:val="1"/>
    <w:next w:val="1"/>
    <w:uiPriority w:val="0"/>
    <w:pPr>
      <w:keepNext/>
      <w:keepLines/>
      <w:spacing w:before="360" w:after="120" w:line="276" w:lineRule="auto"/>
    </w:pPr>
    <w:rPr>
      <w:rFonts w:ascii="Arial" w:hAnsi="Arial" w:eastAsia="Arial" w:cs="Arial"/>
      <w:sz w:val="32"/>
      <w:szCs w:val="32"/>
    </w:rPr>
  </w:style>
  <w:style w:type="paragraph" w:styleId="4">
    <w:name w:val="heading 3"/>
    <w:basedOn w:val="1"/>
    <w:next w:val="1"/>
    <w:uiPriority w:val="0"/>
    <w:pPr>
      <w:keepNext/>
      <w:keepLines/>
      <w:spacing w:before="320" w:after="80" w:line="276" w:lineRule="auto"/>
    </w:pPr>
    <w:rPr>
      <w:rFonts w:ascii="Arial" w:hAnsi="Arial" w:eastAsia="Arial" w:cs="Arial"/>
      <w:color w:val="434343"/>
      <w:sz w:val="28"/>
      <w:szCs w:val="28"/>
    </w:rPr>
  </w:style>
  <w:style w:type="paragraph" w:styleId="5">
    <w:name w:val="heading 4"/>
    <w:basedOn w:val="1"/>
    <w:next w:val="1"/>
    <w:uiPriority w:val="0"/>
    <w:pPr>
      <w:keepNext/>
      <w:keepLines/>
      <w:spacing w:before="280" w:after="80" w:line="276" w:lineRule="auto"/>
    </w:pPr>
    <w:rPr>
      <w:rFonts w:ascii="Arial" w:hAnsi="Arial" w:eastAsia="Arial" w:cs="Arial"/>
      <w:color w:val="666666"/>
    </w:rPr>
  </w:style>
  <w:style w:type="paragraph" w:styleId="6">
    <w:name w:val="heading 5"/>
    <w:basedOn w:val="1"/>
    <w:next w:val="1"/>
    <w:uiPriority w:val="0"/>
    <w:pPr>
      <w:keepNext/>
      <w:keepLines/>
      <w:spacing w:before="240" w:after="80" w:line="276" w:lineRule="auto"/>
    </w:pPr>
    <w:rPr>
      <w:rFonts w:ascii="Arial" w:hAnsi="Arial" w:eastAsia="Arial" w:cs="Arial"/>
      <w:color w:val="666666"/>
      <w:sz w:val="22"/>
      <w:szCs w:val="22"/>
    </w:rPr>
  </w:style>
  <w:style w:type="paragraph" w:styleId="7">
    <w:name w:val="heading 6"/>
    <w:basedOn w:val="1"/>
    <w:next w:val="1"/>
    <w:uiPriority w:val="0"/>
    <w:pPr>
      <w:keepNext/>
      <w:keepLines/>
      <w:spacing w:before="240" w:after="80" w:line="276" w:lineRule="auto"/>
    </w:pPr>
    <w:rPr>
      <w:rFonts w:ascii="Arial" w:hAnsi="Arial" w:eastAsia="Arial" w:cs="Arial"/>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TML Code"/>
    <w:basedOn w:val="8"/>
    <w:uiPriority w:val="0"/>
    <w:rPr>
      <w:rFonts w:ascii="Courier New" w:hAnsi="Courier New" w:cs="Courier New"/>
      <w:sz w:val="20"/>
      <w:szCs w:val="20"/>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Subtitle"/>
    <w:basedOn w:val="1"/>
    <w:next w:val="1"/>
    <w:uiPriority w:val="0"/>
    <w:pPr>
      <w:keepNext/>
      <w:keepLines/>
      <w:spacing w:after="320" w:line="276" w:lineRule="auto"/>
    </w:pPr>
    <w:rPr>
      <w:rFonts w:ascii="Arial" w:hAnsi="Arial" w:eastAsia="Arial" w:cs="Arial"/>
      <w:color w:val="666666"/>
      <w:sz w:val="30"/>
      <w:szCs w:val="30"/>
    </w:rPr>
  </w:style>
  <w:style w:type="paragraph" w:styleId="13">
    <w:name w:val="Title"/>
    <w:basedOn w:val="1"/>
    <w:next w:val="1"/>
    <w:uiPriority w:val="0"/>
    <w:pPr>
      <w:keepNext/>
      <w:keepLines/>
      <w:spacing w:after="60" w:line="276" w:lineRule="auto"/>
    </w:pPr>
    <w:rPr>
      <w:rFonts w:ascii="Arial" w:hAnsi="Arial" w:eastAsia="Arial" w:cs="Arial"/>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0"/>
    <w:basedOn w:val="14"/>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aPqvM3KcY4kfaKnmF5s4836xnA==">CgMxLjAyDmguYWVkMDh1cjhrNWlzOAByITF6Qm1EamFKTWQ4MmFMbmVNRGdubHNoWkFUa1JfLW5WVg==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Pages>
  <TotalTime>8</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2026-10-20T14:51:00Z</dcterms:created>
  <dc:creator>Data</dc:creator>
  <cp:lastModifiedBy>DIVYA K</cp:lastModifiedBy>
  <dcterms:modified xsi:type="dcterms:W3CDTF">2026-10-20T20:10:15Z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D7D5ABE26BBDC90373E5D66AA1822310_42</vt:lpwstr>
  </property>
</Properties>
</file>