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BC315" w14:textId="77777777" w:rsidR="005540CB" w:rsidRDefault="00000000">
      <w:pPr>
        <w:jc w:val="center"/>
        <w:rPr>
          <w:b/>
          <w:bCs/>
          <w:sz w:val="34"/>
          <w:szCs w:val="34"/>
        </w:rPr>
      </w:pPr>
      <w:r>
        <w:rPr>
          <w:b/>
          <w:bCs/>
          <w:sz w:val="34"/>
          <w:szCs w:val="34"/>
        </w:rPr>
        <w:t xml:space="preserve"> SIMATS ENGINEERING</w:t>
      </w:r>
    </w:p>
    <w:p w14:paraId="2D77BE58" w14:textId="77777777" w:rsidR="005540CB" w:rsidRDefault="00000000">
      <w:pPr>
        <w:jc w:val="center"/>
        <w:rPr>
          <w:b/>
          <w:bCs/>
          <w:sz w:val="28"/>
          <w:szCs w:val="28"/>
        </w:rPr>
      </w:pPr>
      <w:r>
        <w:rPr>
          <w:b/>
          <w:bCs/>
          <w:sz w:val="28"/>
          <w:szCs w:val="28"/>
        </w:rPr>
        <w:t xml:space="preserve">ASSESSMENT TOOL 3 </w:t>
      </w:r>
    </w:p>
    <w:p w14:paraId="65CDF4E8" w14:textId="77777777" w:rsidR="005540CB" w:rsidRDefault="005540CB">
      <w:pPr>
        <w:jc w:val="center"/>
        <w:rPr>
          <w:b/>
          <w:bCs/>
          <w:sz w:val="34"/>
          <w:szCs w:val="34"/>
        </w:rPr>
      </w:pPr>
    </w:p>
    <w:p w14:paraId="2939584D" w14:textId="77777777" w:rsidR="005540CB" w:rsidRDefault="00000000">
      <w:pPr>
        <w:rPr>
          <w:b/>
          <w:bCs/>
          <w:sz w:val="24"/>
          <w:szCs w:val="24"/>
        </w:rPr>
      </w:pPr>
      <w:r>
        <w:rPr>
          <w:b/>
          <w:bCs/>
          <w:sz w:val="24"/>
          <w:szCs w:val="24"/>
        </w:rPr>
        <w:t>COURSE CODE:</w:t>
      </w:r>
      <w:r>
        <w:rPr>
          <w:b/>
          <w:bCs/>
          <w:sz w:val="24"/>
          <w:szCs w:val="24"/>
        </w:rPr>
        <w:tab/>
        <w:t xml:space="preserve">CSA51   COURSE NAME: Cryptography and Network Security </w:t>
      </w:r>
      <w:r>
        <w:rPr>
          <w:b/>
          <w:bCs/>
          <w:sz w:val="24"/>
          <w:szCs w:val="24"/>
        </w:rPr>
        <w:tab/>
      </w:r>
      <w:r>
        <w:rPr>
          <w:b/>
          <w:bCs/>
          <w:sz w:val="24"/>
          <w:szCs w:val="24"/>
        </w:rPr>
        <w:tab/>
      </w:r>
    </w:p>
    <w:p w14:paraId="17FD4AA8" w14:textId="77777777" w:rsidR="005540CB" w:rsidRDefault="00000000">
      <w:pPr>
        <w:rPr>
          <w:b/>
          <w:bCs/>
          <w:sz w:val="24"/>
          <w:szCs w:val="24"/>
        </w:rPr>
      </w:pPr>
      <w:r>
        <w:rPr>
          <w:b/>
          <w:bCs/>
          <w:sz w:val="24"/>
          <w:szCs w:val="24"/>
        </w:rPr>
        <w:tab/>
      </w:r>
    </w:p>
    <w:p w14:paraId="6B25C9D9" w14:textId="77777777" w:rsidR="005540CB" w:rsidRDefault="005540CB">
      <w:pPr>
        <w:rPr>
          <w:b/>
          <w:bCs/>
          <w:sz w:val="24"/>
          <w:szCs w:val="24"/>
        </w:rPr>
      </w:pPr>
    </w:p>
    <w:p w14:paraId="23BD7A3A" w14:textId="77777777" w:rsidR="005540CB" w:rsidRDefault="00000000">
      <w:pPr>
        <w:rPr>
          <w:b/>
          <w:bCs/>
          <w:sz w:val="24"/>
          <w:szCs w:val="24"/>
        </w:rPr>
      </w:pPr>
      <w:r>
        <w:pict w14:anchorId="0572DB22">
          <v:rect id="_x0000_i1025" style="width:0;height:1.5pt" o:hralign="center" o:hrstd="t" o:hr="t" fillcolor="#a0a0a0" stroked="f"/>
        </w:pict>
      </w:r>
    </w:p>
    <w:p w14:paraId="3706C83B" w14:textId="77777777" w:rsidR="005540CB" w:rsidRDefault="005540CB">
      <w:pPr>
        <w:rPr>
          <w:b/>
          <w:bCs/>
          <w:sz w:val="24"/>
          <w:szCs w:val="24"/>
        </w:rPr>
      </w:pPr>
    </w:p>
    <w:p w14:paraId="1A3C4C03" w14:textId="77777777" w:rsidR="005540CB" w:rsidRDefault="00000000">
      <w:pPr>
        <w:rPr>
          <w:b/>
          <w:bCs/>
          <w:sz w:val="24"/>
          <w:szCs w:val="24"/>
        </w:rPr>
      </w:pPr>
      <w:r>
        <w:rPr>
          <w:b/>
          <w:bCs/>
          <w:sz w:val="24"/>
          <w:szCs w:val="24"/>
        </w:rPr>
        <w:t>COURSE OUTCOME COVERED</w:t>
      </w:r>
    </w:p>
    <w:p w14:paraId="163CDAFF" w14:textId="77777777" w:rsidR="005540CB" w:rsidRDefault="005540CB">
      <w:pPr>
        <w:rPr>
          <w:b/>
          <w:bCs/>
          <w:sz w:val="24"/>
          <w:szCs w:val="24"/>
        </w:rPr>
      </w:pPr>
    </w:p>
    <w:p w14:paraId="37AA1C30" w14:textId="77777777" w:rsidR="005540CB" w:rsidRDefault="00000000">
      <w:pPr>
        <w:rPr>
          <w:sz w:val="24"/>
          <w:szCs w:val="24"/>
        </w:rPr>
      </w:pPr>
      <w:r>
        <w:rPr>
          <w:b/>
          <w:bCs/>
          <w:sz w:val="24"/>
          <w:szCs w:val="24"/>
        </w:rPr>
        <w:t xml:space="preserve">CO4: </w:t>
      </w:r>
      <w:r>
        <w:rPr>
          <w:i/>
          <w:iCs/>
          <w:sz w:val="24"/>
          <w:szCs w:val="24"/>
        </w:rPr>
        <w:t xml:space="preserve">Implement best security practices for IP, email, and web service using PGP, S/MIME for enhancing email Security.CO </w:t>
      </w:r>
      <w:r>
        <w:rPr>
          <w:sz w:val="24"/>
          <w:szCs w:val="24"/>
        </w:rPr>
        <w:t>(BL3, BL6)</w:t>
      </w:r>
    </w:p>
    <w:p w14:paraId="14083615" w14:textId="77777777" w:rsidR="005540CB" w:rsidRDefault="005540CB">
      <w:pPr>
        <w:rPr>
          <w:sz w:val="24"/>
          <w:szCs w:val="24"/>
        </w:rPr>
      </w:pPr>
    </w:p>
    <w:p w14:paraId="1A0F7289" w14:textId="77777777" w:rsidR="005540CB" w:rsidRDefault="00000000">
      <w:pPr>
        <w:rPr>
          <w:i/>
          <w:iCs/>
          <w:sz w:val="24"/>
          <w:szCs w:val="24"/>
        </w:rPr>
      </w:pPr>
      <w:r>
        <w:rPr>
          <w:i/>
          <w:iCs/>
          <w:sz w:val="24"/>
          <w:szCs w:val="24"/>
        </w:rPr>
        <w:t>Assessment Tool Weightage: 10%</w:t>
      </w:r>
    </w:p>
    <w:p w14:paraId="5DA9C05E" w14:textId="77777777" w:rsidR="005540CB" w:rsidRDefault="005540CB">
      <w:pPr>
        <w:rPr>
          <w:sz w:val="24"/>
          <w:szCs w:val="24"/>
        </w:rPr>
      </w:pPr>
    </w:p>
    <w:p w14:paraId="5445C4BE" w14:textId="77777777" w:rsidR="005540CB" w:rsidRDefault="00000000">
      <w:pPr>
        <w:rPr>
          <w:sz w:val="24"/>
          <w:szCs w:val="24"/>
        </w:rPr>
      </w:pPr>
      <w:r>
        <w:pict w14:anchorId="14ADAD44">
          <v:rect id="_x0000_i1026" style="width:0;height:1.5pt" o:hralign="center" o:hrstd="t" o:hr="t" fillcolor="#a0a0a0" stroked="f"/>
        </w:pict>
      </w:r>
    </w:p>
    <w:p w14:paraId="13998AC3" w14:textId="77777777" w:rsidR="005540CB" w:rsidRDefault="005540CB">
      <w:pPr>
        <w:rPr>
          <w:sz w:val="24"/>
          <w:szCs w:val="24"/>
        </w:rPr>
      </w:pPr>
    </w:p>
    <w:p w14:paraId="046D173C" w14:textId="77777777" w:rsidR="005540CB" w:rsidRDefault="00000000">
      <w:pPr>
        <w:rPr>
          <w:b/>
          <w:bCs/>
          <w:sz w:val="24"/>
          <w:szCs w:val="24"/>
        </w:rPr>
      </w:pPr>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 25</w:t>
      </w:r>
    </w:p>
    <w:p w14:paraId="68211BB5" w14:textId="77777777" w:rsidR="005540CB" w:rsidRDefault="005540CB">
      <w:pPr>
        <w:rPr>
          <w:b/>
          <w:bCs/>
          <w:sz w:val="24"/>
          <w:szCs w:val="24"/>
        </w:rPr>
      </w:pPr>
    </w:p>
    <w:p w14:paraId="5930D076" w14:textId="77777777" w:rsidR="005540CB" w:rsidRDefault="00000000">
      <w:pPr>
        <w:jc w:val="center"/>
        <w:rPr>
          <w:b/>
          <w:bCs/>
          <w:sz w:val="24"/>
          <w:szCs w:val="24"/>
        </w:rPr>
      </w:pPr>
      <w:r>
        <w:rPr>
          <w:b/>
          <w:bCs/>
          <w:sz w:val="24"/>
          <w:szCs w:val="24"/>
        </w:rPr>
        <w:t>Annexure A</w:t>
      </w:r>
    </w:p>
    <w:p w14:paraId="40BA1350" w14:textId="77777777" w:rsidR="005540CB" w:rsidRDefault="00000000">
      <w:pPr>
        <w:jc w:val="center"/>
        <w:rPr>
          <w:b/>
          <w:bCs/>
          <w:sz w:val="24"/>
          <w:szCs w:val="24"/>
        </w:rPr>
      </w:pPr>
      <w:r>
        <w:rPr>
          <w:b/>
          <w:bCs/>
          <w:i/>
          <w:iCs/>
          <w:sz w:val="24"/>
          <w:szCs w:val="24"/>
        </w:rPr>
        <w:t>Comparative Analysis</w:t>
      </w:r>
    </w:p>
    <w:p w14:paraId="3D83B2BD" w14:textId="77777777" w:rsidR="005540CB" w:rsidRDefault="005540CB">
      <w:pPr>
        <w:rPr>
          <w:sz w:val="24"/>
          <w:szCs w:val="24"/>
        </w:rPr>
      </w:pPr>
    </w:p>
    <w:p w14:paraId="006CCBDD" w14:textId="77777777" w:rsidR="005540CB" w:rsidRDefault="005540CB">
      <w:pPr>
        <w:rPr>
          <w:b/>
          <w:bCs/>
          <w:sz w:val="24"/>
          <w:szCs w:val="24"/>
        </w:rPr>
      </w:pPr>
    </w:p>
    <w:p w14:paraId="68D59089" w14:textId="77777777" w:rsidR="005540CB" w:rsidRDefault="00000000">
      <w:pPr>
        <w:rPr>
          <w:b/>
          <w:bCs/>
          <w:sz w:val="24"/>
          <w:szCs w:val="24"/>
        </w:rPr>
      </w:pPr>
      <w:r>
        <w:pict w14:anchorId="586F3496">
          <v:rect id="_x0000_i1027" style="width:0;height:1.5pt" o:hralign="center" o:hrstd="t" o:hr="t" fillcolor="#a0a0a0" stroked="f"/>
        </w:pict>
      </w:r>
    </w:p>
    <w:p w14:paraId="6416BAE6" w14:textId="77777777" w:rsidR="005540CB" w:rsidRDefault="005540CB">
      <w:pPr>
        <w:rPr>
          <w:b/>
          <w:bCs/>
          <w:sz w:val="24"/>
          <w:szCs w:val="24"/>
        </w:rPr>
      </w:pPr>
    </w:p>
    <w:p w14:paraId="570CFAC5" w14:textId="77777777" w:rsidR="005540CB" w:rsidRDefault="005540CB">
      <w:pPr>
        <w:rPr>
          <w:b/>
          <w:bCs/>
          <w:i/>
          <w:iCs/>
          <w:sz w:val="24"/>
          <w:szCs w:val="24"/>
        </w:rPr>
      </w:pPr>
    </w:p>
    <w:p w14:paraId="27FD4304" w14:textId="77777777" w:rsidR="005540CB" w:rsidRDefault="00000000">
      <w:pPr>
        <w:rPr>
          <w:b/>
          <w:bCs/>
          <w:i/>
          <w:iCs/>
          <w:sz w:val="24"/>
          <w:szCs w:val="24"/>
        </w:rPr>
      </w:pPr>
      <w:r>
        <w:rPr>
          <w:b/>
          <w:bCs/>
          <w:i/>
          <w:iCs/>
          <w:sz w:val="24"/>
          <w:szCs w:val="24"/>
        </w:rPr>
        <w:t>Code of Conduct:</w:t>
      </w:r>
    </w:p>
    <w:p w14:paraId="3A00B610" w14:textId="77777777" w:rsidR="005540CB" w:rsidRDefault="005540CB">
      <w:pPr>
        <w:rPr>
          <w:i/>
          <w:iCs/>
          <w:sz w:val="24"/>
          <w:szCs w:val="24"/>
        </w:rPr>
      </w:pPr>
    </w:p>
    <w:p w14:paraId="485553D6" w14:textId="77777777" w:rsidR="005540CB" w:rsidRDefault="00000000">
      <w:pPr>
        <w:jc w:val="both"/>
        <w:rPr>
          <w:i/>
          <w:iCs/>
          <w:sz w:val="24"/>
          <w:szCs w:val="24"/>
        </w:rPr>
      </w:pPr>
      <w:r>
        <w:rPr>
          <w:i/>
          <w:iCs/>
          <w:sz w:val="24"/>
          <w:szCs w:val="24"/>
        </w:rPr>
        <w:t>I ____________________ (Name / Reg No) certify that this submission is my original work and that I have adhered to the guidelines specified for this assessment.</w:t>
      </w:r>
    </w:p>
    <w:p w14:paraId="0C7E1249" w14:textId="77777777" w:rsidR="005540CB" w:rsidRDefault="00000000">
      <w:pPr>
        <w:jc w:val="both"/>
        <w:rPr>
          <w:i/>
          <w:iCs/>
          <w:sz w:val="24"/>
          <w:szCs w:val="24"/>
        </w:rPr>
      </w:pPr>
      <w:r>
        <w:rPr>
          <w:i/>
          <w:iCs/>
          <w:sz w:val="24"/>
          <w:szCs w:val="24"/>
        </w:rPr>
        <w:t>I understand that any violation of academic integrity rules will result in disciplinary action.</w:t>
      </w:r>
    </w:p>
    <w:p w14:paraId="5B903051" w14:textId="77777777" w:rsidR="005540CB" w:rsidRDefault="005540CB">
      <w:pPr>
        <w:jc w:val="both"/>
        <w:rPr>
          <w:i/>
          <w:iCs/>
          <w:sz w:val="24"/>
          <w:szCs w:val="24"/>
        </w:rPr>
      </w:pPr>
    </w:p>
    <w:p w14:paraId="459A7D4D" w14:textId="77777777" w:rsidR="005540CB" w:rsidRDefault="005540CB">
      <w:pPr>
        <w:jc w:val="both"/>
        <w:rPr>
          <w:i/>
          <w:iCs/>
          <w:sz w:val="24"/>
          <w:szCs w:val="24"/>
        </w:rPr>
      </w:pPr>
    </w:p>
    <w:p w14:paraId="52C5BFB3" w14:textId="77777777" w:rsidR="005540CB" w:rsidRDefault="005540CB">
      <w:pPr>
        <w:rPr>
          <w:i/>
          <w:iCs/>
          <w:sz w:val="24"/>
          <w:szCs w:val="24"/>
        </w:rPr>
      </w:pPr>
    </w:p>
    <w:p w14:paraId="07580FDF" w14:textId="77777777" w:rsidR="005540CB" w:rsidRDefault="00000000">
      <w:pPr>
        <w:rPr>
          <w:b/>
          <w:bCs/>
          <w:i/>
          <w:iCs/>
          <w:sz w:val="24"/>
          <w:szCs w:val="24"/>
        </w:rPr>
      </w:pPr>
      <w:r>
        <w:rPr>
          <w:b/>
          <w:bCs/>
          <w:i/>
          <w:iCs/>
          <w:sz w:val="24"/>
          <w:szCs w:val="24"/>
        </w:rPr>
        <w:t>Signature of the student:</w:t>
      </w:r>
    </w:p>
    <w:p w14:paraId="58658952" w14:textId="77777777" w:rsidR="005540CB" w:rsidRDefault="005540CB">
      <w:pPr>
        <w:rPr>
          <w:sz w:val="24"/>
          <w:szCs w:val="24"/>
        </w:rPr>
      </w:pPr>
    </w:p>
    <w:p w14:paraId="4A51E82E" w14:textId="77777777" w:rsidR="005540CB" w:rsidRDefault="005540CB">
      <w:pPr>
        <w:rPr>
          <w:i/>
          <w:iCs/>
          <w:sz w:val="24"/>
          <w:szCs w:val="24"/>
        </w:rPr>
      </w:pPr>
    </w:p>
    <w:p w14:paraId="4344FAF0" w14:textId="77777777" w:rsidR="005540CB" w:rsidRDefault="005540CB">
      <w:pPr>
        <w:rPr>
          <w:i/>
          <w:iCs/>
          <w:sz w:val="24"/>
          <w:szCs w:val="24"/>
        </w:rPr>
      </w:pPr>
    </w:p>
    <w:p w14:paraId="485B94F1" w14:textId="77777777" w:rsidR="005540CB" w:rsidRDefault="005540CB">
      <w:pPr>
        <w:rPr>
          <w:i/>
          <w:iCs/>
          <w:sz w:val="24"/>
          <w:szCs w:val="24"/>
        </w:rPr>
      </w:pPr>
    </w:p>
    <w:p w14:paraId="7C6DAD86" w14:textId="77777777" w:rsidR="005540CB" w:rsidRDefault="005540CB">
      <w:pPr>
        <w:rPr>
          <w:i/>
          <w:iCs/>
          <w:sz w:val="24"/>
          <w:szCs w:val="24"/>
        </w:rPr>
      </w:pPr>
    </w:p>
    <w:p w14:paraId="16A6F4EE" w14:textId="77777777" w:rsidR="005540CB" w:rsidRDefault="005540CB">
      <w:pPr>
        <w:rPr>
          <w:i/>
          <w:iCs/>
          <w:sz w:val="24"/>
          <w:szCs w:val="24"/>
        </w:rPr>
      </w:pPr>
    </w:p>
    <w:p w14:paraId="1E0EFCB2" w14:textId="77777777" w:rsidR="005540CB" w:rsidRDefault="005540CB">
      <w:pPr>
        <w:rPr>
          <w:i/>
          <w:iCs/>
          <w:sz w:val="24"/>
          <w:szCs w:val="24"/>
        </w:rPr>
      </w:pPr>
    </w:p>
    <w:p w14:paraId="4000EEEA" w14:textId="77777777" w:rsidR="005540CB" w:rsidRDefault="005540CB">
      <w:pPr>
        <w:rPr>
          <w:i/>
          <w:iCs/>
          <w:sz w:val="24"/>
          <w:szCs w:val="24"/>
        </w:rPr>
      </w:pPr>
    </w:p>
    <w:p w14:paraId="7EDA4DF6" w14:textId="77777777" w:rsidR="005540CB" w:rsidRDefault="00000000">
      <w:pPr>
        <w:jc w:val="center"/>
        <w:rPr>
          <w:b/>
          <w:bCs/>
          <w:i/>
          <w:iCs/>
          <w:sz w:val="24"/>
          <w:szCs w:val="24"/>
        </w:rPr>
      </w:pPr>
      <w:r>
        <w:rPr>
          <w:b/>
          <w:bCs/>
          <w:i/>
          <w:iCs/>
          <w:sz w:val="24"/>
          <w:szCs w:val="24"/>
        </w:rPr>
        <w:t>Annexure A</w:t>
      </w:r>
    </w:p>
    <w:p w14:paraId="17EDD719" w14:textId="77777777" w:rsidR="005540CB" w:rsidRDefault="00000000">
      <w:pPr>
        <w:jc w:val="center"/>
        <w:rPr>
          <w:i/>
          <w:iCs/>
          <w:sz w:val="24"/>
          <w:szCs w:val="24"/>
        </w:rPr>
      </w:pPr>
      <w:r>
        <w:rPr>
          <w:b/>
          <w:bCs/>
          <w:i/>
          <w:iCs/>
          <w:sz w:val="24"/>
          <w:szCs w:val="24"/>
        </w:rPr>
        <w:t>Comparative Analysis</w:t>
      </w:r>
    </w:p>
    <w:p w14:paraId="1A618FF5" w14:textId="77777777" w:rsidR="005540CB" w:rsidRDefault="005540CB">
      <w:pPr>
        <w:rPr>
          <w:i/>
          <w:iCs/>
          <w:sz w:val="24"/>
          <w:szCs w:val="24"/>
        </w:rPr>
      </w:pPr>
    </w:p>
    <w:p w14:paraId="2BDC747C" w14:textId="77777777" w:rsidR="005540CB" w:rsidRDefault="00000000">
      <w:pPr>
        <w:numPr>
          <w:ilvl w:val="0"/>
          <w:numId w:val="1"/>
        </w:numPr>
        <w:spacing w:line="360" w:lineRule="auto"/>
        <w:jc w:val="both"/>
        <w:rPr>
          <w:b/>
          <w:bCs/>
          <w:sz w:val="24"/>
          <w:szCs w:val="24"/>
        </w:rPr>
      </w:pPr>
      <w:r>
        <w:rPr>
          <w:sz w:val="24"/>
          <w:szCs w:val="24"/>
        </w:rPr>
        <w:t xml:space="preserve">Compare Authentication Header (AH) and Encapsulating Security Payload (ESP) in IPSec with respect to security services, performance overhead, and suitability for different network scenarios. </w:t>
      </w:r>
      <w:proofErr w:type="spellStart"/>
      <w:r>
        <w:rPr>
          <w:sz w:val="24"/>
          <w:szCs w:val="24"/>
        </w:rPr>
        <w:t>Analyze</w:t>
      </w:r>
      <w:proofErr w:type="spellEnd"/>
      <w:r>
        <w:rPr>
          <w:sz w:val="24"/>
          <w:szCs w:val="24"/>
        </w:rPr>
        <w:t xml:space="preserve"> which is more appropriate for a VPN deployment.</w:t>
      </w:r>
    </w:p>
    <w:p w14:paraId="436D81A7" w14:textId="77777777" w:rsidR="005540CB" w:rsidRDefault="005540CB">
      <w:pPr>
        <w:spacing w:line="360" w:lineRule="auto"/>
        <w:ind w:left="720"/>
        <w:jc w:val="both"/>
        <w:rPr>
          <w:sz w:val="24"/>
          <w:szCs w:val="24"/>
        </w:rPr>
      </w:pPr>
    </w:p>
    <w:p w14:paraId="5B13BDE1" w14:textId="77777777" w:rsidR="005540CB" w:rsidRDefault="00000000">
      <w:pPr>
        <w:numPr>
          <w:ilvl w:val="0"/>
          <w:numId w:val="1"/>
        </w:numPr>
        <w:spacing w:line="360" w:lineRule="auto"/>
        <w:jc w:val="both"/>
        <w:rPr>
          <w:b/>
          <w:bCs/>
          <w:sz w:val="24"/>
          <w:szCs w:val="24"/>
        </w:rPr>
      </w:pPr>
      <w:r>
        <w:rPr>
          <w:sz w:val="24"/>
          <w:szCs w:val="24"/>
        </w:rPr>
        <w:t>Compare transport mode and tunnel mode in IPSec architecture. Evaluate their effectiveness in securing host-to-host versus network-to-network communication.</w:t>
      </w:r>
    </w:p>
    <w:p w14:paraId="1F685541" w14:textId="77777777" w:rsidR="005540CB" w:rsidRDefault="005540CB">
      <w:pPr>
        <w:spacing w:line="360" w:lineRule="auto"/>
        <w:ind w:left="720"/>
        <w:jc w:val="both"/>
        <w:rPr>
          <w:sz w:val="24"/>
          <w:szCs w:val="24"/>
        </w:rPr>
      </w:pPr>
    </w:p>
    <w:p w14:paraId="009B6367" w14:textId="77777777" w:rsidR="005540CB" w:rsidRDefault="00000000">
      <w:pPr>
        <w:numPr>
          <w:ilvl w:val="0"/>
          <w:numId w:val="1"/>
        </w:numPr>
        <w:spacing w:line="360" w:lineRule="auto"/>
        <w:jc w:val="both"/>
        <w:rPr>
          <w:b/>
          <w:bCs/>
          <w:sz w:val="24"/>
          <w:szCs w:val="24"/>
        </w:rPr>
      </w:pPr>
      <w:r>
        <w:rPr>
          <w:sz w:val="24"/>
          <w:szCs w:val="24"/>
        </w:rPr>
        <w:t>Perform a comparative analysis of Pretty Good Privacy (PGP) and S/MIME in terms of key management, trust models, scalability, and enterprise usability. Recommend the most suitable approach for a corporate email system.</w:t>
      </w:r>
    </w:p>
    <w:p w14:paraId="64411027" w14:textId="77777777" w:rsidR="005540CB" w:rsidRDefault="005540CB">
      <w:pPr>
        <w:spacing w:line="360" w:lineRule="auto"/>
        <w:ind w:left="720"/>
        <w:jc w:val="both"/>
        <w:rPr>
          <w:sz w:val="24"/>
          <w:szCs w:val="24"/>
        </w:rPr>
      </w:pPr>
    </w:p>
    <w:p w14:paraId="2F1588AE" w14:textId="77777777" w:rsidR="005540CB" w:rsidRDefault="00000000">
      <w:pPr>
        <w:numPr>
          <w:ilvl w:val="0"/>
          <w:numId w:val="1"/>
        </w:numPr>
        <w:spacing w:line="360" w:lineRule="auto"/>
        <w:jc w:val="both"/>
        <w:rPr>
          <w:b/>
          <w:bCs/>
          <w:sz w:val="24"/>
          <w:szCs w:val="24"/>
        </w:rPr>
      </w:pPr>
      <w:r>
        <w:rPr>
          <w:sz w:val="24"/>
          <w:szCs w:val="24"/>
        </w:rPr>
        <w:t xml:space="preserve">Compare rule-based and machine learning-based email spam detection techniques. </w:t>
      </w:r>
      <w:proofErr w:type="spellStart"/>
      <w:r>
        <w:rPr>
          <w:sz w:val="24"/>
          <w:szCs w:val="24"/>
        </w:rPr>
        <w:t>Analyze</w:t>
      </w:r>
      <w:proofErr w:type="spellEnd"/>
      <w:r>
        <w:rPr>
          <w:sz w:val="24"/>
          <w:szCs w:val="24"/>
        </w:rPr>
        <w:t xml:space="preserve"> their effectiveness in handling evolving spam patterns and minimizing false positives.</w:t>
      </w:r>
    </w:p>
    <w:p w14:paraId="6829385A" w14:textId="77777777" w:rsidR="005540CB" w:rsidRDefault="005540CB">
      <w:pPr>
        <w:spacing w:line="360" w:lineRule="auto"/>
        <w:ind w:left="720"/>
        <w:jc w:val="both"/>
        <w:rPr>
          <w:sz w:val="24"/>
          <w:szCs w:val="24"/>
        </w:rPr>
      </w:pPr>
    </w:p>
    <w:p w14:paraId="1063B6EE" w14:textId="77777777" w:rsidR="005540CB" w:rsidRDefault="00000000">
      <w:pPr>
        <w:numPr>
          <w:ilvl w:val="0"/>
          <w:numId w:val="1"/>
        </w:numPr>
        <w:spacing w:line="360" w:lineRule="auto"/>
        <w:jc w:val="both"/>
        <w:rPr>
          <w:b/>
          <w:bCs/>
          <w:sz w:val="24"/>
          <w:szCs w:val="24"/>
        </w:rPr>
      </w:pPr>
      <w:r>
        <w:rPr>
          <w:sz w:val="24"/>
          <w:szCs w:val="24"/>
        </w:rPr>
        <w:t>Compare manual key management and automated key management (e.g., using IKE) in IPSec. Evaluate their impact on security, scalability, and operational complexity in large organizations.</w:t>
      </w:r>
    </w:p>
    <w:p w14:paraId="5C6D80F5" w14:textId="77777777" w:rsidR="005540CB" w:rsidRDefault="005540CB">
      <w:pPr>
        <w:pBdr>
          <w:top w:val="nil"/>
          <w:left w:val="nil"/>
          <w:bottom w:val="nil"/>
          <w:right w:val="nil"/>
          <w:between w:val="nil"/>
        </w:pBdr>
        <w:spacing w:line="360" w:lineRule="auto"/>
        <w:ind w:left="720"/>
        <w:jc w:val="both"/>
        <w:rPr>
          <w:sz w:val="24"/>
          <w:szCs w:val="24"/>
        </w:rPr>
      </w:pPr>
    </w:p>
    <w:p w14:paraId="325BB147" w14:textId="77777777" w:rsidR="00EF4EEA" w:rsidRDefault="00EF4EEA">
      <w:pPr>
        <w:pBdr>
          <w:top w:val="nil"/>
          <w:left w:val="nil"/>
          <w:bottom w:val="nil"/>
          <w:right w:val="nil"/>
          <w:between w:val="nil"/>
        </w:pBdr>
        <w:spacing w:line="360" w:lineRule="auto"/>
        <w:ind w:left="720"/>
        <w:jc w:val="both"/>
        <w:rPr>
          <w:sz w:val="24"/>
          <w:szCs w:val="24"/>
        </w:rPr>
      </w:pPr>
    </w:p>
    <w:p w14:paraId="3A50D5BD" w14:textId="77777777" w:rsidR="00EF4EEA" w:rsidRDefault="00EF4EEA">
      <w:pPr>
        <w:pBdr>
          <w:top w:val="nil"/>
          <w:left w:val="nil"/>
          <w:bottom w:val="nil"/>
          <w:right w:val="nil"/>
          <w:between w:val="nil"/>
        </w:pBdr>
        <w:spacing w:line="360" w:lineRule="auto"/>
        <w:ind w:left="720"/>
        <w:jc w:val="both"/>
        <w:rPr>
          <w:sz w:val="24"/>
          <w:szCs w:val="24"/>
        </w:rPr>
      </w:pPr>
    </w:p>
    <w:p w14:paraId="57D7D004" w14:textId="77777777" w:rsidR="00EF4EEA" w:rsidRDefault="00EF4EEA" w:rsidP="00EF4EEA">
      <w:pPr>
        <w:pBdr>
          <w:top w:val="nil"/>
          <w:left w:val="nil"/>
          <w:bottom w:val="nil"/>
          <w:right w:val="nil"/>
          <w:between w:val="nil"/>
        </w:pBdr>
        <w:spacing w:line="360" w:lineRule="auto"/>
        <w:ind w:left="720"/>
        <w:jc w:val="both"/>
        <w:rPr>
          <w:b/>
          <w:bCs/>
          <w:sz w:val="24"/>
          <w:szCs w:val="24"/>
        </w:rPr>
      </w:pPr>
    </w:p>
    <w:p w14:paraId="6D5F4B46" w14:textId="77777777" w:rsidR="00EF4EEA" w:rsidRDefault="00EF4EEA" w:rsidP="00EF4EEA">
      <w:pPr>
        <w:pBdr>
          <w:top w:val="nil"/>
          <w:left w:val="nil"/>
          <w:bottom w:val="nil"/>
          <w:right w:val="nil"/>
          <w:between w:val="nil"/>
        </w:pBdr>
        <w:spacing w:line="360" w:lineRule="auto"/>
        <w:ind w:left="720"/>
        <w:jc w:val="both"/>
        <w:rPr>
          <w:b/>
          <w:bCs/>
          <w:sz w:val="24"/>
          <w:szCs w:val="24"/>
        </w:rPr>
      </w:pPr>
    </w:p>
    <w:p w14:paraId="1D9D6DEA" w14:textId="77777777" w:rsidR="00EF4EEA" w:rsidRDefault="00EF4EEA" w:rsidP="00EF4EEA">
      <w:pPr>
        <w:pBdr>
          <w:top w:val="nil"/>
          <w:left w:val="nil"/>
          <w:bottom w:val="nil"/>
          <w:right w:val="nil"/>
          <w:between w:val="nil"/>
        </w:pBdr>
        <w:spacing w:line="360" w:lineRule="auto"/>
        <w:ind w:left="720"/>
        <w:jc w:val="both"/>
        <w:rPr>
          <w:b/>
          <w:bCs/>
          <w:sz w:val="24"/>
          <w:szCs w:val="24"/>
        </w:rPr>
      </w:pPr>
    </w:p>
    <w:p w14:paraId="5F1B35ED" w14:textId="77777777" w:rsidR="00EF4EEA" w:rsidRDefault="00EF4EEA" w:rsidP="00EF4EEA">
      <w:pPr>
        <w:pBdr>
          <w:top w:val="nil"/>
          <w:left w:val="nil"/>
          <w:bottom w:val="nil"/>
          <w:right w:val="nil"/>
          <w:between w:val="nil"/>
        </w:pBdr>
        <w:spacing w:line="360" w:lineRule="auto"/>
        <w:ind w:left="720"/>
        <w:jc w:val="both"/>
        <w:rPr>
          <w:b/>
          <w:bCs/>
          <w:sz w:val="24"/>
          <w:szCs w:val="24"/>
        </w:rPr>
      </w:pPr>
    </w:p>
    <w:p w14:paraId="77E2E549" w14:textId="77777777" w:rsidR="00EF4EEA" w:rsidRDefault="00EF4EEA" w:rsidP="00EF4EEA">
      <w:pPr>
        <w:pBdr>
          <w:top w:val="nil"/>
          <w:left w:val="nil"/>
          <w:bottom w:val="nil"/>
          <w:right w:val="nil"/>
          <w:between w:val="nil"/>
        </w:pBdr>
        <w:spacing w:line="360" w:lineRule="auto"/>
        <w:ind w:left="720"/>
        <w:jc w:val="both"/>
        <w:rPr>
          <w:b/>
          <w:bCs/>
          <w:sz w:val="24"/>
          <w:szCs w:val="24"/>
        </w:rPr>
      </w:pPr>
    </w:p>
    <w:p w14:paraId="7FEB055D" w14:textId="77777777" w:rsidR="00EF4EEA" w:rsidRDefault="00EF4EEA" w:rsidP="00EF4EEA">
      <w:pPr>
        <w:pBdr>
          <w:top w:val="nil"/>
          <w:left w:val="nil"/>
          <w:bottom w:val="nil"/>
          <w:right w:val="nil"/>
          <w:between w:val="nil"/>
        </w:pBdr>
        <w:spacing w:line="360" w:lineRule="auto"/>
        <w:ind w:left="720"/>
        <w:jc w:val="both"/>
        <w:rPr>
          <w:b/>
          <w:bCs/>
          <w:sz w:val="24"/>
          <w:szCs w:val="24"/>
        </w:rPr>
      </w:pPr>
    </w:p>
    <w:p w14:paraId="20CD1A50" w14:textId="77777777" w:rsidR="00EF4EEA" w:rsidRDefault="00EF4EEA" w:rsidP="00EF4EEA">
      <w:pPr>
        <w:pBdr>
          <w:top w:val="nil"/>
          <w:left w:val="nil"/>
          <w:bottom w:val="nil"/>
          <w:right w:val="nil"/>
          <w:between w:val="nil"/>
        </w:pBdr>
        <w:spacing w:line="360" w:lineRule="auto"/>
        <w:ind w:left="720"/>
        <w:jc w:val="both"/>
        <w:rPr>
          <w:b/>
          <w:bCs/>
          <w:sz w:val="24"/>
          <w:szCs w:val="24"/>
        </w:rPr>
      </w:pPr>
    </w:p>
    <w:p w14:paraId="7F5539BB" w14:textId="77777777" w:rsidR="00EF4EEA" w:rsidRDefault="00EF4EEA" w:rsidP="00EF4EEA">
      <w:pPr>
        <w:pBdr>
          <w:top w:val="nil"/>
          <w:left w:val="nil"/>
          <w:bottom w:val="nil"/>
          <w:right w:val="nil"/>
          <w:between w:val="nil"/>
        </w:pBdr>
        <w:spacing w:line="360" w:lineRule="auto"/>
        <w:jc w:val="both"/>
        <w:rPr>
          <w:b/>
          <w:bCs/>
          <w:sz w:val="24"/>
          <w:szCs w:val="24"/>
        </w:rPr>
      </w:pPr>
    </w:p>
    <w:p w14:paraId="57B44B8D" w14:textId="6D3758C4" w:rsidR="00EF4EEA" w:rsidRDefault="00EF4EEA" w:rsidP="00EF4EEA">
      <w:pPr>
        <w:pBdr>
          <w:top w:val="nil"/>
          <w:left w:val="nil"/>
          <w:bottom w:val="nil"/>
          <w:right w:val="nil"/>
          <w:between w:val="nil"/>
        </w:pBdr>
        <w:spacing w:line="360" w:lineRule="auto"/>
        <w:jc w:val="both"/>
        <w:rPr>
          <w:b/>
          <w:bCs/>
          <w:sz w:val="24"/>
          <w:szCs w:val="24"/>
        </w:rPr>
      </w:pPr>
      <w:r>
        <w:rPr>
          <w:b/>
          <w:bCs/>
          <w:sz w:val="24"/>
          <w:szCs w:val="24"/>
        </w:rPr>
        <w:lastRenderedPageBreak/>
        <w:t>ANSWERS:</w:t>
      </w:r>
    </w:p>
    <w:p w14:paraId="507C09E1" w14:textId="77777777" w:rsidR="00EF4EEA" w:rsidRDefault="00EF4EEA" w:rsidP="00EF4EEA">
      <w:pPr>
        <w:pBdr>
          <w:top w:val="nil"/>
          <w:left w:val="nil"/>
          <w:bottom w:val="nil"/>
          <w:right w:val="nil"/>
          <w:between w:val="nil"/>
        </w:pBdr>
        <w:spacing w:line="360" w:lineRule="auto"/>
        <w:ind w:left="720"/>
        <w:jc w:val="both"/>
        <w:rPr>
          <w:b/>
          <w:bCs/>
          <w:sz w:val="24"/>
          <w:szCs w:val="24"/>
        </w:rPr>
      </w:pPr>
    </w:p>
    <w:p w14:paraId="6195A6AD" w14:textId="77777777" w:rsidR="00EF4EEA" w:rsidRDefault="00EF4EEA" w:rsidP="00EF4EEA">
      <w:pPr>
        <w:pBdr>
          <w:top w:val="nil"/>
          <w:left w:val="nil"/>
          <w:bottom w:val="nil"/>
          <w:right w:val="nil"/>
          <w:between w:val="nil"/>
        </w:pBdr>
        <w:spacing w:line="360" w:lineRule="auto"/>
        <w:ind w:left="720"/>
        <w:jc w:val="both"/>
        <w:rPr>
          <w:b/>
          <w:bCs/>
          <w:sz w:val="24"/>
          <w:szCs w:val="24"/>
        </w:rPr>
      </w:pPr>
    </w:p>
    <w:p w14:paraId="2E27302E" w14:textId="77777777" w:rsidR="00EF4EEA" w:rsidRDefault="00EF4EEA" w:rsidP="00EF4EEA">
      <w:pPr>
        <w:pBdr>
          <w:top w:val="nil"/>
          <w:left w:val="nil"/>
          <w:bottom w:val="nil"/>
          <w:right w:val="nil"/>
          <w:between w:val="nil"/>
        </w:pBdr>
        <w:spacing w:line="360" w:lineRule="auto"/>
        <w:ind w:left="720"/>
        <w:jc w:val="both"/>
        <w:rPr>
          <w:b/>
          <w:bCs/>
          <w:sz w:val="24"/>
          <w:szCs w:val="24"/>
        </w:rPr>
      </w:pPr>
    </w:p>
    <w:p w14:paraId="597190C8" w14:textId="452817D5"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 xml:space="preserve">1. Compare Authentication Header (AH) and Encapsulating Security Payload (ESP) in IPSec with respect to security services, performance overhead, and suitability for different network scenarios. </w:t>
      </w:r>
      <w:proofErr w:type="spellStart"/>
      <w:r w:rsidRPr="00EF4EEA">
        <w:rPr>
          <w:b/>
          <w:bCs/>
          <w:sz w:val="24"/>
          <w:szCs w:val="24"/>
        </w:rPr>
        <w:t>Analyze</w:t>
      </w:r>
      <w:proofErr w:type="spellEnd"/>
      <w:r w:rsidRPr="00EF4EEA">
        <w:rPr>
          <w:b/>
          <w:bCs/>
          <w:sz w:val="24"/>
          <w:szCs w:val="24"/>
        </w:rPr>
        <w:t xml:space="preserve"> which is more appropriate for a VPN deployment.</w:t>
      </w:r>
    </w:p>
    <w:p w14:paraId="74CC3BBE"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Authentication Header (AH) and Encapsulating Security Payload (ESP) are two security protocols used in IPSec.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3478"/>
        <w:gridCol w:w="3576"/>
      </w:tblGrid>
      <w:tr w:rsidR="00EF4EEA" w:rsidRPr="00EF4EEA" w14:paraId="3C3F7EA0" w14:textId="77777777">
        <w:trPr>
          <w:tblHeader/>
          <w:tblCellSpacing w:w="15" w:type="dxa"/>
        </w:trPr>
        <w:tc>
          <w:tcPr>
            <w:tcW w:w="0" w:type="auto"/>
            <w:vAlign w:val="center"/>
            <w:hideMark/>
          </w:tcPr>
          <w:p w14:paraId="5A1CE839"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Aspect</w:t>
            </w:r>
          </w:p>
        </w:tc>
        <w:tc>
          <w:tcPr>
            <w:tcW w:w="0" w:type="auto"/>
            <w:vAlign w:val="center"/>
            <w:hideMark/>
          </w:tcPr>
          <w:p w14:paraId="2205CAD2"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Authentication Header (AH)</w:t>
            </w:r>
          </w:p>
        </w:tc>
        <w:tc>
          <w:tcPr>
            <w:tcW w:w="0" w:type="auto"/>
            <w:vAlign w:val="center"/>
            <w:hideMark/>
          </w:tcPr>
          <w:p w14:paraId="53429448"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Encapsulating Security Payload (ESP)</w:t>
            </w:r>
          </w:p>
        </w:tc>
      </w:tr>
      <w:tr w:rsidR="00EF4EEA" w:rsidRPr="00EF4EEA" w14:paraId="0C10C031" w14:textId="77777777">
        <w:trPr>
          <w:tblCellSpacing w:w="15" w:type="dxa"/>
        </w:trPr>
        <w:tc>
          <w:tcPr>
            <w:tcW w:w="0" w:type="auto"/>
            <w:vAlign w:val="center"/>
            <w:hideMark/>
          </w:tcPr>
          <w:p w14:paraId="6AE98C40"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Security Services</w:t>
            </w:r>
          </w:p>
        </w:tc>
        <w:tc>
          <w:tcPr>
            <w:tcW w:w="0" w:type="auto"/>
            <w:vAlign w:val="center"/>
            <w:hideMark/>
          </w:tcPr>
          <w:p w14:paraId="1CB66212"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Provides data integrity, authentication, and anti-replay protection. It does not provide encryption.</w:t>
            </w:r>
          </w:p>
        </w:tc>
        <w:tc>
          <w:tcPr>
            <w:tcW w:w="0" w:type="auto"/>
            <w:vAlign w:val="center"/>
            <w:hideMark/>
          </w:tcPr>
          <w:p w14:paraId="1BDD18E5"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Provides confidentiality through encryption, along with integrity, authentication, and anti-replay protection.</w:t>
            </w:r>
          </w:p>
        </w:tc>
      </w:tr>
      <w:tr w:rsidR="00EF4EEA" w:rsidRPr="00EF4EEA" w14:paraId="604EADA5" w14:textId="77777777">
        <w:trPr>
          <w:tblCellSpacing w:w="15" w:type="dxa"/>
        </w:trPr>
        <w:tc>
          <w:tcPr>
            <w:tcW w:w="0" w:type="auto"/>
            <w:vAlign w:val="center"/>
            <w:hideMark/>
          </w:tcPr>
          <w:p w14:paraId="79A9D7B6"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Performance Overhead</w:t>
            </w:r>
          </w:p>
        </w:tc>
        <w:tc>
          <w:tcPr>
            <w:tcW w:w="0" w:type="auto"/>
            <w:vAlign w:val="center"/>
            <w:hideMark/>
          </w:tcPr>
          <w:p w14:paraId="03C55F00"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Has lower processing overhead because encryption is not performed.</w:t>
            </w:r>
          </w:p>
        </w:tc>
        <w:tc>
          <w:tcPr>
            <w:tcW w:w="0" w:type="auto"/>
            <w:vAlign w:val="center"/>
            <w:hideMark/>
          </w:tcPr>
          <w:p w14:paraId="45DA3C78"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Has higher processing overhead because encryption and authentication are performed.</w:t>
            </w:r>
          </w:p>
        </w:tc>
      </w:tr>
      <w:tr w:rsidR="00EF4EEA" w:rsidRPr="00EF4EEA" w14:paraId="6942E477" w14:textId="77777777">
        <w:trPr>
          <w:tblCellSpacing w:w="15" w:type="dxa"/>
        </w:trPr>
        <w:tc>
          <w:tcPr>
            <w:tcW w:w="0" w:type="auto"/>
            <w:vAlign w:val="center"/>
            <w:hideMark/>
          </w:tcPr>
          <w:p w14:paraId="45687BEA"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Confidentiality</w:t>
            </w:r>
          </w:p>
        </w:tc>
        <w:tc>
          <w:tcPr>
            <w:tcW w:w="0" w:type="auto"/>
            <w:vAlign w:val="center"/>
            <w:hideMark/>
          </w:tcPr>
          <w:p w14:paraId="5466AC34"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Does not provide confidentiality.</w:t>
            </w:r>
          </w:p>
        </w:tc>
        <w:tc>
          <w:tcPr>
            <w:tcW w:w="0" w:type="auto"/>
            <w:vAlign w:val="center"/>
            <w:hideMark/>
          </w:tcPr>
          <w:p w14:paraId="01E92BD3"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Provides confidentiality by encrypting the data.</w:t>
            </w:r>
          </w:p>
        </w:tc>
      </w:tr>
      <w:tr w:rsidR="00EF4EEA" w:rsidRPr="00EF4EEA" w14:paraId="29E240B7" w14:textId="77777777">
        <w:trPr>
          <w:tblCellSpacing w:w="15" w:type="dxa"/>
        </w:trPr>
        <w:tc>
          <w:tcPr>
            <w:tcW w:w="0" w:type="auto"/>
            <w:vAlign w:val="center"/>
            <w:hideMark/>
          </w:tcPr>
          <w:p w14:paraId="46438685"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NAT Compatibility</w:t>
            </w:r>
          </w:p>
        </w:tc>
        <w:tc>
          <w:tcPr>
            <w:tcW w:w="0" w:type="auto"/>
            <w:vAlign w:val="center"/>
            <w:hideMark/>
          </w:tcPr>
          <w:p w14:paraId="278C6C44"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Less compatible with NAT because AH protects parts of the IP header.</w:t>
            </w:r>
          </w:p>
        </w:tc>
        <w:tc>
          <w:tcPr>
            <w:tcW w:w="0" w:type="auto"/>
            <w:vAlign w:val="center"/>
            <w:hideMark/>
          </w:tcPr>
          <w:p w14:paraId="51223F46"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More suitable for NAT environments, especially with NAT Traversal (NAT-T).</w:t>
            </w:r>
          </w:p>
        </w:tc>
      </w:tr>
      <w:tr w:rsidR="00EF4EEA" w:rsidRPr="00EF4EEA" w14:paraId="749FFDC3" w14:textId="77777777">
        <w:trPr>
          <w:tblCellSpacing w:w="15" w:type="dxa"/>
        </w:trPr>
        <w:tc>
          <w:tcPr>
            <w:tcW w:w="0" w:type="auto"/>
            <w:vAlign w:val="center"/>
            <w:hideMark/>
          </w:tcPr>
          <w:p w14:paraId="67D96F9D"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Network Scenarios</w:t>
            </w:r>
          </w:p>
        </w:tc>
        <w:tc>
          <w:tcPr>
            <w:tcW w:w="0" w:type="auto"/>
            <w:vAlign w:val="center"/>
            <w:hideMark/>
          </w:tcPr>
          <w:p w14:paraId="1B9BD0A6"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Suitable when authentication and integrity are required without encryption.</w:t>
            </w:r>
          </w:p>
        </w:tc>
        <w:tc>
          <w:tcPr>
            <w:tcW w:w="0" w:type="auto"/>
            <w:vAlign w:val="center"/>
            <w:hideMark/>
          </w:tcPr>
          <w:p w14:paraId="43A03863"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Suitable when confidentiality, integrity, and authentication are required.</w:t>
            </w:r>
          </w:p>
        </w:tc>
      </w:tr>
      <w:tr w:rsidR="00EF4EEA" w:rsidRPr="00EF4EEA" w14:paraId="72ADD46E" w14:textId="77777777">
        <w:trPr>
          <w:tblCellSpacing w:w="15" w:type="dxa"/>
        </w:trPr>
        <w:tc>
          <w:tcPr>
            <w:tcW w:w="0" w:type="auto"/>
            <w:vAlign w:val="center"/>
            <w:hideMark/>
          </w:tcPr>
          <w:p w14:paraId="38D70CD7"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lastRenderedPageBreak/>
              <w:t>VPN Suitability</w:t>
            </w:r>
          </w:p>
        </w:tc>
        <w:tc>
          <w:tcPr>
            <w:tcW w:w="0" w:type="auto"/>
            <w:vAlign w:val="center"/>
            <w:hideMark/>
          </w:tcPr>
          <w:p w14:paraId="2D145645"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Less commonly used for modern VPNs.</w:t>
            </w:r>
          </w:p>
        </w:tc>
        <w:tc>
          <w:tcPr>
            <w:tcW w:w="0" w:type="auto"/>
            <w:vAlign w:val="center"/>
            <w:hideMark/>
          </w:tcPr>
          <w:p w14:paraId="003E5775"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Widely used and preferred for VPNs.</w:t>
            </w:r>
          </w:p>
        </w:tc>
      </w:tr>
    </w:tbl>
    <w:p w14:paraId="11BB7142"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b/>
          <w:bCs/>
          <w:sz w:val="24"/>
          <w:szCs w:val="24"/>
        </w:rPr>
        <w:t>Analysis:</w:t>
      </w:r>
      <w:r w:rsidRPr="00EF4EEA">
        <w:rPr>
          <w:sz w:val="24"/>
          <w:szCs w:val="24"/>
        </w:rPr>
        <w:t xml:space="preserve"> ESP is more appropriate for VPN deployment because VPNs transmit sensitive information over public networks. ESP provides encryption along with integrity, authentication, and anti-replay protection. Therefore, ESP offers more complete security for VPN communication than AH.</w:t>
      </w:r>
    </w:p>
    <w:p w14:paraId="5EF4A50D"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b/>
          <w:bCs/>
          <w:sz w:val="24"/>
          <w:szCs w:val="24"/>
        </w:rPr>
        <w:t>Conclusion:</w:t>
      </w:r>
      <w:r w:rsidRPr="00EF4EEA">
        <w:rPr>
          <w:sz w:val="24"/>
          <w:szCs w:val="24"/>
        </w:rPr>
        <w:t xml:space="preserve"> ESP is generally preferred over AH for modern VPN deployments.</w:t>
      </w:r>
    </w:p>
    <w:p w14:paraId="6A6CC6C7"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pict w14:anchorId="4396E9A1">
          <v:rect id="_x0000_i1052" style="width:0;height:1.5pt" o:hralign="center" o:hrstd="t" o:hr="t" fillcolor="#a0a0a0" stroked="f"/>
        </w:pict>
      </w:r>
    </w:p>
    <w:p w14:paraId="6A129F13"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2. Compare transport mode and tunnel mode in IPSec architecture. Evaluate their effectiveness in securing host-to-host versus network-to-network communication.</w:t>
      </w:r>
    </w:p>
    <w:p w14:paraId="676D937C"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IPSec provides two modes of operation: transport mode and tunnel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9"/>
        <w:gridCol w:w="3087"/>
        <w:gridCol w:w="3579"/>
      </w:tblGrid>
      <w:tr w:rsidR="00EF4EEA" w:rsidRPr="00EF4EEA" w14:paraId="49449E1F" w14:textId="77777777">
        <w:trPr>
          <w:tblHeader/>
          <w:tblCellSpacing w:w="15" w:type="dxa"/>
        </w:trPr>
        <w:tc>
          <w:tcPr>
            <w:tcW w:w="0" w:type="auto"/>
            <w:vAlign w:val="center"/>
            <w:hideMark/>
          </w:tcPr>
          <w:p w14:paraId="71BFF85A"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Aspect</w:t>
            </w:r>
          </w:p>
        </w:tc>
        <w:tc>
          <w:tcPr>
            <w:tcW w:w="0" w:type="auto"/>
            <w:vAlign w:val="center"/>
            <w:hideMark/>
          </w:tcPr>
          <w:p w14:paraId="6CA77BA5"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Transport Mode</w:t>
            </w:r>
          </w:p>
        </w:tc>
        <w:tc>
          <w:tcPr>
            <w:tcW w:w="0" w:type="auto"/>
            <w:vAlign w:val="center"/>
            <w:hideMark/>
          </w:tcPr>
          <w:p w14:paraId="703F58F5"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Tunnel Mode</w:t>
            </w:r>
          </w:p>
        </w:tc>
      </w:tr>
      <w:tr w:rsidR="00EF4EEA" w:rsidRPr="00EF4EEA" w14:paraId="29122C0A" w14:textId="77777777">
        <w:trPr>
          <w:tblCellSpacing w:w="15" w:type="dxa"/>
        </w:trPr>
        <w:tc>
          <w:tcPr>
            <w:tcW w:w="0" w:type="auto"/>
            <w:vAlign w:val="center"/>
            <w:hideMark/>
          </w:tcPr>
          <w:p w14:paraId="6872F37C"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Protection</w:t>
            </w:r>
          </w:p>
        </w:tc>
        <w:tc>
          <w:tcPr>
            <w:tcW w:w="0" w:type="auto"/>
            <w:vAlign w:val="center"/>
            <w:hideMark/>
          </w:tcPr>
          <w:p w14:paraId="1CF3CF4A"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Protects the payload of the original IP packet.</w:t>
            </w:r>
          </w:p>
        </w:tc>
        <w:tc>
          <w:tcPr>
            <w:tcW w:w="0" w:type="auto"/>
            <w:vAlign w:val="center"/>
            <w:hideMark/>
          </w:tcPr>
          <w:p w14:paraId="50640B4B"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Protects the entire original IP packet.</w:t>
            </w:r>
          </w:p>
        </w:tc>
      </w:tr>
      <w:tr w:rsidR="00EF4EEA" w:rsidRPr="00EF4EEA" w14:paraId="62D1AFC6" w14:textId="77777777">
        <w:trPr>
          <w:tblCellSpacing w:w="15" w:type="dxa"/>
        </w:trPr>
        <w:tc>
          <w:tcPr>
            <w:tcW w:w="0" w:type="auto"/>
            <w:vAlign w:val="center"/>
            <w:hideMark/>
          </w:tcPr>
          <w:p w14:paraId="393055C6"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IP Header</w:t>
            </w:r>
          </w:p>
        </w:tc>
        <w:tc>
          <w:tcPr>
            <w:tcW w:w="0" w:type="auto"/>
            <w:vAlign w:val="center"/>
            <w:hideMark/>
          </w:tcPr>
          <w:p w14:paraId="0E57541D"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Original IP header remains visible.</w:t>
            </w:r>
          </w:p>
        </w:tc>
        <w:tc>
          <w:tcPr>
            <w:tcW w:w="0" w:type="auto"/>
            <w:vAlign w:val="center"/>
            <w:hideMark/>
          </w:tcPr>
          <w:p w14:paraId="4742A571"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Original IP packet is encapsulated inside a new IP packet.</w:t>
            </w:r>
          </w:p>
        </w:tc>
      </w:tr>
      <w:tr w:rsidR="00EF4EEA" w:rsidRPr="00EF4EEA" w14:paraId="3F063B06" w14:textId="77777777">
        <w:trPr>
          <w:tblCellSpacing w:w="15" w:type="dxa"/>
        </w:trPr>
        <w:tc>
          <w:tcPr>
            <w:tcW w:w="0" w:type="auto"/>
            <w:vAlign w:val="center"/>
            <w:hideMark/>
          </w:tcPr>
          <w:p w14:paraId="215122F6"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Overhead</w:t>
            </w:r>
          </w:p>
        </w:tc>
        <w:tc>
          <w:tcPr>
            <w:tcW w:w="0" w:type="auto"/>
            <w:vAlign w:val="center"/>
            <w:hideMark/>
          </w:tcPr>
          <w:p w14:paraId="40B6FDA6"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Lower overhead.</w:t>
            </w:r>
          </w:p>
        </w:tc>
        <w:tc>
          <w:tcPr>
            <w:tcW w:w="0" w:type="auto"/>
            <w:vAlign w:val="center"/>
            <w:hideMark/>
          </w:tcPr>
          <w:p w14:paraId="472DB1AE"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Higher overhead due to additional IP header.</w:t>
            </w:r>
          </w:p>
        </w:tc>
      </w:tr>
      <w:tr w:rsidR="00EF4EEA" w:rsidRPr="00EF4EEA" w14:paraId="6C159DD9" w14:textId="77777777">
        <w:trPr>
          <w:tblCellSpacing w:w="15" w:type="dxa"/>
        </w:trPr>
        <w:tc>
          <w:tcPr>
            <w:tcW w:w="0" w:type="auto"/>
            <w:vAlign w:val="center"/>
            <w:hideMark/>
          </w:tcPr>
          <w:p w14:paraId="6D1334B6"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Host-to-Host Communication</w:t>
            </w:r>
          </w:p>
        </w:tc>
        <w:tc>
          <w:tcPr>
            <w:tcW w:w="0" w:type="auto"/>
            <w:vAlign w:val="center"/>
            <w:hideMark/>
          </w:tcPr>
          <w:p w14:paraId="14DA1AAA"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Highly suitable for direct host-to-host communication.</w:t>
            </w:r>
          </w:p>
        </w:tc>
        <w:tc>
          <w:tcPr>
            <w:tcW w:w="0" w:type="auto"/>
            <w:vAlign w:val="center"/>
            <w:hideMark/>
          </w:tcPr>
          <w:p w14:paraId="0E3D98A5"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Can be used but is generally unnecessary for simple host-to-host communication.</w:t>
            </w:r>
          </w:p>
        </w:tc>
      </w:tr>
      <w:tr w:rsidR="00EF4EEA" w:rsidRPr="00EF4EEA" w14:paraId="4F3FD9AD" w14:textId="77777777">
        <w:trPr>
          <w:tblCellSpacing w:w="15" w:type="dxa"/>
        </w:trPr>
        <w:tc>
          <w:tcPr>
            <w:tcW w:w="0" w:type="auto"/>
            <w:vAlign w:val="center"/>
            <w:hideMark/>
          </w:tcPr>
          <w:p w14:paraId="1455789C"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Network-to-Network Communication</w:t>
            </w:r>
          </w:p>
        </w:tc>
        <w:tc>
          <w:tcPr>
            <w:tcW w:w="0" w:type="auto"/>
            <w:vAlign w:val="center"/>
            <w:hideMark/>
          </w:tcPr>
          <w:p w14:paraId="2E00A601"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Less suitable.</w:t>
            </w:r>
          </w:p>
        </w:tc>
        <w:tc>
          <w:tcPr>
            <w:tcW w:w="0" w:type="auto"/>
            <w:vAlign w:val="center"/>
            <w:hideMark/>
          </w:tcPr>
          <w:p w14:paraId="69ED4A14"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Highly suitable for network-to-network VPNs.</w:t>
            </w:r>
          </w:p>
        </w:tc>
      </w:tr>
      <w:tr w:rsidR="00EF4EEA" w:rsidRPr="00EF4EEA" w14:paraId="00DB2B4C" w14:textId="77777777">
        <w:trPr>
          <w:tblCellSpacing w:w="15" w:type="dxa"/>
        </w:trPr>
        <w:tc>
          <w:tcPr>
            <w:tcW w:w="0" w:type="auto"/>
            <w:vAlign w:val="center"/>
            <w:hideMark/>
          </w:tcPr>
          <w:p w14:paraId="5F8E97B7"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lastRenderedPageBreak/>
              <w:t>VPN Usage</w:t>
            </w:r>
          </w:p>
        </w:tc>
        <w:tc>
          <w:tcPr>
            <w:tcW w:w="0" w:type="auto"/>
            <w:vAlign w:val="center"/>
            <w:hideMark/>
          </w:tcPr>
          <w:p w14:paraId="7C5F2776"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Commonly used for end-to-end communication.</w:t>
            </w:r>
          </w:p>
        </w:tc>
        <w:tc>
          <w:tcPr>
            <w:tcW w:w="0" w:type="auto"/>
            <w:vAlign w:val="center"/>
            <w:hideMark/>
          </w:tcPr>
          <w:p w14:paraId="6979CDDB"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Commonly used for site-to-site VPNs.</w:t>
            </w:r>
          </w:p>
        </w:tc>
      </w:tr>
    </w:tbl>
    <w:p w14:paraId="7318A2D3"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b/>
          <w:bCs/>
          <w:sz w:val="24"/>
          <w:szCs w:val="24"/>
        </w:rPr>
        <w:t>Analysis:</w:t>
      </w:r>
      <w:r w:rsidRPr="00EF4EEA">
        <w:rPr>
          <w:sz w:val="24"/>
          <w:szCs w:val="24"/>
        </w:rPr>
        <w:t xml:space="preserve"> Transport mode protects the payload while keeping the original IP header visible. It is efficient and suitable for securing communication between two individual hosts. Tunnel mode encapsulates the complete original IP packet and protects it, making it suitable for communication between entire networks through VPN gateways.</w:t>
      </w:r>
    </w:p>
    <w:p w14:paraId="132B7CE8"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b/>
          <w:bCs/>
          <w:sz w:val="24"/>
          <w:szCs w:val="24"/>
        </w:rPr>
        <w:t>Conclusion:</w:t>
      </w:r>
      <w:r w:rsidRPr="00EF4EEA">
        <w:rPr>
          <w:sz w:val="24"/>
          <w:szCs w:val="24"/>
        </w:rPr>
        <w:t xml:space="preserve"> Transport mode is more effective for host-to-host communication, whereas tunnel mode is more effective for network-to-network communication and site-to-site VPNs.</w:t>
      </w:r>
    </w:p>
    <w:p w14:paraId="06637FDD"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pict w14:anchorId="0F8DB0F0">
          <v:rect id="_x0000_i1053" style="width:0;height:1.5pt" o:hralign="center" o:hrstd="t" o:hr="t" fillcolor="#a0a0a0" stroked="f"/>
        </w:pict>
      </w:r>
    </w:p>
    <w:p w14:paraId="322D01E0"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3. Perform a comparative analysis of Pretty Good Privacy (PGP) and S/MIME in terms of key management, trust models, scalability, and enterprise usability. Recommend the most suitable approach for a corporate email system.</w:t>
      </w:r>
    </w:p>
    <w:p w14:paraId="03ADB7E2"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PGP and S/MIME are security technologies used to provide confidentiality, authentication, integrity, and digital signatures for email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3570"/>
        <w:gridCol w:w="3475"/>
      </w:tblGrid>
      <w:tr w:rsidR="00EF4EEA" w:rsidRPr="00EF4EEA" w14:paraId="322B7E29" w14:textId="77777777">
        <w:trPr>
          <w:tblHeader/>
          <w:tblCellSpacing w:w="15" w:type="dxa"/>
        </w:trPr>
        <w:tc>
          <w:tcPr>
            <w:tcW w:w="0" w:type="auto"/>
            <w:vAlign w:val="center"/>
            <w:hideMark/>
          </w:tcPr>
          <w:p w14:paraId="3A7413D9"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Aspect</w:t>
            </w:r>
          </w:p>
        </w:tc>
        <w:tc>
          <w:tcPr>
            <w:tcW w:w="0" w:type="auto"/>
            <w:vAlign w:val="center"/>
            <w:hideMark/>
          </w:tcPr>
          <w:p w14:paraId="122A2EE5"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PGP</w:t>
            </w:r>
          </w:p>
        </w:tc>
        <w:tc>
          <w:tcPr>
            <w:tcW w:w="0" w:type="auto"/>
            <w:vAlign w:val="center"/>
            <w:hideMark/>
          </w:tcPr>
          <w:p w14:paraId="7755D078"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S/MIME</w:t>
            </w:r>
          </w:p>
        </w:tc>
      </w:tr>
      <w:tr w:rsidR="00EF4EEA" w:rsidRPr="00EF4EEA" w14:paraId="6793B74A" w14:textId="77777777">
        <w:trPr>
          <w:tblCellSpacing w:w="15" w:type="dxa"/>
        </w:trPr>
        <w:tc>
          <w:tcPr>
            <w:tcW w:w="0" w:type="auto"/>
            <w:vAlign w:val="center"/>
            <w:hideMark/>
          </w:tcPr>
          <w:p w14:paraId="4993BA65"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Key Management</w:t>
            </w:r>
          </w:p>
        </w:tc>
        <w:tc>
          <w:tcPr>
            <w:tcW w:w="0" w:type="auto"/>
            <w:vAlign w:val="center"/>
            <w:hideMark/>
          </w:tcPr>
          <w:p w14:paraId="436283D1"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Users generally generate and manage their own public and private keys.</w:t>
            </w:r>
          </w:p>
        </w:tc>
        <w:tc>
          <w:tcPr>
            <w:tcW w:w="0" w:type="auto"/>
            <w:vAlign w:val="center"/>
            <w:hideMark/>
          </w:tcPr>
          <w:p w14:paraId="3567BB93"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Uses digital certificates issued by trusted Certificate Authorities (CAs).</w:t>
            </w:r>
          </w:p>
        </w:tc>
      </w:tr>
      <w:tr w:rsidR="00EF4EEA" w:rsidRPr="00EF4EEA" w14:paraId="00521D85" w14:textId="77777777">
        <w:trPr>
          <w:tblCellSpacing w:w="15" w:type="dxa"/>
        </w:trPr>
        <w:tc>
          <w:tcPr>
            <w:tcW w:w="0" w:type="auto"/>
            <w:vAlign w:val="center"/>
            <w:hideMark/>
          </w:tcPr>
          <w:p w14:paraId="28EB7743"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Trust Model</w:t>
            </w:r>
          </w:p>
        </w:tc>
        <w:tc>
          <w:tcPr>
            <w:tcW w:w="0" w:type="auto"/>
            <w:vAlign w:val="center"/>
            <w:hideMark/>
          </w:tcPr>
          <w:p w14:paraId="6C4B15F6"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Uses a decentralized Web-of-Trust model.</w:t>
            </w:r>
          </w:p>
        </w:tc>
        <w:tc>
          <w:tcPr>
            <w:tcW w:w="0" w:type="auto"/>
            <w:vAlign w:val="center"/>
            <w:hideMark/>
          </w:tcPr>
          <w:p w14:paraId="1796694B"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Uses a hierarchical Certificate Authority-based trust model.</w:t>
            </w:r>
          </w:p>
        </w:tc>
      </w:tr>
      <w:tr w:rsidR="00EF4EEA" w:rsidRPr="00EF4EEA" w14:paraId="0934DF48" w14:textId="77777777">
        <w:trPr>
          <w:tblCellSpacing w:w="15" w:type="dxa"/>
        </w:trPr>
        <w:tc>
          <w:tcPr>
            <w:tcW w:w="0" w:type="auto"/>
            <w:vAlign w:val="center"/>
            <w:hideMark/>
          </w:tcPr>
          <w:p w14:paraId="69431E6D"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Scalability</w:t>
            </w:r>
          </w:p>
        </w:tc>
        <w:tc>
          <w:tcPr>
            <w:tcW w:w="0" w:type="auto"/>
            <w:vAlign w:val="center"/>
            <w:hideMark/>
          </w:tcPr>
          <w:p w14:paraId="4EF334C2"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Key management can become difficult as the number of users increases.</w:t>
            </w:r>
          </w:p>
        </w:tc>
        <w:tc>
          <w:tcPr>
            <w:tcW w:w="0" w:type="auto"/>
            <w:vAlign w:val="center"/>
            <w:hideMark/>
          </w:tcPr>
          <w:p w14:paraId="633BD3AF"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More scalable because certificates can be centrally managed.</w:t>
            </w:r>
          </w:p>
        </w:tc>
      </w:tr>
      <w:tr w:rsidR="00EF4EEA" w:rsidRPr="00EF4EEA" w14:paraId="0ABF0EC9" w14:textId="77777777">
        <w:trPr>
          <w:tblCellSpacing w:w="15" w:type="dxa"/>
        </w:trPr>
        <w:tc>
          <w:tcPr>
            <w:tcW w:w="0" w:type="auto"/>
            <w:vAlign w:val="center"/>
            <w:hideMark/>
          </w:tcPr>
          <w:p w14:paraId="4C66868D"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lastRenderedPageBreak/>
              <w:t>Enterprise Usability</w:t>
            </w:r>
          </w:p>
        </w:tc>
        <w:tc>
          <w:tcPr>
            <w:tcW w:w="0" w:type="auto"/>
            <w:vAlign w:val="center"/>
            <w:hideMark/>
          </w:tcPr>
          <w:p w14:paraId="1444AE4F"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Requires more technical knowledge and user involvement.</w:t>
            </w:r>
          </w:p>
        </w:tc>
        <w:tc>
          <w:tcPr>
            <w:tcW w:w="0" w:type="auto"/>
            <w:vAlign w:val="center"/>
            <w:hideMark/>
          </w:tcPr>
          <w:p w14:paraId="29DFD36F"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Integrates well with enterprise email systems and directory services.</w:t>
            </w:r>
          </w:p>
        </w:tc>
      </w:tr>
      <w:tr w:rsidR="00EF4EEA" w:rsidRPr="00EF4EEA" w14:paraId="2CE1159F" w14:textId="77777777">
        <w:trPr>
          <w:tblCellSpacing w:w="15" w:type="dxa"/>
        </w:trPr>
        <w:tc>
          <w:tcPr>
            <w:tcW w:w="0" w:type="auto"/>
            <w:vAlign w:val="center"/>
            <w:hideMark/>
          </w:tcPr>
          <w:p w14:paraId="5EA6F71B"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Administration</w:t>
            </w:r>
          </w:p>
        </w:tc>
        <w:tc>
          <w:tcPr>
            <w:tcW w:w="0" w:type="auto"/>
            <w:vAlign w:val="center"/>
            <w:hideMark/>
          </w:tcPr>
          <w:p w14:paraId="4662A897"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More decentralized.</w:t>
            </w:r>
          </w:p>
        </w:tc>
        <w:tc>
          <w:tcPr>
            <w:tcW w:w="0" w:type="auto"/>
            <w:vAlign w:val="center"/>
            <w:hideMark/>
          </w:tcPr>
          <w:p w14:paraId="51EA8444"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Can be centrally administered.</w:t>
            </w:r>
          </w:p>
        </w:tc>
      </w:tr>
      <w:tr w:rsidR="00EF4EEA" w:rsidRPr="00EF4EEA" w14:paraId="62D128D4" w14:textId="77777777">
        <w:trPr>
          <w:tblCellSpacing w:w="15" w:type="dxa"/>
        </w:trPr>
        <w:tc>
          <w:tcPr>
            <w:tcW w:w="0" w:type="auto"/>
            <w:vAlign w:val="center"/>
            <w:hideMark/>
          </w:tcPr>
          <w:p w14:paraId="52074456"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Authentication</w:t>
            </w:r>
          </w:p>
        </w:tc>
        <w:tc>
          <w:tcPr>
            <w:tcW w:w="0" w:type="auto"/>
            <w:vAlign w:val="center"/>
            <w:hideMark/>
          </w:tcPr>
          <w:p w14:paraId="7BD56D55"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Based mainly on trusted public keys.</w:t>
            </w:r>
          </w:p>
        </w:tc>
        <w:tc>
          <w:tcPr>
            <w:tcW w:w="0" w:type="auto"/>
            <w:vAlign w:val="center"/>
            <w:hideMark/>
          </w:tcPr>
          <w:p w14:paraId="45D04AC4"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Uses digital certificates to verify identities.</w:t>
            </w:r>
          </w:p>
        </w:tc>
      </w:tr>
    </w:tbl>
    <w:p w14:paraId="0D182EE0"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b/>
          <w:bCs/>
          <w:sz w:val="24"/>
          <w:szCs w:val="24"/>
        </w:rPr>
        <w:t>Analysis:</w:t>
      </w:r>
      <w:r w:rsidRPr="00EF4EEA">
        <w:rPr>
          <w:sz w:val="24"/>
          <w:szCs w:val="24"/>
        </w:rPr>
        <w:t xml:space="preserve"> PGP provides a flexible and decentralized approach to email security. However, managing keys and establishing trust can become difficult in large organizations. S/MIME uses certificates issued by trusted Certificate Authorities, making identity verification and key management easier for enterprises.</w:t>
      </w:r>
    </w:p>
    <w:p w14:paraId="73CB0364"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b/>
          <w:bCs/>
          <w:sz w:val="24"/>
          <w:szCs w:val="24"/>
        </w:rPr>
        <w:t>Recommendation:</w:t>
      </w:r>
      <w:r w:rsidRPr="00EF4EEA">
        <w:rPr>
          <w:sz w:val="24"/>
          <w:szCs w:val="24"/>
        </w:rPr>
        <w:t xml:space="preserve"> S/MIME is more suitable for a corporate email system because it provides centralized certificate management, better scalability, strong authentication, and integration with enterprise email infrastructure.</w:t>
      </w:r>
    </w:p>
    <w:p w14:paraId="4E4E0020"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b/>
          <w:bCs/>
          <w:sz w:val="24"/>
          <w:szCs w:val="24"/>
        </w:rPr>
        <w:t>Conclusion:</w:t>
      </w:r>
      <w:r w:rsidRPr="00EF4EEA">
        <w:rPr>
          <w:sz w:val="24"/>
          <w:szCs w:val="24"/>
        </w:rPr>
        <w:t xml:space="preserve"> S/MIME is generally the preferred approach for large corporate email environments.</w:t>
      </w:r>
    </w:p>
    <w:p w14:paraId="21679B93"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pict w14:anchorId="49C9ACCC">
          <v:rect id="_x0000_i1054" style="width:0;height:1.5pt" o:hralign="center" o:hrstd="t" o:hr="t" fillcolor="#a0a0a0" stroked="f"/>
        </w:pict>
      </w:r>
    </w:p>
    <w:p w14:paraId="1EC828FA"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 xml:space="preserve">4. Compare rule-based and machine learning-based email spam detection techniques. </w:t>
      </w:r>
      <w:proofErr w:type="spellStart"/>
      <w:r w:rsidRPr="00EF4EEA">
        <w:rPr>
          <w:b/>
          <w:bCs/>
          <w:sz w:val="24"/>
          <w:szCs w:val="24"/>
        </w:rPr>
        <w:t>Analyze</w:t>
      </w:r>
      <w:proofErr w:type="spellEnd"/>
      <w:r w:rsidRPr="00EF4EEA">
        <w:rPr>
          <w:b/>
          <w:bCs/>
          <w:sz w:val="24"/>
          <w:szCs w:val="24"/>
        </w:rPr>
        <w:t xml:space="preserve"> their effectiveness in handling evolving spam patterns and minimizing false positives.</w:t>
      </w:r>
    </w:p>
    <w:p w14:paraId="7FD8B8BC"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Rule-based and machine learning-based techniques are commonly used to detect unwanted spam emails.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8"/>
        <w:gridCol w:w="3763"/>
        <w:gridCol w:w="3394"/>
      </w:tblGrid>
      <w:tr w:rsidR="00EF4EEA" w:rsidRPr="00EF4EEA" w14:paraId="7982CC7A" w14:textId="77777777">
        <w:trPr>
          <w:tblHeader/>
          <w:tblCellSpacing w:w="15" w:type="dxa"/>
        </w:trPr>
        <w:tc>
          <w:tcPr>
            <w:tcW w:w="0" w:type="auto"/>
            <w:vAlign w:val="center"/>
            <w:hideMark/>
          </w:tcPr>
          <w:p w14:paraId="38341429"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Aspect</w:t>
            </w:r>
          </w:p>
        </w:tc>
        <w:tc>
          <w:tcPr>
            <w:tcW w:w="0" w:type="auto"/>
            <w:vAlign w:val="center"/>
            <w:hideMark/>
          </w:tcPr>
          <w:p w14:paraId="40F63925"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Rule-Based Detection</w:t>
            </w:r>
          </w:p>
        </w:tc>
        <w:tc>
          <w:tcPr>
            <w:tcW w:w="0" w:type="auto"/>
            <w:vAlign w:val="center"/>
            <w:hideMark/>
          </w:tcPr>
          <w:p w14:paraId="40FB0886"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Machine Learning-Based Detection</w:t>
            </w:r>
          </w:p>
        </w:tc>
      </w:tr>
      <w:tr w:rsidR="00EF4EEA" w:rsidRPr="00EF4EEA" w14:paraId="0B6438D7" w14:textId="77777777">
        <w:trPr>
          <w:tblCellSpacing w:w="15" w:type="dxa"/>
        </w:trPr>
        <w:tc>
          <w:tcPr>
            <w:tcW w:w="0" w:type="auto"/>
            <w:vAlign w:val="center"/>
            <w:hideMark/>
          </w:tcPr>
          <w:p w14:paraId="29EB4F52"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Detection Method</w:t>
            </w:r>
          </w:p>
        </w:tc>
        <w:tc>
          <w:tcPr>
            <w:tcW w:w="0" w:type="auto"/>
            <w:vAlign w:val="center"/>
            <w:hideMark/>
          </w:tcPr>
          <w:p w14:paraId="434EBEF3"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Uses predefined rules, keywords, sender information, and patterns.</w:t>
            </w:r>
          </w:p>
        </w:tc>
        <w:tc>
          <w:tcPr>
            <w:tcW w:w="0" w:type="auto"/>
            <w:vAlign w:val="center"/>
            <w:hideMark/>
          </w:tcPr>
          <w:p w14:paraId="3F005907"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Learns patterns from previously classified email data.</w:t>
            </w:r>
          </w:p>
        </w:tc>
      </w:tr>
      <w:tr w:rsidR="00EF4EEA" w:rsidRPr="00EF4EEA" w14:paraId="2CF09D29" w14:textId="77777777">
        <w:trPr>
          <w:tblCellSpacing w:w="15" w:type="dxa"/>
        </w:trPr>
        <w:tc>
          <w:tcPr>
            <w:tcW w:w="0" w:type="auto"/>
            <w:vAlign w:val="center"/>
            <w:hideMark/>
          </w:tcPr>
          <w:p w14:paraId="1EE534AC"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Adaptability</w:t>
            </w:r>
          </w:p>
        </w:tc>
        <w:tc>
          <w:tcPr>
            <w:tcW w:w="0" w:type="auto"/>
            <w:vAlign w:val="center"/>
            <w:hideMark/>
          </w:tcPr>
          <w:p w14:paraId="5A227689"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Less adaptable to new spam techniques.</w:t>
            </w:r>
          </w:p>
        </w:tc>
        <w:tc>
          <w:tcPr>
            <w:tcW w:w="0" w:type="auto"/>
            <w:vAlign w:val="center"/>
            <w:hideMark/>
          </w:tcPr>
          <w:p w14:paraId="772A4D9E"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More adaptable to changing spam patterns.</w:t>
            </w:r>
          </w:p>
        </w:tc>
      </w:tr>
      <w:tr w:rsidR="00EF4EEA" w:rsidRPr="00EF4EEA" w14:paraId="74369821" w14:textId="77777777">
        <w:trPr>
          <w:tblCellSpacing w:w="15" w:type="dxa"/>
        </w:trPr>
        <w:tc>
          <w:tcPr>
            <w:tcW w:w="0" w:type="auto"/>
            <w:vAlign w:val="center"/>
            <w:hideMark/>
          </w:tcPr>
          <w:p w14:paraId="25CA03FD"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lastRenderedPageBreak/>
              <w:t>False Positives</w:t>
            </w:r>
          </w:p>
        </w:tc>
        <w:tc>
          <w:tcPr>
            <w:tcW w:w="0" w:type="auto"/>
            <w:vAlign w:val="center"/>
            <w:hideMark/>
          </w:tcPr>
          <w:p w14:paraId="5207CF6F"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Can produce false positives if rules are too strict.</w:t>
            </w:r>
          </w:p>
        </w:tc>
        <w:tc>
          <w:tcPr>
            <w:tcW w:w="0" w:type="auto"/>
            <w:vAlign w:val="center"/>
            <w:hideMark/>
          </w:tcPr>
          <w:p w14:paraId="10ADBCF4"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Can reduce false positives when trained with suitable data.</w:t>
            </w:r>
          </w:p>
        </w:tc>
      </w:tr>
      <w:tr w:rsidR="00EF4EEA" w:rsidRPr="00EF4EEA" w14:paraId="0B1F5770" w14:textId="77777777">
        <w:trPr>
          <w:tblCellSpacing w:w="15" w:type="dxa"/>
        </w:trPr>
        <w:tc>
          <w:tcPr>
            <w:tcW w:w="0" w:type="auto"/>
            <w:vAlign w:val="center"/>
            <w:hideMark/>
          </w:tcPr>
          <w:p w14:paraId="6D7732BB"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Maintenance</w:t>
            </w:r>
          </w:p>
        </w:tc>
        <w:tc>
          <w:tcPr>
            <w:tcW w:w="0" w:type="auto"/>
            <w:vAlign w:val="center"/>
            <w:hideMark/>
          </w:tcPr>
          <w:p w14:paraId="10E21CCF"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Requires manual updating of rules.</w:t>
            </w:r>
          </w:p>
        </w:tc>
        <w:tc>
          <w:tcPr>
            <w:tcW w:w="0" w:type="auto"/>
            <w:vAlign w:val="center"/>
            <w:hideMark/>
          </w:tcPr>
          <w:p w14:paraId="4D77E1D4"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Can be retrained using new email datasets.</w:t>
            </w:r>
          </w:p>
        </w:tc>
      </w:tr>
      <w:tr w:rsidR="00EF4EEA" w:rsidRPr="00EF4EEA" w14:paraId="3CB1C6B8" w14:textId="77777777">
        <w:trPr>
          <w:tblCellSpacing w:w="15" w:type="dxa"/>
        </w:trPr>
        <w:tc>
          <w:tcPr>
            <w:tcW w:w="0" w:type="auto"/>
            <w:vAlign w:val="center"/>
            <w:hideMark/>
          </w:tcPr>
          <w:p w14:paraId="4C6A19DC"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Complexity</w:t>
            </w:r>
          </w:p>
        </w:tc>
        <w:tc>
          <w:tcPr>
            <w:tcW w:w="0" w:type="auto"/>
            <w:vAlign w:val="center"/>
            <w:hideMark/>
          </w:tcPr>
          <w:p w14:paraId="1D6EF347"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Simple and easy to understand.</w:t>
            </w:r>
          </w:p>
        </w:tc>
        <w:tc>
          <w:tcPr>
            <w:tcW w:w="0" w:type="auto"/>
            <w:vAlign w:val="center"/>
            <w:hideMark/>
          </w:tcPr>
          <w:p w14:paraId="4477A2EA"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More complex to develop and maintain.</w:t>
            </w:r>
          </w:p>
        </w:tc>
      </w:tr>
      <w:tr w:rsidR="00EF4EEA" w:rsidRPr="00EF4EEA" w14:paraId="38FE5B15" w14:textId="77777777">
        <w:trPr>
          <w:tblCellSpacing w:w="15" w:type="dxa"/>
        </w:trPr>
        <w:tc>
          <w:tcPr>
            <w:tcW w:w="0" w:type="auto"/>
            <w:vAlign w:val="center"/>
            <w:hideMark/>
          </w:tcPr>
          <w:p w14:paraId="0B216746"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Evolving Spam</w:t>
            </w:r>
          </w:p>
        </w:tc>
        <w:tc>
          <w:tcPr>
            <w:tcW w:w="0" w:type="auto"/>
            <w:vAlign w:val="center"/>
            <w:hideMark/>
          </w:tcPr>
          <w:p w14:paraId="1B83A786"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Less effective against constantly changing spam.</w:t>
            </w:r>
          </w:p>
        </w:tc>
        <w:tc>
          <w:tcPr>
            <w:tcW w:w="0" w:type="auto"/>
            <w:vAlign w:val="center"/>
            <w:hideMark/>
          </w:tcPr>
          <w:p w14:paraId="24BE70E9"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More effective against new and complex spam patterns.</w:t>
            </w:r>
          </w:p>
        </w:tc>
      </w:tr>
    </w:tbl>
    <w:p w14:paraId="10F91690"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b/>
          <w:bCs/>
          <w:sz w:val="24"/>
          <w:szCs w:val="24"/>
        </w:rPr>
        <w:t>Analysis:</w:t>
      </w:r>
      <w:r w:rsidRPr="00EF4EEA">
        <w:rPr>
          <w:sz w:val="24"/>
          <w:szCs w:val="24"/>
        </w:rPr>
        <w:t xml:space="preserve"> Rule-based systems are effective for detecting known spam patterns but require continuous manual updates. When spammers change their wording, sender information, or message structure, existing rules may become ineffective. Machine learning-based systems can learn from large datasets and identify complex patterns that may not be easily detected using fixed rules.</w:t>
      </w:r>
    </w:p>
    <w:p w14:paraId="3EE3554C"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Machine learning can also reduce false positives when the model is properly trained using diverse and representative datasets. However, poor-quality training data can reduce its effectiveness.</w:t>
      </w:r>
    </w:p>
    <w:p w14:paraId="324C2D49"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b/>
          <w:bCs/>
          <w:sz w:val="24"/>
          <w:szCs w:val="24"/>
        </w:rPr>
        <w:t>Conclusion:</w:t>
      </w:r>
      <w:r w:rsidRPr="00EF4EEA">
        <w:rPr>
          <w:sz w:val="24"/>
          <w:szCs w:val="24"/>
        </w:rPr>
        <w:t xml:space="preserve"> Machine learning-based spam detection is generally more effective for modern email systems because it can adapt to evolving spam patterns and help minimize false positives. A combination of rule-based and machine learning techniques can provide even stronger protection.</w:t>
      </w:r>
    </w:p>
    <w:p w14:paraId="2F7219D8"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pict w14:anchorId="58F6DE22">
          <v:rect id="_x0000_i1055" style="width:0;height:1.5pt" o:hralign="center" o:hrstd="t" o:hr="t" fillcolor="#a0a0a0" stroked="f"/>
        </w:pict>
      </w:r>
    </w:p>
    <w:p w14:paraId="47564285"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5. Compare manual key management and automated key management (e.g., using IKE) in IPSec. Evaluate their impact on security, scalability, and operational complexity in large organizations.</w:t>
      </w:r>
    </w:p>
    <w:p w14:paraId="5342B3FE"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Manual and automated key management are two approaches for managing cryptographic keys in IPSec.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3414"/>
        <w:gridCol w:w="3518"/>
      </w:tblGrid>
      <w:tr w:rsidR="00EF4EEA" w:rsidRPr="00EF4EEA" w14:paraId="2A33E89E" w14:textId="77777777">
        <w:trPr>
          <w:tblHeader/>
          <w:tblCellSpacing w:w="15" w:type="dxa"/>
        </w:trPr>
        <w:tc>
          <w:tcPr>
            <w:tcW w:w="0" w:type="auto"/>
            <w:vAlign w:val="center"/>
            <w:hideMark/>
          </w:tcPr>
          <w:p w14:paraId="410002A5"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lastRenderedPageBreak/>
              <w:t>Aspect</w:t>
            </w:r>
          </w:p>
        </w:tc>
        <w:tc>
          <w:tcPr>
            <w:tcW w:w="0" w:type="auto"/>
            <w:vAlign w:val="center"/>
            <w:hideMark/>
          </w:tcPr>
          <w:p w14:paraId="387258F2"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Manual Key Management</w:t>
            </w:r>
          </w:p>
        </w:tc>
        <w:tc>
          <w:tcPr>
            <w:tcW w:w="0" w:type="auto"/>
            <w:vAlign w:val="center"/>
            <w:hideMark/>
          </w:tcPr>
          <w:p w14:paraId="15CB1010" w14:textId="77777777" w:rsidR="00EF4EEA" w:rsidRPr="00EF4EEA" w:rsidRDefault="00EF4EEA" w:rsidP="00EF4EEA">
            <w:pPr>
              <w:pBdr>
                <w:top w:val="nil"/>
                <w:left w:val="nil"/>
                <w:bottom w:val="nil"/>
                <w:right w:val="nil"/>
                <w:between w:val="nil"/>
              </w:pBdr>
              <w:spacing w:line="360" w:lineRule="auto"/>
              <w:ind w:left="720"/>
              <w:jc w:val="both"/>
              <w:rPr>
                <w:b/>
                <w:bCs/>
                <w:sz w:val="24"/>
                <w:szCs w:val="24"/>
              </w:rPr>
            </w:pPr>
            <w:r w:rsidRPr="00EF4EEA">
              <w:rPr>
                <w:b/>
                <w:bCs/>
                <w:sz w:val="24"/>
                <w:szCs w:val="24"/>
              </w:rPr>
              <w:t>Automated Key Management using IKE</w:t>
            </w:r>
          </w:p>
        </w:tc>
      </w:tr>
      <w:tr w:rsidR="00EF4EEA" w:rsidRPr="00EF4EEA" w14:paraId="7A2AF7DD" w14:textId="77777777">
        <w:trPr>
          <w:tblCellSpacing w:w="15" w:type="dxa"/>
        </w:trPr>
        <w:tc>
          <w:tcPr>
            <w:tcW w:w="0" w:type="auto"/>
            <w:vAlign w:val="center"/>
            <w:hideMark/>
          </w:tcPr>
          <w:p w14:paraId="246FAEB8"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Security</w:t>
            </w:r>
          </w:p>
        </w:tc>
        <w:tc>
          <w:tcPr>
            <w:tcW w:w="0" w:type="auto"/>
            <w:vAlign w:val="center"/>
            <w:hideMark/>
          </w:tcPr>
          <w:p w14:paraId="6B8EA0F5"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Higher possibility of human configuration errors.</w:t>
            </w:r>
          </w:p>
        </w:tc>
        <w:tc>
          <w:tcPr>
            <w:tcW w:w="0" w:type="auto"/>
            <w:vAlign w:val="center"/>
            <w:hideMark/>
          </w:tcPr>
          <w:p w14:paraId="59C1C838"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Provides secure automatic key negotiation and establishment.</w:t>
            </w:r>
          </w:p>
        </w:tc>
      </w:tr>
      <w:tr w:rsidR="00EF4EEA" w:rsidRPr="00EF4EEA" w14:paraId="5E2A82EF" w14:textId="77777777">
        <w:trPr>
          <w:tblCellSpacing w:w="15" w:type="dxa"/>
        </w:trPr>
        <w:tc>
          <w:tcPr>
            <w:tcW w:w="0" w:type="auto"/>
            <w:vAlign w:val="center"/>
            <w:hideMark/>
          </w:tcPr>
          <w:p w14:paraId="5D73CC39"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Scalability</w:t>
            </w:r>
          </w:p>
        </w:tc>
        <w:tc>
          <w:tcPr>
            <w:tcW w:w="0" w:type="auto"/>
            <w:vAlign w:val="center"/>
            <w:hideMark/>
          </w:tcPr>
          <w:p w14:paraId="3E6E991F"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Difficult to manage as the number of devices increases.</w:t>
            </w:r>
          </w:p>
        </w:tc>
        <w:tc>
          <w:tcPr>
            <w:tcW w:w="0" w:type="auto"/>
            <w:vAlign w:val="center"/>
            <w:hideMark/>
          </w:tcPr>
          <w:p w14:paraId="33F5221D"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Highly scalable for large organizations.</w:t>
            </w:r>
          </w:p>
        </w:tc>
      </w:tr>
      <w:tr w:rsidR="00EF4EEA" w:rsidRPr="00EF4EEA" w14:paraId="18618895" w14:textId="77777777">
        <w:trPr>
          <w:tblCellSpacing w:w="15" w:type="dxa"/>
        </w:trPr>
        <w:tc>
          <w:tcPr>
            <w:tcW w:w="0" w:type="auto"/>
            <w:vAlign w:val="center"/>
            <w:hideMark/>
          </w:tcPr>
          <w:p w14:paraId="1FEDE0D8"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Operational Complexity</w:t>
            </w:r>
          </w:p>
        </w:tc>
        <w:tc>
          <w:tcPr>
            <w:tcW w:w="0" w:type="auto"/>
            <w:vAlign w:val="center"/>
            <w:hideMark/>
          </w:tcPr>
          <w:p w14:paraId="03D78607"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High because administrators must manually configure keys.</w:t>
            </w:r>
          </w:p>
        </w:tc>
        <w:tc>
          <w:tcPr>
            <w:tcW w:w="0" w:type="auto"/>
            <w:vAlign w:val="center"/>
            <w:hideMark/>
          </w:tcPr>
          <w:p w14:paraId="7E3D7FEC"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Lower because key negotiation and renewal are automated.</w:t>
            </w:r>
          </w:p>
        </w:tc>
      </w:tr>
      <w:tr w:rsidR="00EF4EEA" w:rsidRPr="00EF4EEA" w14:paraId="0031427B" w14:textId="77777777">
        <w:trPr>
          <w:tblCellSpacing w:w="15" w:type="dxa"/>
        </w:trPr>
        <w:tc>
          <w:tcPr>
            <w:tcW w:w="0" w:type="auto"/>
            <w:vAlign w:val="center"/>
            <w:hideMark/>
          </w:tcPr>
          <w:p w14:paraId="70C17BBE"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Key Renewal</w:t>
            </w:r>
          </w:p>
        </w:tc>
        <w:tc>
          <w:tcPr>
            <w:tcW w:w="0" w:type="auto"/>
            <w:vAlign w:val="center"/>
            <w:hideMark/>
          </w:tcPr>
          <w:p w14:paraId="49B50A08"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Requires manual intervention.</w:t>
            </w:r>
          </w:p>
        </w:tc>
        <w:tc>
          <w:tcPr>
            <w:tcW w:w="0" w:type="auto"/>
            <w:vAlign w:val="center"/>
            <w:hideMark/>
          </w:tcPr>
          <w:p w14:paraId="414E9EDC"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Supports automatic key establishment and rekeying.</w:t>
            </w:r>
          </w:p>
        </w:tc>
      </w:tr>
      <w:tr w:rsidR="00EF4EEA" w:rsidRPr="00EF4EEA" w14:paraId="6DD27ED5" w14:textId="77777777">
        <w:trPr>
          <w:tblCellSpacing w:w="15" w:type="dxa"/>
        </w:trPr>
        <w:tc>
          <w:tcPr>
            <w:tcW w:w="0" w:type="auto"/>
            <w:vAlign w:val="center"/>
            <w:hideMark/>
          </w:tcPr>
          <w:p w14:paraId="7CD01304"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Large Networks</w:t>
            </w:r>
          </w:p>
        </w:tc>
        <w:tc>
          <w:tcPr>
            <w:tcW w:w="0" w:type="auto"/>
            <w:vAlign w:val="center"/>
            <w:hideMark/>
          </w:tcPr>
          <w:p w14:paraId="55767258"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Not practical for large deployments.</w:t>
            </w:r>
          </w:p>
        </w:tc>
        <w:tc>
          <w:tcPr>
            <w:tcW w:w="0" w:type="auto"/>
            <w:vAlign w:val="center"/>
            <w:hideMark/>
          </w:tcPr>
          <w:p w14:paraId="3C0D85CB"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Well suited for large networks and VPNs.</w:t>
            </w:r>
          </w:p>
        </w:tc>
      </w:tr>
      <w:tr w:rsidR="00EF4EEA" w:rsidRPr="00EF4EEA" w14:paraId="6AB35313" w14:textId="77777777">
        <w:trPr>
          <w:tblCellSpacing w:w="15" w:type="dxa"/>
        </w:trPr>
        <w:tc>
          <w:tcPr>
            <w:tcW w:w="0" w:type="auto"/>
            <w:vAlign w:val="center"/>
            <w:hideMark/>
          </w:tcPr>
          <w:p w14:paraId="3F589329"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Administration</w:t>
            </w:r>
          </w:p>
        </w:tc>
        <w:tc>
          <w:tcPr>
            <w:tcW w:w="0" w:type="auto"/>
            <w:vAlign w:val="center"/>
            <w:hideMark/>
          </w:tcPr>
          <w:p w14:paraId="44126762"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Time-consuming and error-prone.</w:t>
            </w:r>
          </w:p>
        </w:tc>
        <w:tc>
          <w:tcPr>
            <w:tcW w:w="0" w:type="auto"/>
            <w:vAlign w:val="center"/>
            <w:hideMark/>
          </w:tcPr>
          <w:p w14:paraId="1114EC20"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Reduces administrative workload.</w:t>
            </w:r>
          </w:p>
        </w:tc>
      </w:tr>
    </w:tbl>
    <w:p w14:paraId="7C86FCBB"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b/>
          <w:bCs/>
          <w:sz w:val="24"/>
          <w:szCs w:val="24"/>
        </w:rPr>
        <w:t>Analysis:</w:t>
      </w:r>
      <w:r w:rsidRPr="00EF4EEA">
        <w:rPr>
          <w:sz w:val="24"/>
          <w:szCs w:val="24"/>
        </w:rPr>
        <w:t xml:space="preserve"> Manual key management may be suitable for small networks with only a few IPSec connections. However, in large organizations, manually configuring and updating keys for many devices becomes difficult, time-consuming, and prone to human errors.</w:t>
      </w:r>
    </w:p>
    <w:p w14:paraId="619A834C"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sz w:val="24"/>
          <w:szCs w:val="24"/>
        </w:rPr>
        <w:t>Automated key management using IKE allows IPSec devices to automatically negotiate security parameters and establish cryptographic keys. It also supports automatic key renewal, improving security and reducing administrative effort.</w:t>
      </w:r>
    </w:p>
    <w:p w14:paraId="7FABF411" w14:textId="77777777" w:rsidR="00EF4EEA" w:rsidRPr="00EF4EEA" w:rsidRDefault="00EF4EEA" w:rsidP="00EF4EEA">
      <w:pPr>
        <w:pBdr>
          <w:top w:val="nil"/>
          <w:left w:val="nil"/>
          <w:bottom w:val="nil"/>
          <w:right w:val="nil"/>
          <w:between w:val="nil"/>
        </w:pBdr>
        <w:spacing w:line="360" w:lineRule="auto"/>
        <w:ind w:left="720"/>
        <w:jc w:val="both"/>
        <w:rPr>
          <w:sz w:val="24"/>
          <w:szCs w:val="24"/>
        </w:rPr>
      </w:pPr>
      <w:r w:rsidRPr="00EF4EEA">
        <w:rPr>
          <w:b/>
          <w:bCs/>
          <w:sz w:val="24"/>
          <w:szCs w:val="24"/>
        </w:rPr>
        <w:t>Conclusion:</w:t>
      </w:r>
      <w:r w:rsidRPr="00EF4EEA">
        <w:rPr>
          <w:sz w:val="24"/>
          <w:szCs w:val="24"/>
        </w:rPr>
        <w:t xml:space="preserve"> Automated key management using IKE is more suitable for large organizations because it provides better scalability, improved security, reduced operational complexity, and easier key management.</w:t>
      </w:r>
    </w:p>
    <w:p w14:paraId="562D5D13" w14:textId="77777777" w:rsidR="005540CB" w:rsidRDefault="005540CB">
      <w:pPr>
        <w:rPr>
          <w:sz w:val="24"/>
          <w:szCs w:val="24"/>
        </w:rPr>
      </w:pPr>
    </w:p>
    <w:p w14:paraId="7B0D08C5" w14:textId="77777777" w:rsidR="00EF4EEA" w:rsidRDefault="00EF4EEA">
      <w:pPr>
        <w:rPr>
          <w:b/>
          <w:bCs/>
          <w:sz w:val="24"/>
          <w:szCs w:val="24"/>
        </w:rPr>
      </w:pPr>
    </w:p>
    <w:p w14:paraId="255881BD" w14:textId="77777777" w:rsidR="005540CB" w:rsidRDefault="005540CB">
      <w:pPr>
        <w:rPr>
          <w:b/>
          <w:bCs/>
          <w:sz w:val="24"/>
          <w:szCs w:val="24"/>
        </w:rPr>
      </w:pPr>
    </w:p>
    <w:p w14:paraId="4F75EF59" w14:textId="77777777" w:rsidR="005540CB" w:rsidRDefault="005540CB">
      <w:pPr>
        <w:rPr>
          <w:b/>
          <w:bCs/>
          <w:sz w:val="24"/>
          <w:szCs w:val="24"/>
        </w:rPr>
      </w:pPr>
    </w:p>
    <w:p w14:paraId="7A6C124E" w14:textId="77777777" w:rsidR="005540CB" w:rsidRDefault="005540CB">
      <w:pPr>
        <w:rPr>
          <w:b/>
          <w:bCs/>
          <w:sz w:val="24"/>
          <w:szCs w:val="24"/>
        </w:rPr>
      </w:pPr>
    </w:p>
    <w:p w14:paraId="1F072689" w14:textId="77777777" w:rsidR="005540CB" w:rsidRDefault="005540CB">
      <w:pPr>
        <w:rPr>
          <w:b/>
          <w:bCs/>
          <w:sz w:val="24"/>
          <w:szCs w:val="24"/>
        </w:rPr>
      </w:pPr>
    </w:p>
    <w:p w14:paraId="705E1455" w14:textId="77777777" w:rsidR="005540CB" w:rsidRDefault="00000000">
      <w:pPr>
        <w:rPr>
          <w:b/>
          <w:bCs/>
          <w:sz w:val="24"/>
          <w:szCs w:val="24"/>
        </w:rPr>
      </w:pPr>
      <w:r>
        <w:rPr>
          <w:b/>
          <w:bCs/>
          <w:sz w:val="24"/>
          <w:szCs w:val="24"/>
        </w:rPr>
        <w:lastRenderedPageBreak/>
        <w:t>RUBRICS FOR CALCULATION:</w:t>
      </w:r>
    </w:p>
    <w:p w14:paraId="643EF46B" w14:textId="77777777" w:rsidR="005540CB" w:rsidRDefault="005540CB">
      <w:pPr>
        <w:rPr>
          <w:sz w:val="24"/>
          <w:szCs w:val="24"/>
        </w:rPr>
      </w:pPr>
    </w:p>
    <w:tbl>
      <w:tblPr>
        <w:tblStyle w:val="a"/>
        <w:tblW w:w="990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9"/>
        <w:gridCol w:w="1228"/>
        <w:gridCol w:w="2268"/>
        <w:gridCol w:w="1985"/>
        <w:gridCol w:w="1701"/>
        <w:gridCol w:w="1384"/>
      </w:tblGrid>
      <w:tr w:rsidR="005540CB" w14:paraId="580D67A2" w14:textId="77777777">
        <w:trPr>
          <w:trHeight w:val="525"/>
        </w:trPr>
        <w:tc>
          <w:tcPr>
            <w:tcW w:w="1339" w:type="dxa"/>
            <w:vAlign w:val="bottom"/>
          </w:tcPr>
          <w:p w14:paraId="5E338A4E" w14:textId="77777777" w:rsidR="005540CB" w:rsidRDefault="00000000">
            <w:pPr>
              <w:spacing w:line="240" w:lineRule="auto"/>
              <w:jc w:val="center"/>
              <w:rPr>
                <w:b/>
                <w:bCs/>
                <w:color w:val="000000"/>
                <w:sz w:val="20"/>
                <w:szCs w:val="20"/>
              </w:rPr>
            </w:pPr>
            <w:r>
              <w:rPr>
                <w:b/>
                <w:bCs/>
                <w:color w:val="000000"/>
                <w:sz w:val="20"/>
                <w:szCs w:val="20"/>
              </w:rPr>
              <w:t>Criteria</w:t>
            </w:r>
          </w:p>
        </w:tc>
        <w:tc>
          <w:tcPr>
            <w:tcW w:w="1228" w:type="dxa"/>
            <w:vAlign w:val="bottom"/>
          </w:tcPr>
          <w:p w14:paraId="7A4DBF94" w14:textId="77777777" w:rsidR="005540CB" w:rsidRDefault="00000000">
            <w:pPr>
              <w:spacing w:line="240" w:lineRule="auto"/>
              <w:jc w:val="center"/>
              <w:rPr>
                <w:b/>
                <w:bCs/>
                <w:color w:val="000000"/>
                <w:sz w:val="20"/>
                <w:szCs w:val="20"/>
              </w:rPr>
            </w:pPr>
            <w:r>
              <w:rPr>
                <w:b/>
                <w:bCs/>
                <w:color w:val="000000"/>
                <w:sz w:val="20"/>
                <w:szCs w:val="20"/>
              </w:rPr>
              <w:t>Weightage (%)</w:t>
            </w:r>
          </w:p>
        </w:tc>
        <w:tc>
          <w:tcPr>
            <w:tcW w:w="2268" w:type="dxa"/>
            <w:vAlign w:val="bottom"/>
          </w:tcPr>
          <w:p w14:paraId="13BB8A87" w14:textId="77777777" w:rsidR="005540CB" w:rsidRDefault="00000000">
            <w:pPr>
              <w:spacing w:line="240" w:lineRule="auto"/>
              <w:jc w:val="center"/>
              <w:rPr>
                <w:b/>
                <w:bCs/>
                <w:color w:val="000000"/>
                <w:sz w:val="20"/>
                <w:szCs w:val="20"/>
              </w:rPr>
            </w:pPr>
            <w:r>
              <w:rPr>
                <w:b/>
                <w:bCs/>
                <w:color w:val="000000"/>
                <w:sz w:val="20"/>
                <w:szCs w:val="20"/>
              </w:rPr>
              <w:t>Level 4 (Exemplary)</w:t>
            </w:r>
          </w:p>
        </w:tc>
        <w:tc>
          <w:tcPr>
            <w:tcW w:w="1985" w:type="dxa"/>
            <w:vAlign w:val="bottom"/>
          </w:tcPr>
          <w:p w14:paraId="1CBE16F7" w14:textId="77777777" w:rsidR="005540CB" w:rsidRDefault="00000000">
            <w:pPr>
              <w:spacing w:line="240" w:lineRule="auto"/>
              <w:jc w:val="center"/>
              <w:rPr>
                <w:b/>
                <w:bCs/>
                <w:color w:val="000000"/>
                <w:sz w:val="20"/>
                <w:szCs w:val="20"/>
              </w:rPr>
            </w:pPr>
            <w:r>
              <w:rPr>
                <w:b/>
                <w:bCs/>
                <w:color w:val="000000"/>
                <w:sz w:val="20"/>
                <w:szCs w:val="20"/>
              </w:rPr>
              <w:t>Level 3 (Proficient)</w:t>
            </w:r>
          </w:p>
        </w:tc>
        <w:tc>
          <w:tcPr>
            <w:tcW w:w="1701" w:type="dxa"/>
            <w:vAlign w:val="bottom"/>
          </w:tcPr>
          <w:p w14:paraId="4383C4DE" w14:textId="77777777" w:rsidR="005540CB" w:rsidRDefault="00000000">
            <w:pPr>
              <w:spacing w:line="240" w:lineRule="auto"/>
              <w:jc w:val="center"/>
              <w:rPr>
                <w:b/>
                <w:bCs/>
                <w:color w:val="000000"/>
                <w:sz w:val="20"/>
                <w:szCs w:val="20"/>
              </w:rPr>
            </w:pPr>
            <w:r>
              <w:rPr>
                <w:b/>
                <w:bCs/>
                <w:color w:val="000000"/>
                <w:sz w:val="20"/>
                <w:szCs w:val="20"/>
              </w:rPr>
              <w:t>Level 2 (Developing)</w:t>
            </w:r>
          </w:p>
        </w:tc>
        <w:tc>
          <w:tcPr>
            <w:tcW w:w="1384" w:type="dxa"/>
            <w:vAlign w:val="bottom"/>
          </w:tcPr>
          <w:p w14:paraId="312448E6" w14:textId="77777777" w:rsidR="005540CB" w:rsidRDefault="00000000">
            <w:pPr>
              <w:spacing w:line="240" w:lineRule="auto"/>
              <w:jc w:val="center"/>
              <w:rPr>
                <w:b/>
                <w:bCs/>
                <w:color w:val="000000"/>
                <w:sz w:val="20"/>
                <w:szCs w:val="20"/>
              </w:rPr>
            </w:pPr>
            <w:r>
              <w:rPr>
                <w:b/>
                <w:bCs/>
                <w:color w:val="000000"/>
                <w:sz w:val="20"/>
                <w:szCs w:val="20"/>
              </w:rPr>
              <w:t>Level 1 (Beginning)</w:t>
            </w:r>
          </w:p>
        </w:tc>
      </w:tr>
      <w:tr w:rsidR="005540CB" w14:paraId="1D7E36EB" w14:textId="77777777">
        <w:trPr>
          <w:trHeight w:val="825"/>
        </w:trPr>
        <w:tc>
          <w:tcPr>
            <w:tcW w:w="1339" w:type="dxa"/>
            <w:vAlign w:val="bottom"/>
          </w:tcPr>
          <w:p w14:paraId="154DA804" w14:textId="77777777" w:rsidR="005540CB" w:rsidRDefault="00000000">
            <w:pPr>
              <w:spacing w:line="240" w:lineRule="auto"/>
              <w:rPr>
                <w:color w:val="000000"/>
                <w:sz w:val="20"/>
                <w:szCs w:val="20"/>
              </w:rPr>
            </w:pPr>
            <w:r>
              <w:rPr>
                <w:color w:val="000000"/>
                <w:sz w:val="20"/>
                <w:szCs w:val="20"/>
              </w:rPr>
              <w:t>Scope of Items</w:t>
            </w:r>
          </w:p>
        </w:tc>
        <w:tc>
          <w:tcPr>
            <w:tcW w:w="1228" w:type="dxa"/>
            <w:vAlign w:val="bottom"/>
          </w:tcPr>
          <w:p w14:paraId="5F336616" w14:textId="77777777" w:rsidR="005540CB" w:rsidRDefault="00000000">
            <w:pPr>
              <w:spacing w:line="240" w:lineRule="auto"/>
              <w:jc w:val="center"/>
              <w:rPr>
                <w:color w:val="000000"/>
                <w:sz w:val="20"/>
                <w:szCs w:val="20"/>
              </w:rPr>
            </w:pPr>
            <w:r>
              <w:rPr>
                <w:color w:val="000000"/>
                <w:sz w:val="20"/>
                <w:szCs w:val="20"/>
              </w:rPr>
              <w:t>20%</w:t>
            </w:r>
          </w:p>
        </w:tc>
        <w:tc>
          <w:tcPr>
            <w:tcW w:w="2268" w:type="dxa"/>
            <w:vAlign w:val="bottom"/>
          </w:tcPr>
          <w:p w14:paraId="51E04284" w14:textId="77777777" w:rsidR="005540CB" w:rsidRDefault="00000000">
            <w:pPr>
              <w:spacing w:line="240" w:lineRule="auto"/>
              <w:rPr>
                <w:color w:val="000000"/>
                <w:sz w:val="20"/>
                <w:szCs w:val="20"/>
              </w:rPr>
            </w:pPr>
            <w:r>
              <w:rPr>
                <w:color w:val="000000"/>
                <w:sz w:val="20"/>
                <w:szCs w:val="20"/>
              </w:rPr>
              <w:t>Selects highly relevant items with clear scope and justification</w:t>
            </w:r>
          </w:p>
        </w:tc>
        <w:tc>
          <w:tcPr>
            <w:tcW w:w="1985" w:type="dxa"/>
            <w:vAlign w:val="bottom"/>
          </w:tcPr>
          <w:p w14:paraId="2364AAB4" w14:textId="77777777" w:rsidR="005540CB" w:rsidRDefault="00000000">
            <w:pPr>
              <w:spacing w:line="240" w:lineRule="auto"/>
              <w:rPr>
                <w:color w:val="000000"/>
                <w:sz w:val="20"/>
                <w:szCs w:val="20"/>
              </w:rPr>
            </w:pPr>
            <w:r>
              <w:rPr>
                <w:color w:val="000000"/>
                <w:sz w:val="20"/>
                <w:szCs w:val="20"/>
              </w:rPr>
              <w:t>Selects appropriate items with minor gaps</w:t>
            </w:r>
          </w:p>
        </w:tc>
        <w:tc>
          <w:tcPr>
            <w:tcW w:w="1701" w:type="dxa"/>
            <w:vAlign w:val="bottom"/>
          </w:tcPr>
          <w:p w14:paraId="67F592AE" w14:textId="77777777" w:rsidR="005540CB" w:rsidRDefault="00000000">
            <w:pPr>
              <w:spacing w:line="240" w:lineRule="auto"/>
              <w:rPr>
                <w:color w:val="000000"/>
                <w:sz w:val="20"/>
                <w:szCs w:val="20"/>
              </w:rPr>
            </w:pPr>
            <w:r>
              <w:rPr>
                <w:color w:val="000000"/>
                <w:sz w:val="20"/>
                <w:szCs w:val="20"/>
              </w:rPr>
              <w:t>Selection is limited or partially relevant</w:t>
            </w:r>
          </w:p>
        </w:tc>
        <w:tc>
          <w:tcPr>
            <w:tcW w:w="1384" w:type="dxa"/>
            <w:vAlign w:val="bottom"/>
          </w:tcPr>
          <w:p w14:paraId="53090E80" w14:textId="77777777" w:rsidR="005540CB" w:rsidRDefault="00000000">
            <w:pPr>
              <w:spacing w:line="240" w:lineRule="auto"/>
              <w:rPr>
                <w:color w:val="000000"/>
                <w:sz w:val="20"/>
                <w:szCs w:val="20"/>
              </w:rPr>
            </w:pPr>
            <w:r>
              <w:rPr>
                <w:color w:val="000000"/>
                <w:sz w:val="20"/>
                <w:szCs w:val="20"/>
              </w:rPr>
              <w:t>Items are unclear or not relevant</w:t>
            </w:r>
          </w:p>
        </w:tc>
      </w:tr>
      <w:tr w:rsidR="005540CB" w14:paraId="773B1251" w14:textId="77777777">
        <w:trPr>
          <w:trHeight w:val="825"/>
        </w:trPr>
        <w:tc>
          <w:tcPr>
            <w:tcW w:w="1339" w:type="dxa"/>
            <w:vAlign w:val="bottom"/>
          </w:tcPr>
          <w:p w14:paraId="0E0D96DD" w14:textId="77777777" w:rsidR="005540CB" w:rsidRDefault="00000000">
            <w:pPr>
              <w:spacing w:line="240" w:lineRule="auto"/>
              <w:rPr>
                <w:color w:val="000000"/>
                <w:sz w:val="20"/>
                <w:szCs w:val="20"/>
              </w:rPr>
            </w:pPr>
            <w:r>
              <w:rPr>
                <w:color w:val="000000"/>
                <w:sz w:val="20"/>
                <w:szCs w:val="20"/>
              </w:rPr>
              <w:t>Comparison Depth</w:t>
            </w:r>
          </w:p>
        </w:tc>
        <w:tc>
          <w:tcPr>
            <w:tcW w:w="1228" w:type="dxa"/>
            <w:vAlign w:val="bottom"/>
          </w:tcPr>
          <w:p w14:paraId="3A614652" w14:textId="77777777" w:rsidR="005540CB" w:rsidRDefault="00000000">
            <w:pPr>
              <w:spacing w:line="240" w:lineRule="auto"/>
              <w:jc w:val="center"/>
              <w:rPr>
                <w:color w:val="000000"/>
                <w:sz w:val="20"/>
                <w:szCs w:val="20"/>
              </w:rPr>
            </w:pPr>
            <w:r>
              <w:rPr>
                <w:color w:val="000000"/>
                <w:sz w:val="20"/>
                <w:szCs w:val="20"/>
              </w:rPr>
              <w:t>25%</w:t>
            </w:r>
          </w:p>
        </w:tc>
        <w:tc>
          <w:tcPr>
            <w:tcW w:w="2268" w:type="dxa"/>
            <w:vAlign w:val="bottom"/>
          </w:tcPr>
          <w:p w14:paraId="40D38DCF" w14:textId="77777777" w:rsidR="005540CB" w:rsidRDefault="00000000">
            <w:pPr>
              <w:spacing w:line="240" w:lineRule="auto"/>
              <w:rPr>
                <w:color w:val="000000"/>
                <w:sz w:val="20"/>
                <w:szCs w:val="20"/>
              </w:rPr>
            </w:pPr>
            <w:r>
              <w:rPr>
                <w:color w:val="000000"/>
                <w:sz w:val="20"/>
                <w:szCs w:val="20"/>
              </w:rPr>
              <w:t>Provides detailed and comprehensive comparison across multiple aspects</w:t>
            </w:r>
          </w:p>
        </w:tc>
        <w:tc>
          <w:tcPr>
            <w:tcW w:w="1985" w:type="dxa"/>
            <w:vAlign w:val="bottom"/>
          </w:tcPr>
          <w:p w14:paraId="0EF405C2" w14:textId="77777777" w:rsidR="005540CB" w:rsidRDefault="00000000">
            <w:pPr>
              <w:spacing w:line="240" w:lineRule="auto"/>
              <w:rPr>
                <w:color w:val="000000"/>
                <w:sz w:val="20"/>
                <w:szCs w:val="20"/>
              </w:rPr>
            </w:pPr>
            <w:r>
              <w:rPr>
                <w:color w:val="000000"/>
                <w:sz w:val="20"/>
                <w:szCs w:val="20"/>
              </w:rPr>
              <w:t>Provides adequate comparison with some depth</w:t>
            </w:r>
          </w:p>
        </w:tc>
        <w:tc>
          <w:tcPr>
            <w:tcW w:w="1701" w:type="dxa"/>
            <w:vAlign w:val="bottom"/>
          </w:tcPr>
          <w:p w14:paraId="428DA8DC" w14:textId="77777777" w:rsidR="005540CB" w:rsidRDefault="00000000">
            <w:pPr>
              <w:spacing w:line="240" w:lineRule="auto"/>
              <w:rPr>
                <w:color w:val="000000"/>
                <w:sz w:val="20"/>
                <w:szCs w:val="20"/>
              </w:rPr>
            </w:pPr>
            <w:r>
              <w:rPr>
                <w:color w:val="000000"/>
                <w:sz w:val="20"/>
                <w:szCs w:val="20"/>
              </w:rPr>
              <w:t>Limited comparison with few aspects</w:t>
            </w:r>
          </w:p>
        </w:tc>
        <w:tc>
          <w:tcPr>
            <w:tcW w:w="1384" w:type="dxa"/>
            <w:vAlign w:val="bottom"/>
          </w:tcPr>
          <w:p w14:paraId="4F93E167" w14:textId="77777777" w:rsidR="005540CB" w:rsidRDefault="00000000">
            <w:pPr>
              <w:spacing w:line="240" w:lineRule="auto"/>
              <w:rPr>
                <w:color w:val="000000"/>
                <w:sz w:val="20"/>
                <w:szCs w:val="20"/>
              </w:rPr>
            </w:pPr>
            <w:r>
              <w:rPr>
                <w:color w:val="000000"/>
                <w:sz w:val="20"/>
                <w:szCs w:val="20"/>
              </w:rPr>
              <w:t>Very minimal or no comparison</w:t>
            </w:r>
          </w:p>
        </w:tc>
      </w:tr>
      <w:tr w:rsidR="005540CB" w14:paraId="08F8125A" w14:textId="77777777">
        <w:trPr>
          <w:trHeight w:val="825"/>
        </w:trPr>
        <w:tc>
          <w:tcPr>
            <w:tcW w:w="1339" w:type="dxa"/>
            <w:vAlign w:val="bottom"/>
          </w:tcPr>
          <w:p w14:paraId="303AAED4" w14:textId="77777777" w:rsidR="005540CB" w:rsidRDefault="00000000">
            <w:pPr>
              <w:spacing w:line="240" w:lineRule="auto"/>
              <w:rPr>
                <w:color w:val="000000"/>
                <w:sz w:val="20"/>
                <w:szCs w:val="20"/>
              </w:rPr>
            </w:pPr>
            <w:r>
              <w:rPr>
                <w:color w:val="000000"/>
                <w:sz w:val="20"/>
                <w:szCs w:val="20"/>
              </w:rPr>
              <w:t>Use of Evidence</w:t>
            </w:r>
          </w:p>
        </w:tc>
        <w:tc>
          <w:tcPr>
            <w:tcW w:w="1228" w:type="dxa"/>
            <w:vAlign w:val="bottom"/>
          </w:tcPr>
          <w:p w14:paraId="5651C92A" w14:textId="77777777" w:rsidR="005540CB" w:rsidRDefault="00000000">
            <w:pPr>
              <w:spacing w:line="240" w:lineRule="auto"/>
              <w:jc w:val="center"/>
              <w:rPr>
                <w:color w:val="000000"/>
                <w:sz w:val="20"/>
                <w:szCs w:val="20"/>
              </w:rPr>
            </w:pPr>
            <w:r>
              <w:rPr>
                <w:color w:val="000000"/>
                <w:sz w:val="20"/>
                <w:szCs w:val="20"/>
              </w:rPr>
              <w:t>20%</w:t>
            </w:r>
          </w:p>
        </w:tc>
        <w:tc>
          <w:tcPr>
            <w:tcW w:w="2268" w:type="dxa"/>
            <w:vAlign w:val="bottom"/>
          </w:tcPr>
          <w:p w14:paraId="1A9F3B68" w14:textId="77777777" w:rsidR="005540CB" w:rsidRDefault="00000000">
            <w:pPr>
              <w:spacing w:line="240" w:lineRule="auto"/>
              <w:rPr>
                <w:color w:val="000000"/>
                <w:sz w:val="20"/>
                <w:szCs w:val="20"/>
              </w:rPr>
            </w:pPr>
            <w:r>
              <w:rPr>
                <w:color w:val="000000"/>
                <w:sz w:val="20"/>
                <w:szCs w:val="20"/>
              </w:rPr>
              <w:t>Supports comparison with accurate data, examples, or references</w:t>
            </w:r>
          </w:p>
        </w:tc>
        <w:tc>
          <w:tcPr>
            <w:tcW w:w="1985" w:type="dxa"/>
            <w:vAlign w:val="bottom"/>
          </w:tcPr>
          <w:p w14:paraId="69B6D4E1" w14:textId="77777777" w:rsidR="005540CB" w:rsidRDefault="00000000">
            <w:pPr>
              <w:spacing w:line="240" w:lineRule="auto"/>
              <w:rPr>
                <w:color w:val="000000"/>
                <w:sz w:val="20"/>
                <w:szCs w:val="20"/>
              </w:rPr>
            </w:pPr>
            <w:r>
              <w:rPr>
                <w:color w:val="000000"/>
                <w:sz w:val="20"/>
                <w:szCs w:val="20"/>
              </w:rPr>
              <w:t>Uses some supporting evidence with minor gaps</w:t>
            </w:r>
          </w:p>
        </w:tc>
        <w:tc>
          <w:tcPr>
            <w:tcW w:w="1701" w:type="dxa"/>
            <w:vAlign w:val="bottom"/>
          </w:tcPr>
          <w:p w14:paraId="26119C3F" w14:textId="77777777" w:rsidR="005540CB" w:rsidRDefault="00000000">
            <w:pPr>
              <w:spacing w:line="240" w:lineRule="auto"/>
              <w:rPr>
                <w:color w:val="000000"/>
                <w:sz w:val="20"/>
                <w:szCs w:val="20"/>
              </w:rPr>
            </w:pPr>
            <w:r>
              <w:rPr>
                <w:color w:val="000000"/>
                <w:sz w:val="20"/>
                <w:szCs w:val="20"/>
              </w:rPr>
              <w:t>Limited or weak supporting evidence</w:t>
            </w:r>
          </w:p>
        </w:tc>
        <w:tc>
          <w:tcPr>
            <w:tcW w:w="1384" w:type="dxa"/>
            <w:vAlign w:val="bottom"/>
          </w:tcPr>
          <w:p w14:paraId="0CA3F4EE" w14:textId="77777777" w:rsidR="005540CB" w:rsidRDefault="00000000">
            <w:pPr>
              <w:spacing w:line="240" w:lineRule="auto"/>
              <w:rPr>
                <w:color w:val="000000"/>
                <w:sz w:val="20"/>
                <w:szCs w:val="20"/>
              </w:rPr>
            </w:pPr>
            <w:r>
              <w:rPr>
                <w:color w:val="000000"/>
                <w:sz w:val="20"/>
                <w:szCs w:val="20"/>
              </w:rPr>
              <w:t>No supporting evidence provided</w:t>
            </w:r>
          </w:p>
        </w:tc>
      </w:tr>
      <w:tr w:rsidR="005540CB" w14:paraId="2EDD0E7F" w14:textId="77777777">
        <w:trPr>
          <w:trHeight w:val="825"/>
        </w:trPr>
        <w:tc>
          <w:tcPr>
            <w:tcW w:w="1339" w:type="dxa"/>
            <w:vAlign w:val="bottom"/>
          </w:tcPr>
          <w:p w14:paraId="2FE4A98A" w14:textId="77777777" w:rsidR="005540CB" w:rsidRDefault="00000000">
            <w:pPr>
              <w:spacing w:line="240" w:lineRule="auto"/>
              <w:rPr>
                <w:color w:val="000000"/>
                <w:sz w:val="20"/>
                <w:szCs w:val="20"/>
              </w:rPr>
            </w:pPr>
            <w:r>
              <w:rPr>
                <w:color w:val="000000"/>
                <w:sz w:val="20"/>
                <w:szCs w:val="20"/>
              </w:rPr>
              <w:t>Critical Thinking</w:t>
            </w:r>
          </w:p>
        </w:tc>
        <w:tc>
          <w:tcPr>
            <w:tcW w:w="1228" w:type="dxa"/>
            <w:vAlign w:val="bottom"/>
          </w:tcPr>
          <w:p w14:paraId="7248D85D" w14:textId="77777777" w:rsidR="005540CB" w:rsidRDefault="00000000">
            <w:pPr>
              <w:spacing w:line="240" w:lineRule="auto"/>
              <w:jc w:val="center"/>
              <w:rPr>
                <w:color w:val="000000"/>
                <w:sz w:val="20"/>
                <w:szCs w:val="20"/>
              </w:rPr>
            </w:pPr>
            <w:r>
              <w:rPr>
                <w:color w:val="000000"/>
                <w:sz w:val="20"/>
                <w:szCs w:val="20"/>
              </w:rPr>
              <w:t>20%</w:t>
            </w:r>
          </w:p>
        </w:tc>
        <w:tc>
          <w:tcPr>
            <w:tcW w:w="2268" w:type="dxa"/>
            <w:vAlign w:val="bottom"/>
          </w:tcPr>
          <w:p w14:paraId="6FA161B1" w14:textId="77777777" w:rsidR="005540CB" w:rsidRDefault="00000000">
            <w:pPr>
              <w:spacing w:line="240" w:lineRule="auto"/>
              <w:rPr>
                <w:color w:val="000000"/>
                <w:sz w:val="20"/>
                <w:szCs w:val="20"/>
              </w:rPr>
            </w:pPr>
            <w:r>
              <w:rPr>
                <w:color w:val="000000"/>
                <w:sz w:val="20"/>
                <w:szCs w:val="20"/>
              </w:rPr>
              <w:t>Demonstrates strong critical thinking with clear interpretation and reasoning</w:t>
            </w:r>
          </w:p>
        </w:tc>
        <w:tc>
          <w:tcPr>
            <w:tcW w:w="1985" w:type="dxa"/>
            <w:vAlign w:val="bottom"/>
          </w:tcPr>
          <w:p w14:paraId="1D2DB186" w14:textId="77777777" w:rsidR="005540CB" w:rsidRDefault="00000000">
            <w:pPr>
              <w:spacing w:line="240" w:lineRule="auto"/>
              <w:rPr>
                <w:color w:val="000000"/>
                <w:sz w:val="20"/>
                <w:szCs w:val="20"/>
              </w:rPr>
            </w:pPr>
            <w:r>
              <w:rPr>
                <w:color w:val="000000"/>
                <w:sz w:val="20"/>
                <w:szCs w:val="20"/>
              </w:rPr>
              <w:t>Shows reasonable interpretation with minor gaps</w:t>
            </w:r>
          </w:p>
        </w:tc>
        <w:tc>
          <w:tcPr>
            <w:tcW w:w="1701" w:type="dxa"/>
            <w:vAlign w:val="bottom"/>
          </w:tcPr>
          <w:p w14:paraId="7D001CA5" w14:textId="77777777" w:rsidR="005540CB" w:rsidRDefault="00000000">
            <w:pPr>
              <w:spacing w:line="240" w:lineRule="auto"/>
              <w:rPr>
                <w:color w:val="000000"/>
                <w:sz w:val="20"/>
                <w:szCs w:val="20"/>
              </w:rPr>
            </w:pPr>
            <w:r>
              <w:rPr>
                <w:color w:val="000000"/>
                <w:sz w:val="20"/>
                <w:szCs w:val="20"/>
              </w:rPr>
              <w:t>Basic interpretation; lacks depth</w:t>
            </w:r>
          </w:p>
        </w:tc>
        <w:tc>
          <w:tcPr>
            <w:tcW w:w="1384" w:type="dxa"/>
            <w:vAlign w:val="bottom"/>
          </w:tcPr>
          <w:p w14:paraId="0857E446" w14:textId="77777777" w:rsidR="005540CB" w:rsidRDefault="00000000">
            <w:pPr>
              <w:spacing w:line="240" w:lineRule="auto"/>
              <w:rPr>
                <w:color w:val="000000"/>
                <w:sz w:val="20"/>
                <w:szCs w:val="20"/>
              </w:rPr>
            </w:pPr>
            <w:r>
              <w:rPr>
                <w:color w:val="000000"/>
                <w:sz w:val="20"/>
                <w:szCs w:val="20"/>
              </w:rPr>
              <w:t>No meaningful interpretation</w:t>
            </w:r>
          </w:p>
        </w:tc>
      </w:tr>
      <w:tr w:rsidR="005540CB" w14:paraId="110F59E9" w14:textId="77777777">
        <w:trPr>
          <w:trHeight w:val="825"/>
        </w:trPr>
        <w:tc>
          <w:tcPr>
            <w:tcW w:w="1339" w:type="dxa"/>
            <w:vAlign w:val="bottom"/>
          </w:tcPr>
          <w:p w14:paraId="7181F966" w14:textId="77777777" w:rsidR="005540CB" w:rsidRDefault="00000000">
            <w:pPr>
              <w:spacing w:line="240" w:lineRule="auto"/>
              <w:rPr>
                <w:color w:val="000000"/>
                <w:sz w:val="20"/>
                <w:szCs w:val="20"/>
              </w:rPr>
            </w:pPr>
            <w:r>
              <w:rPr>
                <w:color w:val="000000"/>
                <w:sz w:val="20"/>
                <w:szCs w:val="20"/>
              </w:rPr>
              <w:t>Clarity of Presentation</w:t>
            </w:r>
          </w:p>
        </w:tc>
        <w:tc>
          <w:tcPr>
            <w:tcW w:w="1228" w:type="dxa"/>
            <w:vAlign w:val="bottom"/>
          </w:tcPr>
          <w:p w14:paraId="2249A109" w14:textId="77777777" w:rsidR="005540CB" w:rsidRDefault="00000000">
            <w:pPr>
              <w:spacing w:line="240" w:lineRule="auto"/>
              <w:jc w:val="center"/>
              <w:rPr>
                <w:color w:val="000000"/>
                <w:sz w:val="20"/>
                <w:szCs w:val="20"/>
              </w:rPr>
            </w:pPr>
            <w:r>
              <w:rPr>
                <w:color w:val="000000"/>
                <w:sz w:val="20"/>
                <w:szCs w:val="20"/>
              </w:rPr>
              <w:t>15%</w:t>
            </w:r>
          </w:p>
        </w:tc>
        <w:tc>
          <w:tcPr>
            <w:tcW w:w="2268" w:type="dxa"/>
            <w:vAlign w:val="bottom"/>
          </w:tcPr>
          <w:p w14:paraId="7DB3AE28" w14:textId="77777777" w:rsidR="005540CB" w:rsidRDefault="00000000">
            <w:pPr>
              <w:spacing w:line="240" w:lineRule="auto"/>
              <w:rPr>
                <w:color w:val="000000"/>
                <w:sz w:val="20"/>
                <w:szCs w:val="20"/>
              </w:rPr>
            </w:pPr>
            <w:r>
              <w:rPr>
                <w:color w:val="000000"/>
                <w:sz w:val="20"/>
                <w:szCs w:val="20"/>
              </w:rPr>
              <w:t>Well-organized, clear, and logically structured presentation</w:t>
            </w:r>
          </w:p>
        </w:tc>
        <w:tc>
          <w:tcPr>
            <w:tcW w:w="1985" w:type="dxa"/>
            <w:vAlign w:val="bottom"/>
          </w:tcPr>
          <w:p w14:paraId="712D3734" w14:textId="77777777" w:rsidR="005540CB" w:rsidRDefault="00000000">
            <w:pPr>
              <w:spacing w:line="240" w:lineRule="auto"/>
              <w:rPr>
                <w:color w:val="000000"/>
                <w:sz w:val="20"/>
                <w:szCs w:val="20"/>
              </w:rPr>
            </w:pPr>
            <w:r>
              <w:rPr>
                <w:color w:val="000000"/>
                <w:sz w:val="20"/>
                <w:szCs w:val="20"/>
              </w:rPr>
              <w:t>Generally clear with minor issues</w:t>
            </w:r>
          </w:p>
        </w:tc>
        <w:tc>
          <w:tcPr>
            <w:tcW w:w="1701" w:type="dxa"/>
            <w:vAlign w:val="bottom"/>
          </w:tcPr>
          <w:p w14:paraId="6EABBDB3" w14:textId="77777777" w:rsidR="005540CB" w:rsidRDefault="00000000">
            <w:pPr>
              <w:spacing w:line="240" w:lineRule="auto"/>
              <w:rPr>
                <w:color w:val="000000"/>
                <w:sz w:val="20"/>
                <w:szCs w:val="20"/>
              </w:rPr>
            </w:pPr>
            <w:r>
              <w:rPr>
                <w:color w:val="000000"/>
                <w:sz w:val="20"/>
                <w:szCs w:val="20"/>
              </w:rPr>
              <w:t>Somewhat unclear or poorly structured</w:t>
            </w:r>
          </w:p>
        </w:tc>
        <w:tc>
          <w:tcPr>
            <w:tcW w:w="1384" w:type="dxa"/>
            <w:vAlign w:val="bottom"/>
          </w:tcPr>
          <w:p w14:paraId="4D9966F3" w14:textId="77777777" w:rsidR="005540CB" w:rsidRDefault="00000000">
            <w:pPr>
              <w:spacing w:line="240" w:lineRule="auto"/>
              <w:rPr>
                <w:color w:val="000000"/>
                <w:sz w:val="20"/>
                <w:szCs w:val="20"/>
              </w:rPr>
            </w:pPr>
            <w:r>
              <w:rPr>
                <w:color w:val="000000"/>
                <w:sz w:val="20"/>
                <w:szCs w:val="20"/>
              </w:rPr>
              <w:t>Disorganized and difficult to understand</w:t>
            </w:r>
          </w:p>
        </w:tc>
      </w:tr>
    </w:tbl>
    <w:p w14:paraId="14F90D20" w14:textId="77777777" w:rsidR="005540CB" w:rsidRDefault="005540CB">
      <w:pPr>
        <w:rPr>
          <w:b/>
          <w:bCs/>
          <w:sz w:val="34"/>
          <w:szCs w:val="34"/>
        </w:rPr>
      </w:pPr>
    </w:p>
    <w:sectPr w:rsidR="005540CB">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C4DF6C3-4142-43DB-9F50-D8560A247569}"/>
  </w:font>
  <w:font w:name="Cambria">
    <w:panose1 w:val="02040503050406030204"/>
    <w:charset w:val="00"/>
    <w:family w:val="roman"/>
    <w:pitch w:val="variable"/>
    <w:sig w:usb0="E00006FF" w:usb1="420024FF" w:usb2="02000000" w:usb3="00000000" w:csb0="0000019F" w:csb1="00000000"/>
    <w:embedRegular r:id="rId2" w:fontKey="{F7A791D9-24DF-484A-B4E1-D184F6C7D9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B42B4C"/>
    <w:multiLevelType w:val="multilevel"/>
    <w:tmpl w:val="E0C699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97567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0CB"/>
    <w:rsid w:val="005540CB"/>
    <w:rsid w:val="006E58A8"/>
    <w:rsid w:val="00EF4E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76BDE"/>
  <w15:docId w15:val="{C7EC0A96-E951-4FB6-B69D-10AF8BCF4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Tn6mey5AVWFfJTgiMbvH2kFSSg==">CgMxLjA4AHIhMTV5SEpCTEtxMnowTlBMT2gxaUdLTldQb1dDOHllMldh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1690</Words>
  <Characters>9633</Characters>
  <Application>Microsoft Office Word</Application>
  <DocSecurity>0</DocSecurity>
  <Lines>80</Lines>
  <Paragraphs>22</Paragraphs>
  <ScaleCrop>false</ScaleCrop>
  <Company/>
  <LinksUpToDate>false</LinksUpToDate>
  <CharactersWithSpaces>11301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Sweta R</dc:creator>
  <cp:lastModifiedBy>SWETA R</cp:lastModifiedBy>
  <cp:revision>2</cp:revision>
  <dcterms:created xsi:type="dcterms:W3CDTF">2026-08-25T15:39:00Z</dcterms:created>
  <dcterms:modified xsi:type="dcterms:W3CDTF">2026-08-25T15:39:00Z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1c7c161d-a2fe-43fe-bbca-02dd06a9de2a</vt:lpwstr>
  </property>
</Properties>
</file>