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756A" w14:textId="190191E0" w:rsidR="00273759" w:rsidRPr="00273759" w:rsidRDefault="00273759" w:rsidP="002737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273759">
        <w:rPr>
          <w:rFonts w:ascii="Times New Roman" w:hAnsi="Times New Roman" w:cs="Times New Roman"/>
          <w:b/>
          <w:bCs/>
          <w:sz w:val="32"/>
          <w:szCs w:val="32"/>
        </w:rPr>
        <w:t>Performance Analysis of IIR Filters</w:t>
      </w:r>
    </w:p>
    <w:p w14:paraId="1258BF56" w14:textId="26F98EFC" w:rsidR="00B32FE5" w:rsidRPr="00273759" w:rsidRDefault="00273759" w:rsidP="002737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3.1 Design and Comparative Analysis of Butterworth and Chebyshev Type-I IIR Band-Pass Filters Using MATLAB</w:t>
      </w:r>
    </w:p>
    <w:p w14:paraId="786EA795" w14:textId="67693BA3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Program(MATLAB Code)</w:t>
      </w:r>
    </w:p>
    <w:p w14:paraId="70DA2FEA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clc</w:t>
      </w:r>
      <w:proofErr w:type="spellEnd"/>
      <w:r w:rsidRPr="00273759">
        <w:rPr>
          <w:rFonts w:ascii="Times New Roman" w:hAnsi="Times New Roman" w:cs="Times New Roman"/>
        </w:rPr>
        <w:t xml:space="preserve">; clear; close all; </w:t>
      </w:r>
    </w:p>
    <w:p w14:paraId="7D6D0A6E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Specifications </w:t>
      </w:r>
    </w:p>
    <w:p w14:paraId="5B3629DA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Fs=2000; Rp=1; Rs=40; </w:t>
      </w:r>
    </w:p>
    <w:p w14:paraId="47F06ED4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Wp</w:t>
      </w:r>
      <w:proofErr w:type="spellEnd"/>
      <w:r w:rsidRPr="00273759">
        <w:rPr>
          <w:rFonts w:ascii="Times New Roman" w:hAnsi="Times New Roman" w:cs="Times New Roman"/>
        </w:rPr>
        <w:t xml:space="preserve">=[300 600]/(Fs/2); </w:t>
      </w:r>
    </w:p>
    <w:p w14:paraId="6DD8A4A9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Ws</w:t>
      </w:r>
      <w:proofErr w:type="spellEnd"/>
      <w:r w:rsidRPr="00273759">
        <w:rPr>
          <w:rFonts w:ascii="Times New Roman" w:hAnsi="Times New Roman" w:cs="Times New Roman"/>
        </w:rPr>
        <w:t xml:space="preserve">=[200 700]/(Fs/2); </w:t>
      </w:r>
    </w:p>
    <w:p w14:paraId="2B31EBF2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Butterworth Filter </w:t>
      </w:r>
    </w:p>
    <w:p w14:paraId="353562D4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[n1,W1]=</w:t>
      </w:r>
      <w:proofErr w:type="spellStart"/>
      <w:r w:rsidRPr="00273759">
        <w:rPr>
          <w:rFonts w:ascii="Times New Roman" w:hAnsi="Times New Roman" w:cs="Times New Roman"/>
        </w:rPr>
        <w:t>buttord</w:t>
      </w:r>
      <w:proofErr w:type="spellEnd"/>
      <w:r w:rsidRPr="00273759">
        <w:rPr>
          <w:rFonts w:ascii="Times New Roman" w:hAnsi="Times New Roman" w:cs="Times New Roman"/>
        </w:rPr>
        <w:t>(</w:t>
      </w:r>
      <w:proofErr w:type="spellStart"/>
      <w:r w:rsidRPr="00273759">
        <w:rPr>
          <w:rFonts w:ascii="Times New Roman" w:hAnsi="Times New Roman" w:cs="Times New Roman"/>
        </w:rPr>
        <w:t>Wp,Ws,Rp,Rs</w:t>
      </w:r>
      <w:proofErr w:type="spellEnd"/>
      <w:r w:rsidRPr="00273759">
        <w:rPr>
          <w:rFonts w:ascii="Times New Roman" w:hAnsi="Times New Roman" w:cs="Times New Roman"/>
        </w:rPr>
        <w:t xml:space="preserve">); </w:t>
      </w:r>
    </w:p>
    <w:p w14:paraId="5C1D3688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[b1,a1]=butter(n1,W1,'bandpass'); </w:t>
      </w:r>
    </w:p>
    <w:p w14:paraId="67C1DF3D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Chebyshev Type-I Filter </w:t>
      </w:r>
    </w:p>
    <w:p w14:paraId="139E0D37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[n2,W2]=cheb1ord(</w:t>
      </w:r>
      <w:proofErr w:type="spellStart"/>
      <w:r w:rsidRPr="00273759">
        <w:rPr>
          <w:rFonts w:ascii="Times New Roman" w:hAnsi="Times New Roman" w:cs="Times New Roman"/>
        </w:rPr>
        <w:t>Wp,Ws,Rp,Rs</w:t>
      </w:r>
      <w:proofErr w:type="spellEnd"/>
      <w:r w:rsidRPr="00273759">
        <w:rPr>
          <w:rFonts w:ascii="Times New Roman" w:hAnsi="Times New Roman" w:cs="Times New Roman"/>
        </w:rPr>
        <w:t xml:space="preserve">); </w:t>
      </w:r>
    </w:p>
    <w:p w14:paraId="316DB998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[b2,a2]=cheby1(n2,Rp,W2,'bandpass'); </w:t>
      </w:r>
    </w:p>
    <w:p w14:paraId="5975C20D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Magnitude Response </w:t>
      </w:r>
    </w:p>
    <w:p w14:paraId="15A251A7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figure; </w:t>
      </w:r>
    </w:p>
    <w:p w14:paraId="0F2340D9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freqz</w:t>
      </w:r>
      <w:proofErr w:type="spellEnd"/>
      <w:r w:rsidRPr="00273759">
        <w:rPr>
          <w:rFonts w:ascii="Times New Roman" w:hAnsi="Times New Roman" w:cs="Times New Roman"/>
        </w:rPr>
        <w:t xml:space="preserve">(b1,a1); title('Butterworth Filter'); </w:t>
      </w:r>
    </w:p>
    <w:p w14:paraId="567B7BC1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figure; </w:t>
      </w:r>
    </w:p>
    <w:p w14:paraId="5A477A6C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freqz</w:t>
      </w:r>
      <w:proofErr w:type="spellEnd"/>
      <w:r w:rsidRPr="00273759">
        <w:rPr>
          <w:rFonts w:ascii="Times New Roman" w:hAnsi="Times New Roman" w:cs="Times New Roman"/>
        </w:rPr>
        <w:t xml:space="preserve">(b2,a2); title('Chebyshev Type-I Filter'); </w:t>
      </w:r>
    </w:p>
    <w:p w14:paraId="03305CE0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Group Delay </w:t>
      </w:r>
    </w:p>
    <w:p w14:paraId="7167B678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figure; </w:t>
      </w:r>
    </w:p>
    <w:p w14:paraId="32D0032C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grpdelay</w:t>
      </w:r>
      <w:proofErr w:type="spellEnd"/>
      <w:r w:rsidRPr="00273759">
        <w:rPr>
          <w:rFonts w:ascii="Times New Roman" w:hAnsi="Times New Roman" w:cs="Times New Roman"/>
        </w:rPr>
        <w:t xml:space="preserve">(b1,a1); hold on; </w:t>
      </w:r>
    </w:p>
    <w:p w14:paraId="711676D7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grpdelay</w:t>
      </w:r>
      <w:proofErr w:type="spellEnd"/>
      <w:r w:rsidRPr="00273759">
        <w:rPr>
          <w:rFonts w:ascii="Times New Roman" w:hAnsi="Times New Roman" w:cs="Times New Roman"/>
        </w:rPr>
        <w:t xml:space="preserve">(b2,a2); </w:t>
      </w:r>
    </w:p>
    <w:p w14:paraId="05D9F75E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legend('</w:t>
      </w:r>
      <w:proofErr w:type="spellStart"/>
      <w:r w:rsidRPr="00273759">
        <w:rPr>
          <w:rFonts w:ascii="Times New Roman" w:hAnsi="Times New Roman" w:cs="Times New Roman"/>
        </w:rPr>
        <w:t>Butterworth','Chebyshev</w:t>
      </w:r>
      <w:proofErr w:type="spellEnd"/>
      <w:r w:rsidRPr="00273759">
        <w:rPr>
          <w:rFonts w:ascii="Times New Roman" w:hAnsi="Times New Roman" w:cs="Times New Roman"/>
        </w:rPr>
        <w:t xml:space="preserve">-I'); </w:t>
      </w:r>
    </w:p>
    <w:p w14:paraId="15F37BEF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Pole-Zero Plot </w:t>
      </w:r>
    </w:p>
    <w:p w14:paraId="38E64ECD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figure; </w:t>
      </w:r>
    </w:p>
    <w:p w14:paraId="7669D32E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subplot(121),</w:t>
      </w:r>
      <w:proofErr w:type="spellStart"/>
      <w:r w:rsidRPr="00273759">
        <w:rPr>
          <w:rFonts w:ascii="Times New Roman" w:hAnsi="Times New Roman" w:cs="Times New Roman"/>
        </w:rPr>
        <w:t>zplane</w:t>
      </w:r>
      <w:proofErr w:type="spellEnd"/>
      <w:r w:rsidRPr="00273759">
        <w:rPr>
          <w:rFonts w:ascii="Times New Roman" w:hAnsi="Times New Roman" w:cs="Times New Roman"/>
        </w:rPr>
        <w:t xml:space="preserve">(b1,a1),title('Butterworth') </w:t>
      </w:r>
    </w:p>
    <w:p w14:paraId="54D77B34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subplot(122),</w:t>
      </w:r>
      <w:proofErr w:type="spellStart"/>
      <w:r w:rsidRPr="00273759">
        <w:rPr>
          <w:rFonts w:ascii="Times New Roman" w:hAnsi="Times New Roman" w:cs="Times New Roman"/>
        </w:rPr>
        <w:t>zplane</w:t>
      </w:r>
      <w:proofErr w:type="spellEnd"/>
      <w:r w:rsidRPr="00273759">
        <w:rPr>
          <w:rFonts w:ascii="Times New Roman" w:hAnsi="Times New Roman" w:cs="Times New Roman"/>
        </w:rPr>
        <w:t xml:space="preserve">(b2,a2),title('Chebyshev-I') </w:t>
      </w:r>
    </w:p>
    <w:p w14:paraId="699E5E84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lastRenderedPageBreak/>
        <w:t xml:space="preserve">% Impulse Response </w:t>
      </w:r>
    </w:p>
    <w:p w14:paraId="7B9CEBFB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figure; </w:t>
      </w:r>
    </w:p>
    <w:p w14:paraId="4E15E9F4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subplot(211),</w:t>
      </w:r>
      <w:proofErr w:type="spellStart"/>
      <w:r w:rsidRPr="00273759">
        <w:rPr>
          <w:rFonts w:ascii="Times New Roman" w:hAnsi="Times New Roman" w:cs="Times New Roman"/>
        </w:rPr>
        <w:t>impz</w:t>
      </w:r>
      <w:proofErr w:type="spellEnd"/>
      <w:r w:rsidRPr="00273759">
        <w:rPr>
          <w:rFonts w:ascii="Times New Roman" w:hAnsi="Times New Roman" w:cs="Times New Roman"/>
        </w:rPr>
        <w:t xml:space="preserve">(b1,a1),title('Butterworth Impulse') </w:t>
      </w:r>
    </w:p>
    <w:p w14:paraId="39BD1387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subplot(212),</w:t>
      </w:r>
      <w:proofErr w:type="spellStart"/>
      <w:r w:rsidRPr="00273759">
        <w:rPr>
          <w:rFonts w:ascii="Times New Roman" w:hAnsi="Times New Roman" w:cs="Times New Roman"/>
        </w:rPr>
        <w:t>impz</w:t>
      </w:r>
      <w:proofErr w:type="spellEnd"/>
      <w:r w:rsidRPr="00273759">
        <w:rPr>
          <w:rFonts w:ascii="Times New Roman" w:hAnsi="Times New Roman" w:cs="Times New Roman"/>
        </w:rPr>
        <w:t xml:space="preserve">(b2,a2),title('Chebyshev Impulse') </w:t>
      </w:r>
    </w:p>
    <w:p w14:paraId="25A2EC60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% Pole Magnitude </w:t>
      </w:r>
    </w:p>
    <w:p w14:paraId="7652D98A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figure; </w:t>
      </w:r>
    </w:p>
    <w:p w14:paraId="63708BF3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subplot(121),stem(abs(roots(a1)),'filled') </w:t>
      </w:r>
    </w:p>
    <w:p w14:paraId="6FB5DD30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title('Butterworth Pole Magnitude') </w:t>
      </w:r>
    </w:p>
    <w:p w14:paraId="2EF37A91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subplot(122),stem(abs(roots(a2)),'filled') </w:t>
      </w:r>
    </w:p>
    <w:p w14:paraId="4DB1D787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title('Chebyshev Pole Magnitude') </w:t>
      </w:r>
    </w:p>
    <w:p w14:paraId="3AA6417E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disp</w:t>
      </w:r>
      <w:proofErr w:type="spellEnd"/>
      <w:r w:rsidRPr="00273759">
        <w:rPr>
          <w:rFonts w:ascii="Times New Roman" w:hAnsi="Times New Roman" w:cs="Times New Roman"/>
        </w:rPr>
        <w:t xml:space="preserve">(['Butterworth Order = ',num2str(n1)]) </w:t>
      </w:r>
    </w:p>
    <w:p w14:paraId="172B4462" w14:textId="77777777" w:rsidR="00273759" w:rsidRPr="00273759" w:rsidRDefault="00273759" w:rsidP="00273759">
      <w:pPr>
        <w:rPr>
          <w:rFonts w:ascii="Times New Roman" w:hAnsi="Times New Roman" w:cs="Times New Roman"/>
        </w:rPr>
      </w:pPr>
      <w:proofErr w:type="spellStart"/>
      <w:r w:rsidRPr="00273759">
        <w:rPr>
          <w:rFonts w:ascii="Times New Roman" w:hAnsi="Times New Roman" w:cs="Times New Roman"/>
        </w:rPr>
        <w:t>disp</w:t>
      </w:r>
      <w:proofErr w:type="spellEnd"/>
      <w:r w:rsidRPr="00273759">
        <w:rPr>
          <w:rFonts w:ascii="Times New Roman" w:hAnsi="Times New Roman" w:cs="Times New Roman"/>
        </w:rPr>
        <w:t>(['Chebyshev Order = ',num2str(n2)])</w:t>
      </w:r>
    </w:p>
    <w:p w14:paraId="22E47769" w14:textId="6F162752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A8C8B3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Butterworth Order = 9</w:t>
      </w:r>
      <w:r w:rsidRPr="00273759">
        <w:rPr>
          <w:rFonts w:ascii="Times New Roman" w:hAnsi="Times New Roman" w:cs="Times New Roman"/>
        </w:rPr>
        <w:br/>
        <w:t>Chebyshev Order = 5</w:t>
      </w:r>
    </w:p>
    <w:p w14:paraId="1956A5C3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841DD8" w14:textId="52FB9A2E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Fig 1</w:t>
      </w:r>
    </w:p>
    <w:p w14:paraId="3A2A414C" w14:textId="4417EEA0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noProof/>
        </w:rPr>
        <w:drawing>
          <wp:inline distT="0" distB="0" distL="0" distR="0" wp14:anchorId="44339E9D" wp14:editId="2AF461C3">
            <wp:extent cx="5731510" cy="3223895"/>
            <wp:effectExtent l="0" t="0" r="2540" b="0"/>
            <wp:docPr id="75222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B454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D7AC9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1BC23" w14:textId="3F723D11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Fig 2</w:t>
      </w:r>
    </w:p>
    <w:p w14:paraId="19EE2723" w14:textId="7DCAB9CF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noProof/>
        </w:rPr>
        <w:drawing>
          <wp:inline distT="0" distB="0" distL="0" distR="0" wp14:anchorId="26C78CB1" wp14:editId="701684DF">
            <wp:extent cx="5731510" cy="3223895"/>
            <wp:effectExtent l="0" t="0" r="2540" b="0"/>
            <wp:docPr id="1111892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A07AE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1BFC5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A8237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AECD08" w14:textId="5136E70B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Fig 3</w:t>
      </w:r>
    </w:p>
    <w:p w14:paraId="29B118F2" w14:textId="34D5A172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noProof/>
        </w:rPr>
        <w:drawing>
          <wp:inline distT="0" distB="0" distL="0" distR="0" wp14:anchorId="48340489" wp14:editId="7A14192B">
            <wp:extent cx="5731510" cy="3223895"/>
            <wp:effectExtent l="0" t="0" r="2540" b="0"/>
            <wp:docPr id="2044887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48D3" w14:textId="6BF3BB90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4</w:t>
      </w:r>
    </w:p>
    <w:p w14:paraId="7C1C4BA1" w14:textId="2BE60F7C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noProof/>
        </w:rPr>
        <w:drawing>
          <wp:inline distT="0" distB="0" distL="0" distR="0" wp14:anchorId="758BBA10" wp14:editId="52EA1AD4">
            <wp:extent cx="5731510" cy="3223895"/>
            <wp:effectExtent l="0" t="0" r="2540" b="0"/>
            <wp:docPr id="1492335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81C8A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5D8756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A95EF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7EB49" w14:textId="1C984B29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Fig 5</w:t>
      </w:r>
    </w:p>
    <w:p w14:paraId="5F10B4EB" w14:textId="06CD229E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noProof/>
        </w:rPr>
        <w:drawing>
          <wp:inline distT="0" distB="0" distL="0" distR="0" wp14:anchorId="5101F277" wp14:editId="5541A880">
            <wp:extent cx="5731510" cy="3223895"/>
            <wp:effectExtent l="0" t="0" r="2540" b="0"/>
            <wp:docPr id="3827817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F1F7E" w14:textId="77777777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12C6A" w14:textId="18A71EA3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lastRenderedPageBreak/>
        <w:t>Fig 6</w:t>
      </w:r>
    </w:p>
    <w:p w14:paraId="5CBE10D4" w14:textId="04F5575F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noProof/>
        </w:rPr>
        <w:drawing>
          <wp:inline distT="0" distB="0" distL="0" distR="0" wp14:anchorId="45B7FF0A" wp14:editId="6C46052E">
            <wp:extent cx="5731510" cy="3223895"/>
            <wp:effectExtent l="0" t="0" r="2540" b="0"/>
            <wp:docPr id="1476834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4D9C" w14:textId="295C2845" w:rsidR="00273759" w:rsidRPr="00273759" w:rsidRDefault="00273759" w:rsidP="00273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3759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DD4C174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1. Butterworth and Chebyshev Type-I IIR Band-Pass Filters were successfully designed and implemented in MATLAB. </w:t>
      </w:r>
    </w:p>
    <w:p w14:paraId="7C116E0A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 xml:space="preserve">2. The minimum filter orders and cutoff frequencies were obtained for both filters. </w:t>
      </w:r>
    </w:p>
    <w:p w14:paraId="731A4CA7" w14:textId="77777777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3. The frequency responses were analy</w:t>
      </w:r>
      <w:r w:rsidRPr="00273759">
        <w:rPr>
          <w:rFonts w:ascii="Times New Roman" w:hAnsi="Times New Roman" w:cs="Times New Roman"/>
        </w:rPr>
        <w:t>s</w:t>
      </w:r>
      <w:r w:rsidRPr="00273759">
        <w:rPr>
          <w:rFonts w:ascii="Times New Roman" w:hAnsi="Times New Roman" w:cs="Times New Roman"/>
        </w:rPr>
        <w:t xml:space="preserve">ed and compared; the Chebyshev filter provided a sharper transition, while the Butterworth filter showed a smoother response. </w:t>
      </w:r>
    </w:p>
    <w:p w14:paraId="4699A77D" w14:textId="745EC78C" w:rsidR="00273759" w:rsidRPr="00273759" w:rsidRDefault="00273759" w:rsidP="00273759">
      <w:pPr>
        <w:rPr>
          <w:rFonts w:ascii="Times New Roman" w:hAnsi="Times New Roman" w:cs="Times New Roman"/>
        </w:rPr>
      </w:pPr>
      <w:r w:rsidRPr="00273759">
        <w:rPr>
          <w:rFonts w:ascii="Times New Roman" w:hAnsi="Times New Roman" w:cs="Times New Roman"/>
        </w:rPr>
        <w:t>4. Pole-zero analysis confirmed that both filters are stable and satisfy the given design specifications.</w:t>
      </w:r>
    </w:p>
    <w:sectPr w:rsidR="00273759" w:rsidRPr="002737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59"/>
    <w:rsid w:val="00245077"/>
    <w:rsid w:val="00273759"/>
    <w:rsid w:val="005F4EFD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9BEF"/>
  <w15:chartTrackingRefBased/>
  <w15:docId w15:val="{EFF1CC01-3B85-4D74-8615-C68EAFB0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2026-08-02T12:39:00Z</dcterms:created>
  <dcterms:modified xsi:type="dcterms:W3CDTF">2026-08-02T12:50:00Z</dcterms:modified>
</cp:coreProperties>
</file>