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0F14" w14:textId="77777777" w:rsidR="00C762C1" w:rsidRDefault="00C762C1" w:rsidP="00C762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2C1">
        <w:rPr>
          <w:rFonts w:ascii="Times New Roman" w:hAnsi="Times New Roman" w:cs="Times New Roman"/>
          <w:b/>
          <w:bCs/>
          <w:sz w:val="28"/>
          <w:szCs w:val="28"/>
        </w:rPr>
        <w:t xml:space="preserve">Exp. No: 8 </w:t>
      </w:r>
    </w:p>
    <w:p w14:paraId="2FA62EB1" w14:textId="63DE5E6B" w:rsidR="00B32FE5" w:rsidRDefault="00C762C1" w:rsidP="00C762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2C1">
        <w:rPr>
          <w:rFonts w:ascii="Times New Roman" w:hAnsi="Times New Roman" w:cs="Times New Roman"/>
          <w:b/>
          <w:bCs/>
          <w:sz w:val="28"/>
          <w:szCs w:val="28"/>
        </w:rPr>
        <w:t>Implementation of Dielectric Free-Space Boundary Conditions in Electric Field and Determination of Relative Permittivity</w:t>
      </w:r>
    </w:p>
    <w:p w14:paraId="6AD5EA7A" w14:textId="4137B301" w:rsidR="00C762C1" w:rsidRDefault="00C762C1" w:rsidP="00C762C1">
      <w:pPr>
        <w:rPr>
          <w:rFonts w:ascii="Times New Roman" w:hAnsi="Times New Roman" w:cs="Times New Roman"/>
          <w:sz w:val="28"/>
          <w:szCs w:val="28"/>
        </w:rPr>
      </w:pPr>
      <w:r w:rsidRPr="00C762C1">
        <w:rPr>
          <w:rFonts w:ascii="Times New Roman" w:hAnsi="Times New Roman" w:cs="Times New Roman"/>
          <w:sz w:val="28"/>
          <w:szCs w:val="28"/>
        </w:rPr>
        <w:t>Test Case (</w:t>
      </w:r>
      <w:proofErr w:type="spellStart"/>
      <w:r w:rsidRPr="00C762C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2C1">
        <w:rPr>
          <w:rFonts w:ascii="Times New Roman" w:hAnsi="Times New Roman" w:cs="Times New Roman"/>
          <w:sz w:val="28"/>
          <w:szCs w:val="28"/>
        </w:rPr>
        <w:t>) – Normal and Tangential Field Components at the Free-Space / Dielectric Interface</w:t>
      </w:r>
    </w:p>
    <w:p w14:paraId="6BAC8CB2" w14:textId="0C95B583" w:rsidR="00C762C1" w:rsidRDefault="00C762C1" w:rsidP="00C762C1">
      <w:pPr>
        <w:rPr>
          <w:rFonts w:ascii="Times New Roman" w:hAnsi="Times New Roman" w:cs="Times New Roman"/>
          <w:sz w:val="28"/>
          <w:szCs w:val="28"/>
        </w:rPr>
      </w:pPr>
      <w:r w:rsidRPr="00C762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611C0F" wp14:editId="61F4C742">
            <wp:extent cx="5731510" cy="3798570"/>
            <wp:effectExtent l="0" t="0" r="2540" b="0"/>
            <wp:docPr id="141648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82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45A5" w14:textId="7AEF0D6A" w:rsidR="00C762C1" w:rsidRDefault="00C762C1" w:rsidP="00C762C1">
      <w:pPr>
        <w:rPr>
          <w:rFonts w:ascii="Times New Roman" w:hAnsi="Times New Roman" w:cs="Times New Roman"/>
          <w:sz w:val="28"/>
          <w:szCs w:val="28"/>
        </w:rPr>
      </w:pPr>
      <w:r w:rsidRPr="00C762C1">
        <w:rPr>
          <w:rFonts w:ascii="Times New Roman" w:hAnsi="Times New Roman" w:cs="Times New Roman"/>
          <w:sz w:val="28"/>
          <w:szCs w:val="28"/>
        </w:rPr>
        <w:t>Test Case (ii) – Determination of the Unknown Relative Permittivity from Boundary-Field Data</w:t>
      </w:r>
    </w:p>
    <w:p w14:paraId="2094F9CF" w14:textId="213B581E" w:rsidR="00C762C1" w:rsidRDefault="00C762C1" w:rsidP="00C762C1">
      <w:pPr>
        <w:rPr>
          <w:rFonts w:ascii="Times New Roman" w:hAnsi="Times New Roman" w:cs="Times New Roman"/>
          <w:sz w:val="28"/>
          <w:szCs w:val="28"/>
        </w:rPr>
      </w:pPr>
      <w:r w:rsidRPr="00C762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B049EA" wp14:editId="6C4A07B1">
            <wp:extent cx="5731510" cy="2431415"/>
            <wp:effectExtent l="0" t="0" r="2540" b="6985"/>
            <wp:docPr id="48107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72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EAE4" w14:textId="268AE50E" w:rsidR="00C762C1" w:rsidRDefault="00C762C1" w:rsidP="00C762C1">
      <w:pPr>
        <w:rPr>
          <w:rFonts w:ascii="Times New Roman" w:hAnsi="Times New Roman" w:cs="Times New Roman"/>
          <w:sz w:val="28"/>
          <w:szCs w:val="28"/>
        </w:rPr>
      </w:pPr>
      <w:r w:rsidRPr="00C762C1">
        <w:rPr>
          <w:rFonts w:ascii="Times New Roman" w:hAnsi="Times New Roman" w:cs="Times New Roman"/>
          <w:sz w:val="28"/>
          <w:szCs w:val="28"/>
        </w:rPr>
        <w:lastRenderedPageBreak/>
        <w:t>Test Case (iii) – Variation of the Refraction Angle with the Angle of Incidence for Different Dielectrics</w:t>
      </w:r>
    </w:p>
    <w:p w14:paraId="0B8FEA34" w14:textId="7DE56D78" w:rsidR="00C762C1" w:rsidRDefault="00F44CFB" w:rsidP="00C762C1">
      <w:pPr>
        <w:rPr>
          <w:rFonts w:ascii="Times New Roman" w:hAnsi="Times New Roman" w:cs="Times New Roman"/>
          <w:sz w:val="28"/>
          <w:szCs w:val="28"/>
        </w:rPr>
      </w:pPr>
      <w:r w:rsidRPr="00F44C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A58283" wp14:editId="4AE81774">
            <wp:extent cx="5731510" cy="2694709"/>
            <wp:effectExtent l="0" t="0" r="2540" b="0"/>
            <wp:docPr id="214591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11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897" cy="270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2B38" w14:textId="59899933" w:rsidR="00C762C1" w:rsidRDefault="00C762C1" w:rsidP="00C762C1">
      <w:pPr>
        <w:rPr>
          <w:rFonts w:ascii="Times New Roman" w:hAnsi="Times New Roman" w:cs="Times New Roman"/>
          <w:sz w:val="28"/>
          <w:szCs w:val="28"/>
        </w:rPr>
      </w:pPr>
      <w:r w:rsidRPr="00C762C1">
        <w:rPr>
          <w:rFonts w:ascii="Times New Roman" w:hAnsi="Times New Roman" w:cs="Times New Roman"/>
          <w:sz w:val="28"/>
          <w:szCs w:val="28"/>
        </w:rPr>
        <w:t>Test Case (iv) – Effect of the Relative Permittivity on the Field Components in the Dielectric</w:t>
      </w:r>
    </w:p>
    <w:p w14:paraId="680756E8" w14:textId="7C9DEF4C" w:rsidR="00C762C1" w:rsidRPr="00C762C1" w:rsidRDefault="00C762C1" w:rsidP="00C762C1">
      <w:pPr>
        <w:rPr>
          <w:rFonts w:ascii="Times New Roman" w:hAnsi="Times New Roman" w:cs="Times New Roman"/>
          <w:sz w:val="28"/>
          <w:szCs w:val="28"/>
        </w:rPr>
      </w:pPr>
      <w:r w:rsidRPr="00C762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241D3" wp14:editId="56FD54E4">
            <wp:extent cx="5731510" cy="2514600"/>
            <wp:effectExtent l="0" t="0" r="2540" b="0"/>
            <wp:docPr id="14803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19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2C1" w:rsidRPr="00C7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C1"/>
    <w:rsid w:val="000A14D5"/>
    <w:rsid w:val="00245077"/>
    <w:rsid w:val="00610792"/>
    <w:rsid w:val="00A40208"/>
    <w:rsid w:val="00B32FE5"/>
    <w:rsid w:val="00C762C1"/>
    <w:rsid w:val="00F4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A04D5"/>
  <w15:chartTrackingRefBased/>
  <w15:docId w15:val="{4538F8CC-BBE9-4F32-8C17-1254171F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2026-11-01T09:50:00Z</dcterms:created>
  <dcterms:modified xsi:type="dcterms:W3CDTF">2026-11-01T10:57:00Z</dcterms:modified>
</cp:coreProperties>
</file>