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37A5" w14:textId="77777777" w:rsidR="00212A28" w:rsidRDefault="00212A28" w:rsidP="00212A28">
      <w:pPr>
        <w:jc w:val="center"/>
        <w:rPr>
          <w:rFonts w:ascii="Times New Roman" w:hAnsi="Times New Roman" w:cs="Times New Roman"/>
          <w:b/>
          <w:bCs/>
        </w:rPr>
      </w:pPr>
      <w:r>
        <w:rPr>
          <w:rFonts w:ascii="Times New Roman" w:hAnsi="Times New Roman" w:cs="Times New Roman"/>
          <w:b/>
          <w:bCs/>
        </w:rPr>
        <w:t>SIMATS ENGINEERING</w:t>
      </w:r>
    </w:p>
    <w:p w14:paraId="1F55FCE5" w14:textId="77777777" w:rsidR="00212A28" w:rsidRPr="00212A28" w:rsidRDefault="00212A28" w:rsidP="00212A28">
      <w:pPr>
        <w:jc w:val="center"/>
        <w:rPr>
          <w:rFonts w:ascii="Times New Roman" w:hAnsi="Times New Roman" w:cs="Times New Roman"/>
          <w:b/>
          <w:bCs/>
        </w:rPr>
      </w:pPr>
      <w:r w:rsidRPr="00212A28">
        <w:rPr>
          <w:rFonts w:ascii="Times New Roman" w:hAnsi="Times New Roman" w:cs="Times New Roman"/>
          <w:b/>
          <w:bCs/>
        </w:rPr>
        <w:t>CO4 – INVESTIGATIVE ASSIGNMENT REPORT</w:t>
      </w:r>
    </w:p>
    <w:p w14:paraId="594EBBF0" w14:textId="77777777" w:rsidR="00704E59" w:rsidRDefault="00704E59" w:rsidP="00212A28">
      <w:pPr>
        <w:rPr>
          <w:rFonts w:ascii="Times New Roman" w:hAnsi="Times New Roman" w:cs="Times New Roman"/>
          <w:b/>
          <w:bCs/>
        </w:rPr>
      </w:pPr>
    </w:p>
    <w:p w14:paraId="46F70FF9" w14:textId="6DCFD5EC" w:rsidR="00212A28" w:rsidRDefault="00212A28" w:rsidP="00212A28">
      <w:pPr>
        <w:rPr>
          <w:rFonts w:ascii="Times New Roman" w:hAnsi="Times New Roman" w:cs="Times New Roman"/>
        </w:rPr>
      </w:pPr>
      <w:r w:rsidRPr="00212A28">
        <w:rPr>
          <w:rFonts w:ascii="Times New Roman" w:hAnsi="Times New Roman" w:cs="Times New Roman"/>
          <w:b/>
          <w:bCs/>
        </w:rPr>
        <w:t>Title:</w:t>
      </w:r>
      <w:r w:rsidRPr="00212A28">
        <w:rPr>
          <w:rFonts w:ascii="Times New Roman" w:hAnsi="Times New Roman" w:cs="Times New Roman"/>
        </w:rPr>
        <w:t xml:space="preserve"> Ultra-High-Speed Photonic Transport Link: Technology Evaluation, Impairment Mitigation, and Integrated System Design</w:t>
      </w:r>
    </w:p>
    <w:p w14:paraId="240C5812" w14:textId="77777777" w:rsidR="00704E59" w:rsidRDefault="00704E59" w:rsidP="00704E59">
      <w:pPr>
        <w:rPr>
          <w:rFonts w:ascii="Times New Roman" w:hAnsi="Times New Roman" w:cs="Times New Roman"/>
        </w:rPr>
      </w:pPr>
      <w:proofErr w:type="gramStart"/>
      <w:r>
        <w:rPr>
          <w:rFonts w:ascii="Times New Roman" w:hAnsi="Times New Roman" w:cs="Times New Roman"/>
          <w:b/>
          <w:bCs/>
        </w:rPr>
        <w:t>COURSE :</w:t>
      </w:r>
      <w:proofErr w:type="gramEnd"/>
      <w:r>
        <w:rPr>
          <w:rFonts w:ascii="Times New Roman" w:hAnsi="Times New Roman" w:cs="Times New Roman"/>
          <w:b/>
          <w:bCs/>
        </w:rPr>
        <w:t xml:space="preserve"> </w:t>
      </w:r>
      <w:r w:rsidRPr="00212A28">
        <w:rPr>
          <w:rFonts w:ascii="Times New Roman" w:hAnsi="Times New Roman" w:cs="Times New Roman"/>
        </w:rPr>
        <w:t>ECA</w:t>
      </w:r>
      <w:proofErr w:type="gramStart"/>
      <w:r w:rsidRPr="00212A28">
        <w:rPr>
          <w:rFonts w:ascii="Times New Roman" w:hAnsi="Times New Roman" w:cs="Times New Roman"/>
        </w:rPr>
        <w:t>180</w:t>
      </w:r>
      <w:r>
        <w:rPr>
          <w:rFonts w:ascii="Times New Roman" w:hAnsi="Times New Roman" w:cs="Times New Roman"/>
        </w:rPr>
        <w:t>3</w:t>
      </w:r>
      <w:r w:rsidRPr="00212A28">
        <w:rPr>
          <w:rFonts w:ascii="Times New Roman" w:hAnsi="Times New Roman" w:cs="Times New Roman"/>
        </w:rPr>
        <w:t xml:space="preserve">  –</w:t>
      </w:r>
      <w:proofErr w:type="gramEnd"/>
      <w:r w:rsidRPr="00212A28">
        <w:rPr>
          <w:rFonts w:ascii="Times New Roman" w:hAnsi="Times New Roman" w:cs="Times New Roman"/>
        </w:rPr>
        <w:t xml:space="preserve"> OPTOELECTRONICS AND OPTICAL COMMUNICATION</w:t>
      </w:r>
    </w:p>
    <w:p w14:paraId="089B6A16" w14:textId="77777777" w:rsidR="00704E59" w:rsidRPr="00212A28" w:rsidRDefault="00704E59" w:rsidP="00704E59">
      <w:pPr>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KUMARAN.S</w:t>
      </w:r>
    </w:p>
    <w:p w14:paraId="4D41734E" w14:textId="77777777" w:rsidR="00704E59" w:rsidRPr="00212A28" w:rsidRDefault="00704E59" w:rsidP="00704E59">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192512142</w:t>
      </w:r>
    </w:p>
    <w:p w14:paraId="01B1FB8F" w14:textId="77777777" w:rsidR="00704E59" w:rsidRPr="00212A28" w:rsidRDefault="00704E59" w:rsidP="00212A28">
      <w:pPr>
        <w:rPr>
          <w:rFonts w:ascii="Times New Roman" w:hAnsi="Times New Roman" w:cs="Times New Roman"/>
        </w:rPr>
      </w:pPr>
    </w:p>
    <w:p w14:paraId="0F2CA3D1"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1. INTRODUCTION AND COMMUNICATION REQUIREMENTS</w:t>
      </w:r>
    </w:p>
    <w:p w14:paraId="3E95530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increasing demand for high-speed cloud computing, artificial intelligence, data centres, and broadband services requires optical transport networks with high capacity, improved spectral efficiency, low transmission noise, and reliable long-distance communication. Dense Wavelength Division Multiplexing (DWDM) addresses these requirements by transmitting multiple optical wavelengths simultaneously through a single optical fibre.</w:t>
      </w:r>
    </w:p>
    <w:p w14:paraId="019F260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objective of this investigation is to design and evaluate a 32-channel DWDM transmission system operating at 200 Gb/s per channel. The investigation considers modulation formats, photonic modulator architectures, optical amplification, fibre impairments, coherent digital signal processing (DSP), and photonic integration.</w:t>
      </w:r>
    </w:p>
    <w:p w14:paraId="5182EFB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total aggregate transmission capacity is</w:t>
      </w:r>
    </w:p>
    <w:p w14:paraId="272CA4DD" w14:textId="77777777" w:rsidR="00212A28" w:rsidRDefault="00212A28" w:rsidP="00212A28">
      <w:pPr>
        <w:rPr>
          <w:rFonts w:ascii="Times New Roman" w:hAnsi="Times New Roman" w:cs="Times New Roman"/>
        </w:rPr>
      </w:pPr>
      <w:r>
        <w:rPr>
          <w:rFonts w:ascii="Times New Roman" w:hAnsi="Times New Roman" w:cs="Times New Roman"/>
        </w:rPr>
        <w:t xml:space="preserve">C(total) = </w:t>
      </w:r>
      <w:proofErr w:type="spellStart"/>
      <w:r>
        <w:rPr>
          <w:rFonts w:ascii="Times New Roman" w:hAnsi="Times New Roman" w:cs="Times New Roman"/>
        </w:rPr>
        <w:t>N_ch</w:t>
      </w:r>
      <w:proofErr w:type="spellEnd"/>
      <w:r>
        <w:rPr>
          <w:rFonts w:ascii="Times New Roman" w:hAnsi="Times New Roman" w:cs="Times New Roman"/>
        </w:rPr>
        <w:t xml:space="preserve"> x </w:t>
      </w:r>
      <w:proofErr w:type="spellStart"/>
      <w:r>
        <w:rPr>
          <w:rFonts w:ascii="Times New Roman" w:hAnsi="Times New Roman" w:cs="Times New Roman"/>
        </w:rPr>
        <w:t>R_ch</w:t>
      </w:r>
      <w:proofErr w:type="spellEnd"/>
    </w:p>
    <w:p w14:paraId="5417775A" w14:textId="4AE8286B" w:rsidR="00212A28" w:rsidRDefault="00212A28" w:rsidP="00212A28">
      <w:pPr>
        <w:rPr>
          <w:rFonts w:ascii="Times New Roman" w:hAnsi="Times New Roman" w:cs="Times New Roman"/>
        </w:rPr>
      </w:pPr>
      <w:r>
        <w:rPr>
          <w:rFonts w:ascii="Times New Roman" w:hAnsi="Times New Roman" w:cs="Times New Roman"/>
        </w:rPr>
        <w:t>C(total) = 32 x 200 Gb/s</w:t>
      </w:r>
    </w:p>
    <w:p w14:paraId="7D962CAF" w14:textId="68ED3E48" w:rsidR="00212A28" w:rsidRPr="00212A28" w:rsidRDefault="00212A28" w:rsidP="00212A28">
      <w:pPr>
        <w:rPr>
          <w:rFonts w:ascii="Times New Roman" w:hAnsi="Times New Roman" w:cs="Times New Roman"/>
        </w:rPr>
      </w:pPr>
      <w:r>
        <w:rPr>
          <w:rFonts w:ascii="Times New Roman" w:hAnsi="Times New Roman" w:cs="Times New Roman"/>
        </w:rPr>
        <w:t>C(total) = 6.4 Tb/s</w:t>
      </w:r>
    </w:p>
    <w:p w14:paraId="053D3E5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50 GHz channel spacing is selected as the proposed engineering baseline. Therefore, the nominal frequency-grid span across 32 channels is approximately (32\times50=1600) GHz, excluding any additional guard bands required by the network design.</w:t>
      </w:r>
    </w:p>
    <w:p w14:paraId="198C964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ITU-T G.694.1 specifies the DWDM frequency grid, whereas ITU-T G.698.2 addresses multichannel optical interfaces for amplified DWDM applications. IEEE 802.3ct, IEEE 802.3ck, and OIF Common Electrical I/O (CEI) specifications apply to particular Ethernet and electrical-interface implementations; they should not be treated as interchangeable end-to-end DWDM system standards.</w:t>
      </w:r>
    </w:p>
    <w:p w14:paraId="416EB88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principal performance parameters are aggregate capacity, spectral efficiency, optical signal-to-noise ratio (OSNR), bit error rate (BER), Q-factor, amplifier noise figure, chromatic dispersion (CD), polarization mode dispersion (PMD), nonlinear distortion, power consumption, and integration complexity.</w:t>
      </w:r>
    </w:p>
    <w:p w14:paraId="712C3D3C" w14:textId="77777777" w:rsidR="00212A28" w:rsidRDefault="00212A28" w:rsidP="00212A28">
      <w:pPr>
        <w:rPr>
          <w:rFonts w:ascii="Times New Roman" w:hAnsi="Times New Roman" w:cs="Times New Roman"/>
          <w:b/>
          <w:bCs/>
        </w:rPr>
      </w:pPr>
    </w:p>
    <w:p w14:paraId="4F192F03" w14:textId="77777777" w:rsidR="005652BC" w:rsidRDefault="005652BC" w:rsidP="00212A28">
      <w:pPr>
        <w:rPr>
          <w:rFonts w:ascii="Times New Roman" w:hAnsi="Times New Roman" w:cs="Times New Roman"/>
          <w:b/>
          <w:bCs/>
        </w:rPr>
      </w:pPr>
    </w:p>
    <w:p w14:paraId="4FA9E17E" w14:textId="32324F4E"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2. STAGE 1 – INVESTIGATION REQUIREMENT STATEMENT</w:t>
      </w:r>
    </w:p>
    <w:p w14:paraId="433C7F6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proposed system shall transmit 32 independent optical channels at 200 Gb/s per channel, achieving an aggregate gross line rate of 6.4 Tb/s. It shall use a standardized DWDM frequency grid, a compact high-speed photonic transmitter, optical amplification with controlled gain variation, and a coherent receiver with DSP-based impairment compensation.</w:t>
      </w:r>
    </w:p>
    <w:p w14:paraId="02F184F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initial design targets are 50 GHz channel spacing, dual-polarization 16-QAM modulation, a pre-FEC BER below (3.8\times10</w:t>
      </w:r>
      <w:proofErr w:type="gramStart"/>
      <w:r w:rsidRPr="00212A28">
        <w:rPr>
          <w:rFonts w:ascii="Times New Roman" w:hAnsi="Times New Roman" w:cs="Times New Roman"/>
        </w:rPr>
        <w:t>^{</w:t>
      </w:r>
      <w:proofErr w:type="gramEnd"/>
      <w:r w:rsidRPr="00212A28">
        <w:rPr>
          <w:rFonts w:ascii="Times New Roman" w:hAnsi="Times New Roman" w:cs="Times New Roman"/>
        </w:rPr>
        <w:t>-3}), and an OSNR design target exceeding 18 dB when explicitly measured in a 0.1 nm reference bandwidth. The OSNR threshold must ultimately be validated against the selected transceiver implementation and FEC scheme. It is not a guaranteed performance result.</w:t>
      </w:r>
    </w:p>
    <w:p w14:paraId="0685CD3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investigation will use analytical calculations, manufacturer specifications, technical literature, and a planned </w:t>
      </w:r>
      <w:proofErr w:type="spellStart"/>
      <w:r w:rsidRPr="00212A28">
        <w:rPr>
          <w:rFonts w:ascii="Times New Roman" w:hAnsi="Times New Roman" w:cs="Times New Roman"/>
        </w:rPr>
        <w:t>OptiSystem</w:t>
      </w:r>
      <w:proofErr w:type="spellEnd"/>
      <w:r w:rsidRPr="00212A28">
        <w:rPr>
          <w:rFonts w:ascii="Times New Roman" w:hAnsi="Times New Roman" w:cs="Times New Roman"/>
        </w:rPr>
        <w:t xml:space="preserve">, </w:t>
      </w:r>
      <w:proofErr w:type="spellStart"/>
      <w:r w:rsidRPr="00212A28">
        <w:rPr>
          <w:rFonts w:ascii="Times New Roman" w:hAnsi="Times New Roman" w:cs="Times New Roman"/>
        </w:rPr>
        <w:t>OptSim</w:t>
      </w:r>
      <w:proofErr w:type="spellEnd"/>
      <w:r w:rsidRPr="00212A28">
        <w:rPr>
          <w:rFonts w:ascii="Times New Roman" w:hAnsi="Times New Roman" w:cs="Times New Roman"/>
        </w:rPr>
        <w:t>, or MATLAB simulation. Since fibre length, amplifier spacing, and actual component specifications have not been provided, reach, final Q-factor, and measured BER cannot be established without additional modelling.</w:t>
      </w:r>
    </w:p>
    <w:p w14:paraId="561DC11F" w14:textId="77777777" w:rsidR="00212A28" w:rsidRPr="00212A28" w:rsidRDefault="00212A28" w:rsidP="00212A28">
      <w:pPr>
        <w:rPr>
          <w:rFonts w:ascii="Times New Roman" w:hAnsi="Times New Roman" w:cs="Times New Roman"/>
        </w:rPr>
      </w:pPr>
    </w:p>
    <w:p w14:paraId="3607A590"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 STAGE 2 – INVESTIGATE AND SELECT THE MODULATION / MODULATOR CONFIGURATION</w:t>
      </w:r>
    </w:p>
    <w:p w14:paraId="5E6757E2"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3.1 Comparison of Modulation Formats</w:t>
      </w:r>
    </w:p>
    <w:p w14:paraId="3DA3706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modulation format determines the number of bits transmitted per symbol, spectral efficiency, receiver sensitivity, OSNR requirement, and implementation complexity. The candidate formats for the proposed 200 Gb/s DWDM system are NRZ-OOK, RZ-OOK, PAM4, DPSK, DQPSK, 16-QAM, and dual-polarization 16-QAM (DP-16QAM).</w:t>
      </w:r>
    </w:p>
    <w:p w14:paraId="421B666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NRZ-OOK transmits one bit per symbol and offers a simple transmitter and receiver, but its spectral efficiency is relatively low. RZ-OOK provides short optical pulses but generally requires greater bandwidth. PAM4 transmits two bits per symbol and improves the data rate compared with binary intensity modulation, although it is sensitive to amplitude noise and nonlinear distortion. DPSK encodes information in phase differences, while DQPSK transmits two bits per symbol using differential phase states. Single-polarization 16-QAM carries four bits per symbol, whereas DP-16QAM carries eight bits per dual-polarization symbol interval. DP-64QAM carries twelve bits per symbol interval but requires a higher-quality optical signal and more accurate phase recovery.</w:t>
      </w:r>
    </w:p>
    <w:p w14:paraId="3034282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DP-16QAM is selected because it provides a practical balance between spectral efficiency, OSNR requirements, receiver complexity, and transmission performance.</w:t>
      </w:r>
    </w:p>
    <w:p w14:paraId="3ACE3BFD" w14:textId="77777777" w:rsidR="00212A28" w:rsidRDefault="00212A28" w:rsidP="00212A28">
      <w:pPr>
        <w:rPr>
          <w:rFonts w:ascii="Times New Roman" w:hAnsi="Times New Roman" w:cs="Times New Roman"/>
          <w:b/>
          <w:bCs/>
        </w:rPr>
      </w:pPr>
    </w:p>
    <w:p w14:paraId="5BF441FE" w14:textId="493614F1"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3.2 Baud-Rate and Spectral-Efficiency Calculations</w:t>
      </w:r>
    </w:p>
    <w:p w14:paraId="44949C7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For a dual-polarization QAM system, the gross bit rate is given by:</w:t>
      </w:r>
    </w:p>
    <w:p w14:paraId="1443705A"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2 × log₂(M) × R_s</w:t>
      </w:r>
    </w:p>
    <w:p w14:paraId="7A39EE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where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is the gross bit rate, M is the QAM constellation order, and R_s is the symbol rate. The factor of two represents the two independent polarization channels.</w:t>
      </w:r>
    </w:p>
    <w:p w14:paraId="1B7ED0F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DP-16QAM, M = 16 and log</w:t>
      </w:r>
      <w:proofErr w:type="gramStart"/>
      <w:r w:rsidRPr="00212A28">
        <w:rPr>
          <w:rFonts w:ascii="Times New Roman" w:hAnsi="Times New Roman" w:cs="Times New Roman"/>
        </w:rPr>
        <w:t>₂(</w:t>
      </w:r>
      <w:proofErr w:type="gramEnd"/>
      <w:r w:rsidRPr="00212A28">
        <w:rPr>
          <w:rFonts w:ascii="Times New Roman" w:hAnsi="Times New Roman" w:cs="Times New Roman"/>
        </w:rPr>
        <w:t>16) = 4 bits per symbol per polarization.</w:t>
      </w:r>
    </w:p>
    <w:p w14:paraId="6B230C9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Therefore,</w:t>
      </w:r>
    </w:p>
    <w:p w14:paraId="3AA7B30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[2 × log₂(M)]</w:t>
      </w:r>
    </w:p>
    <w:p w14:paraId="4E8D1FF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R_s = 200 Gb/s / [2 × 4]</w:t>
      </w:r>
    </w:p>
    <w:p w14:paraId="1711091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0395E16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Hence, the idealized symbol rate required for a gross 200 Gb/s DP-16QAM channel is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7F56C3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PAM4, each symbol carries log</w:t>
      </w:r>
      <w:proofErr w:type="gramStart"/>
      <w:r w:rsidRPr="00212A28">
        <w:rPr>
          <w:rFonts w:ascii="Times New Roman" w:hAnsi="Times New Roman" w:cs="Times New Roman"/>
        </w:rPr>
        <w:t>₂(</w:t>
      </w:r>
      <w:proofErr w:type="gramEnd"/>
      <w:r w:rsidRPr="00212A28">
        <w:rPr>
          <w:rFonts w:ascii="Times New Roman" w:hAnsi="Times New Roman" w:cs="Times New Roman"/>
        </w:rPr>
        <w:t>4) = 2 bits. Assuming a single intensity-modulated stream without additional parallelization:</w:t>
      </w:r>
    </w:p>
    <w:p w14:paraId="0D4613A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log</w:t>
      </w:r>
      <w:proofErr w:type="gramStart"/>
      <w:r w:rsidRPr="00212A28">
        <w:rPr>
          <w:rFonts w:ascii="Times New Roman" w:hAnsi="Times New Roman" w:cs="Times New Roman"/>
        </w:rPr>
        <w:t>₂(</w:t>
      </w:r>
      <w:proofErr w:type="gramEnd"/>
      <w:r w:rsidRPr="00212A28">
        <w:rPr>
          <w:rFonts w:ascii="Times New Roman" w:hAnsi="Times New Roman" w:cs="Times New Roman"/>
        </w:rPr>
        <w:t>4)</w:t>
      </w:r>
    </w:p>
    <w:p w14:paraId="546C25E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R_s = 200 Gb/s / 2</w:t>
      </w:r>
    </w:p>
    <w:p w14:paraId="53F64ED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100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B3BF5C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Thus, PAM4 requires 100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under this assumption, whereas DP-16QAM requires 25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per dual-polarization symbol interval.</w:t>
      </w:r>
    </w:p>
    <w:p w14:paraId="3650EBC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Assuming a raised-cosine pulse shape with a roll-off factor of 0.1, the approximate occupied bandwidth is:</w:t>
      </w:r>
    </w:p>
    <w:p w14:paraId="5971D6E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B ≈ (1 + </w:t>
      </w:r>
      <w:proofErr w:type="gramStart"/>
      <w:r w:rsidRPr="00212A28">
        <w:rPr>
          <w:rFonts w:ascii="Times New Roman" w:hAnsi="Times New Roman" w:cs="Times New Roman"/>
        </w:rPr>
        <w:t>α)R</w:t>
      </w:r>
      <w:proofErr w:type="gramEnd"/>
      <w:r w:rsidRPr="00212A28">
        <w:rPr>
          <w:rFonts w:ascii="Times New Roman" w:hAnsi="Times New Roman" w:cs="Times New Roman"/>
        </w:rPr>
        <w:t>_s</w:t>
      </w:r>
    </w:p>
    <w:p w14:paraId="7F4E632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DP-16QAM:</w:t>
      </w:r>
    </w:p>
    <w:p w14:paraId="7D3F16C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B ≈ 1.1 × 25 GHz = 27.5 GHz.</w:t>
      </w:r>
    </w:p>
    <w:p w14:paraId="7859A5E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PAM4:</w:t>
      </w:r>
    </w:p>
    <w:p w14:paraId="223FB35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B ≈ 1.1 × 100 GHz = 110 GHz.</w:t>
      </w:r>
    </w:p>
    <w:p w14:paraId="00CFF1A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These are idealized bandwidth estimates. Actual occupied bandwidth and implementation requirements depend on pulse shaping, filtering, transmitter response, receiver response, and the definition of the signal bandwidth.</w:t>
      </w:r>
    </w:p>
    <w:p w14:paraId="4475DCA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a 200 Gb/s channel using 50 GHz DWDM spacing, the gross spectral efficiency is:</w:t>
      </w:r>
    </w:p>
    <w:p w14:paraId="79695183" w14:textId="77777777" w:rsidR="00212A28" w:rsidRDefault="00212A28" w:rsidP="00212A28">
      <w:pPr>
        <w:rPr>
          <w:rFonts w:ascii="Times New Roman" w:hAnsi="Times New Roman" w:cs="Times New Roman"/>
        </w:rPr>
      </w:pPr>
    </w:p>
    <w:p w14:paraId="789F7FE2" w14:textId="14E03BF8"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η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w:t>
      </w:r>
      <w:proofErr w:type="spellStart"/>
      <w:r w:rsidRPr="00212A28">
        <w:rPr>
          <w:rFonts w:ascii="Times New Roman" w:hAnsi="Times New Roman" w:cs="Times New Roman"/>
        </w:rPr>
        <w:t>Δf</w:t>
      </w:r>
      <w:proofErr w:type="spellEnd"/>
    </w:p>
    <w:p w14:paraId="19F9FEC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η = 200 Gb/s / 50 GHz</w:t>
      </w:r>
    </w:p>
    <w:p w14:paraId="26AF23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η = 4 b/s/Hz.</w:t>
      </w:r>
    </w:p>
    <w:p w14:paraId="27F0F8B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calculated value meets the specified gross spectral-efficiency target of at least 4 b/s/Hz. The net spectral efficiency will be lower after accounting for forward error correction, framing, and other transmission overheads.</w:t>
      </w:r>
    </w:p>
    <w:p w14:paraId="6281F51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3.3 Modulation Mechanisms and Photonic Modulator Architecture</w:t>
      </w:r>
    </w:p>
    <w:p w14:paraId="2EA5770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Electro-optic modulation is selected for high-speed data transmission because an applied electrical field changes the optical phase or refractive index of the modulating material. It supports high-speed phase and amplitude control and is suitable for coherent QAM transmission.</w:t>
      </w:r>
    </w:p>
    <w:p w14:paraId="1CD466C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Acousto-optic modulation uses acoustic waves to modify light propagation and is useful in selected switching and frequency-shifting applications. Thermo-optic modulation uses temperature-dependent refractive-index changes and is generally better suited to tuning and switching than direct high-baud-rate data modulation. Magneto-optic effects support polarization rotation and optical isolation. The Kerr effect produces an intensity-dependent refractive index and is relevant to nonlinear optical functions and nonlinear compensation studies.</w:t>
      </w:r>
    </w:p>
    <w:p w14:paraId="1B77468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silicon-photonic Mach–Zehnder modulator (MZM) is selected as the proposed transmitter architecture. Nested MZIs can generate the in-phase and quadrature components required for QAM modulation. Silicon photonics offers compact integration with optical waveguides, couplers, and other photonic components. Lithium niobate is a viable alternative where low insertion loss, strong electro-optic response, and high linearity are priorities. Electro-optic polymers can offer strong electro-optic responses, but long-term stability, packaging, and material reliability must be assessed for the selected implementation.</w:t>
      </w:r>
    </w:p>
    <w:p w14:paraId="49D9239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Micro-ring resonators offer compact footprints and may provide low-power switching and modulation. However, their resonant operating conditions make them sensitive to temperature and wavelength variations. They may require active thermal tuning and wavelength locking. Therefore, a nested-MZI architecture is preferred for the primary high-speed coherent transmitter, while ring resonators may be considered for auxiliary filtering or switching functions.</w:t>
      </w:r>
    </w:p>
    <w:p w14:paraId="2A368E4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modulator bandwidth target is greater than 35 GHz. The half-wave voltage, Vπ, must be taken from the selected device's manufacturer specification. No universal Vπ value can be assigned because it depends on the material, electrode structure, waveguide geometry, and modulator length.</w:t>
      </w:r>
    </w:p>
    <w:p w14:paraId="09FD0566" w14:textId="77777777" w:rsidR="00212A28" w:rsidRPr="00212A28" w:rsidRDefault="00212A28" w:rsidP="00212A28">
      <w:pPr>
        <w:rPr>
          <w:rFonts w:ascii="Times New Roman" w:hAnsi="Times New Roman" w:cs="Times New Roman"/>
        </w:rPr>
      </w:pPr>
      <w:r w:rsidRPr="00212A28">
        <w:rPr>
          <w:rFonts w:ascii="Times New Roman" w:hAnsi="Times New Roman" w:cs="Times New Roman"/>
          <w:b/>
          <w:bCs/>
        </w:rPr>
        <w:t>DESIGN DECISION 1</w:t>
      </w:r>
      <w:r w:rsidRPr="00212A28">
        <w:rPr>
          <w:rFonts w:ascii="Times New Roman" w:hAnsi="Times New Roman" w:cs="Times New Roman"/>
        </w:rPr>
        <w:t xml:space="preserve"> – MODULATION AND MODULATOR CONFIGURATION</w:t>
      </w:r>
    </w:p>
    <w:p w14:paraId="4AC4D81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I recommend DP-16QAM using a silicon-photonic nested-MZI IQ modulator because it supports the required gross 200 Gb/s channel rate at an idealized symbol rate of 25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and provides a calculated gross spectral efficiency of 4 b/s/Hz with 50 GHz channel spacing. Its </w:t>
      </w:r>
      <w:r w:rsidRPr="00212A28">
        <w:rPr>
          <w:rFonts w:ascii="Times New Roman" w:hAnsi="Times New Roman" w:cs="Times New Roman"/>
        </w:rPr>
        <w:lastRenderedPageBreak/>
        <w:t>compact integration potential and compatibility with coherent DSP make it suitable for a high-capacity DWDM architecture. Final acceptance depends on verified device bandwidth, Vπ, insertion loss, laser linewidth, and receiver OSNR performance.</w:t>
      </w:r>
    </w:p>
    <w:p w14:paraId="501EC24A" w14:textId="77777777" w:rsidR="00212A28" w:rsidRDefault="00212A28" w:rsidP="00212A28">
      <w:pPr>
        <w:rPr>
          <w:rFonts w:ascii="Times New Roman" w:hAnsi="Times New Roman" w:cs="Times New Roman"/>
          <w:b/>
          <w:bCs/>
        </w:rPr>
      </w:pPr>
    </w:p>
    <w:p w14:paraId="7CA2F9D7" w14:textId="5869062D"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 STAGE 3 – INVESTIGATE AND SELECT THE OPTICAL AMPLIFICATION CONFIGURATION</w:t>
      </w:r>
    </w:p>
    <w:p w14:paraId="1357A73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4.1 Comparison of Optical Amplifiers</w:t>
      </w:r>
    </w:p>
    <w:p w14:paraId="24B7AC0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An erbium-doped fibre amplifier (EDFA) is widely used in C-band optical communication because it provides useful gain, high output power, and compatibility with DWDM transmission. However, its amplified spontaneous emission (ASE) noise accumulates through cascaded spans, and its gain may vary across the operating wavelength range.</w:t>
      </w:r>
    </w:p>
    <w:p w14:paraId="354E318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semiconductor optical amplifier (SOA) offers compact integration and can be suitable for short-reach optical systems. However, gain saturation, noise, nonlinear effects, and inter-channel interactions must be considered in multichannel systems.</w:t>
      </w:r>
    </w:p>
    <w:p w14:paraId="13CDC98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Lumped Raman amplification provides flexible gain characteristics but requires pump sources and careful control. Distributed Raman amplification generates gain within the transmission fibre and can improve the effective noise performance of a span. Hybrid Raman–EDFA amplification combines distributed Raman gain with EDFA output-power capability, although it increases system cost, pump requirements, and control complexity.</w:t>
      </w:r>
    </w:p>
    <w:p w14:paraId="58B810B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the proposed long-haul DWDM architecture, a hybrid distributed-Raman and EDFA arrangement is selected. Gain-flattening filters and dynamic channel-power equalization are included to reduce wavelength-dependent power variation.</w:t>
      </w:r>
    </w:p>
    <w:p w14:paraId="2865EE76"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4.2 Amplifier Gain and Total Output-Power Calculation</w:t>
      </w:r>
    </w:p>
    <w:p w14:paraId="6979DE4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given parameters are:</w:t>
      </w:r>
    </w:p>
    <w:p w14:paraId="03508F6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Number of WDM channels = 32.</w:t>
      </w:r>
    </w:p>
    <w:p w14:paraId="449B0F5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Input power per channel = −15 dBm.</w:t>
      </w:r>
    </w:p>
    <w:p w14:paraId="0BA7F55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Required output power per channel = +2 dBm.</w:t>
      </w:r>
    </w:p>
    <w:p w14:paraId="457BE3B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required amplifier gain per channel is:</w:t>
      </w:r>
    </w:p>
    <w:p w14:paraId="3CDAFC6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G = </w:t>
      </w:r>
      <w:proofErr w:type="spellStart"/>
      <w:r w:rsidRPr="00212A28">
        <w:rPr>
          <w:rFonts w:ascii="Times New Roman" w:hAnsi="Times New Roman" w:cs="Times New Roman"/>
        </w:rPr>
        <w:t>P_out</w:t>
      </w:r>
      <w:proofErr w:type="spellEnd"/>
      <w:r w:rsidRPr="00212A28">
        <w:rPr>
          <w:rFonts w:ascii="Times New Roman" w:hAnsi="Times New Roman" w:cs="Times New Roman"/>
        </w:rPr>
        <w:t xml:space="preserve"> − </w:t>
      </w:r>
      <w:proofErr w:type="spellStart"/>
      <w:r w:rsidRPr="00212A28">
        <w:rPr>
          <w:rFonts w:ascii="Times New Roman" w:hAnsi="Times New Roman" w:cs="Times New Roman"/>
        </w:rPr>
        <w:t>P_in</w:t>
      </w:r>
      <w:proofErr w:type="spellEnd"/>
    </w:p>
    <w:p w14:paraId="3810F17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 = 2 − (−15)</w:t>
      </w:r>
    </w:p>
    <w:p w14:paraId="7D0C9FC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G = 17 </w:t>
      </w:r>
      <w:proofErr w:type="spellStart"/>
      <w:r w:rsidRPr="00212A28">
        <w:rPr>
          <w:rFonts w:ascii="Times New Roman" w:hAnsi="Times New Roman" w:cs="Times New Roman"/>
        </w:rPr>
        <w:t>dB.</w:t>
      </w:r>
      <w:proofErr w:type="spellEnd"/>
    </w:p>
    <w:p w14:paraId="685B441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Therefore, the required gain is 17 dB per channel.</w:t>
      </w:r>
    </w:p>
    <w:p w14:paraId="104F8D8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output power per channel in milliwatts is:</w:t>
      </w:r>
    </w:p>
    <w:p w14:paraId="56F655B4"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P_ch</w:t>
      </w:r>
      <w:proofErr w:type="spellEnd"/>
      <w:r w:rsidRPr="00212A28">
        <w:rPr>
          <w:rFonts w:ascii="Times New Roman" w:hAnsi="Times New Roman" w:cs="Times New Roman"/>
        </w:rPr>
        <w:t xml:space="preserve"> = 10^(</w:t>
      </w:r>
      <w:proofErr w:type="spellStart"/>
      <w:r w:rsidRPr="00212A28">
        <w:rPr>
          <w:rFonts w:ascii="Times New Roman" w:hAnsi="Times New Roman" w:cs="Times New Roman"/>
        </w:rPr>
        <w:t>P_dBm</w:t>
      </w:r>
      <w:proofErr w:type="spellEnd"/>
      <w:r w:rsidRPr="00212A28">
        <w:rPr>
          <w:rFonts w:ascii="Times New Roman" w:hAnsi="Times New Roman" w:cs="Times New Roman"/>
        </w:rPr>
        <w:t>/10)</w:t>
      </w:r>
    </w:p>
    <w:p w14:paraId="4342C16B"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lastRenderedPageBreak/>
        <w:t>P_ch</w:t>
      </w:r>
      <w:proofErr w:type="spellEnd"/>
      <w:r w:rsidRPr="00212A28">
        <w:rPr>
          <w:rFonts w:ascii="Times New Roman" w:hAnsi="Times New Roman" w:cs="Times New Roman"/>
        </w:rPr>
        <w:t xml:space="preserve"> = 10</w:t>
      </w:r>
      <w:proofErr w:type="gramStart"/>
      <w:r w:rsidRPr="00212A28">
        <w:rPr>
          <w:rFonts w:ascii="Times New Roman" w:hAnsi="Times New Roman" w:cs="Times New Roman"/>
        </w:rPr>
        <w:t>^(</w:t>
      </w:r>
      <w:proofErr w:type="gramEnd"/>
      <w:r w:rsidRPr="00212A28">
        <w:rPr>
          <w:rFonts w:ascii="Times New Roman" w:hAnsi="Times New Roman" w:cs="Times New Roman"/>
        </w:rPr>
        <w:t>2/10)</w:t>
      </w:r>
    </w:p>
    <w:p w14:paraId="7302F657"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P_ch</w:t>
      </w:r>
      <w:proofErr w:type="spellEnd"/>
      <w:r w:rsidRPr="00212A28">
        <w:rPr>
          <w:rFonts w:ascii="Times New Roman" w:hAnsi="Times New Roman" w:cs="Times New Roman"/>
        </w:rPr>
        <w:t xml:space="preserve"> = 1.5849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53B16AF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total output power for 32 equal-power channels is:</w:t>
      </w:r>
    </w:p>
    <w:p w14:paraId="5860FC83"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P_total</w:t>
      </w:r>
      <w:proofErr w:type="spellEnd"/>
      <w:r w:rsidRPr="00212A28">
        <w:rPr>
          <w:rFonts w:ascii="Times New Roman" w:hAnsi="Times New Roman" w:cs="Times New Roman"/>
        </w:rPr>
        <w:t xml:space="preserve"> = 32 × 1.5849 </w:t>
      </w:r>
      <w:proofErr w:type="spellStart"/>
      <w:r w:rsidRPr="00212A28">
        <w:rPr>
          <w:rFonts w:ascii="Times New Roman" w:hAnsi="Times New Roman" w:cs="Times New Roman"/>
        </w:rPr>
        <w:t>mW</w:t>
      </w:r>
      <w:proofErr w:type="spellEnd"/>
    </w:p>
    <w:p w14:paraId="1BC420AF"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P_total</w:t>
      </w:r>
      <w:proofErr w:type="spellEnd"/>
      <w:r w:rsidRPr="00212A28">
        <w:rPr>
          <w:rFonts w:ascii="Times New Roman" w:hAnsi="Times New Roman" w:cs="Times New Roman"/>
        </w:rPr>
        <w:t xml:space="preserve"> = 50.72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4E268D0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Converting the total output power into dBm:</w:t>
      </w:r>
    </w:p>
    <w:p w14:paraId="37FDFD6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total,dBm</w:t>
      </w:r>
      <w:proofErr w:type="spellEnd"/>
      <w:proofErr w:type="gramEnd"/>
      <w:r w:rsidRPr="00212A28">
        <w:rPr>
          <w:rFonts w:ascii="Times New Roman" w:hAnsi="Times New Roman" w:cs="Times New Roman"/>
        </w:rPr>
        <w:t xml:space="preserve"> = 10 log₁</w:t>
      </w:r>
      <w:proofErr w:type="gramStart"/>
      <w:r w:rsidRPr="00212A28">
        <w:rPr>
          <w:rFonts w:ascii="Times New Roman" w:hAnsi="Times New Roman" w:cs="Times New Roman"/>
        </w:rPr>
        <w:t>₀(</w:t>
      </w:r>
      <w:proofErr w:type="gramEnd"/>
      <w:r w:rsidRPr="00212A28">
        <w:rPr>
          <w:rFonts w:ascii="Times New Roman" w:hAnsi="Times New Roman" w:cs="Times New Roman"/>
        </w:rPr>
        <w:t>50.72)</w:t>
      </w:r>
    </w:p>
    <w:p w14:paraId="25EEE51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total,dBm</w:t>
      </w:r>
      <w:proofErr w:type="spellEnd"/>
      <w:proofErr w:type="gramEnd"/>
      <w:r w:rsidRPr="00212A28">
        <w:rPr>
          <w:rFonts w:ascii="Times New Roman" w:hAnsi="Times New Roman" w:cs="Times New Roman"/>
        </w:rPr>
        <w:t xml:space="preserve"> ≈ 17.05 dBm.</w:t>
      </w:r>
    </w:p>
    <w:p w14:paraId="58D724D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Therefore, the total amplifier output requirement is approximately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17.05 dBm.</w:t>
      </w:r>
    </w:p>
    <w:p w14:paraId="50ADB14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total input power is:</w:t>
      </w:r>
    </w:p>
    <w:p w14:paraId="3278160A"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32 × 10</w:t>
      </w:r>
      <w:proofErr w:type="gramStart"/>
      <w:r w:rsidRPr="00212A28">
        <w:rPr>
          <w:rFonts w:ascii="Times New Roman" w:hAnsi="Times New Roman" w:cs="Times New Roman"/>
        </w:rPr>
        <w:t>^(</w:t>
      </w:r>
      <w:proofErr w:type="gramEnd"/>
      <w:r w:rsidRPr="00212A28">
        <w:rPr>
          <w:rFonts w:ascii="Times New Roman" w:hAnsi="Times New Roman" w:cs="Times New Roman"/>
        </w:rPr>
        <w:t xml:space="preserve">−15/10) </w:t>
      </w:r>
      <w:proofErr w:type="spellStart"/>
      <w:r w:rsidRPr="00212A28">
        <w:rPr>
          <w:rFonts w:ascii="Times New Roman" w:hAnsi="Times New Roman" w:cs="Times New Roman"/>
        </w:rPr>
        <w:t>mW</w:t>
      </w:r>
      <w:proofErr w:type="spellEnd"/>
    </w:p>
    <w:p w14:paraId="43F25E84"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32 × 0.03162 </w:t>
      </w:r>
      <w:proofErr w:type="spellStart"/>
      <w:r w:rsidRPr="00212A28">
        <w:rPr>
          <w:rFonts w:ascii="Times New Roman" w:hAnsi="Times New Roman" w:cs="Times New Roman"/>
        </w:rPr>
        <w:t>mW</w:t>
      </w:r>
      <w:proofErr w:type="spellEnd"/>
    </w:p>
    <w:p w14:paraId="4420C279"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1.012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37D1719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In dBm:</w:t>
      </w:r>
    </w:p>
    <w:p w14:paraId="78FFEC0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gramEnd"/>
      <w:r w:rsidRPr="00212A28">
        <w:rPr>
          <w:rFonts w:ascii="Times New Roman" w:hAnsi="Times New Roman" w:cs="Times New Roman"/>
        </w:rPr>
        <w:t>,dBm</w:t>
      </w:r>
      <w:proofErr w:type="spellEnd"/>
      <w:r w:rsidRPr="00212A28">
        <w:rPr>
          <w:rFonts w:ascii="Times New Roman" w:hAnsi="Times New Roman" w:cs="Times New Roman"/>
        </w:rPr>
        <w:t xml:space="preserve"> = 10 log₁</w:t>
      </w:r>
      <w:proofErr w:type="gramStart"/>
      <w:r w:rsidRPr="00212A28">
        <w:rPr>
          <w:rFonts w:ascii="Times New Roman" w:hAnsi="Times New Roman" w:cs="Times New Roman"/>
        </w:rPr>
        <w:t>₀(</w:t>
      </w:r>
      <w:proofErr w:type="gramEnd"/>
      <w:r w:rsidRPr="00212A28">
        <w:rPr>
          <w:rFonts w:ascii="Times New Roman" w:hAnsi="Times New Roman" w:cs="Times New Roman"/>
        </w:rPr>
        <w:t>1.012)</w:t>
      </w:r>
    </w:p>
    <w:p w14:paraId="0D0E7C2C"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gramEnd"/>
      <w:r w:rsidRPr="00212A28">
        <w:rPr>
          <w:rFonts w:ascii="Times New Roman" w:hAnsi="Times New Roman" w:cs="Times New Roman"/>
        </w:rPr>
        <w:t>,dBm</w:t>
      </w:r>
      <w:proofErr w:type="spellEnd"/>
      <w:r w:rsidRPr="00212A28">
        <w:rPr>
          <w:rFonts w:ascii="Times New Roman" w:hAnsi="Times New Roman" w:cs="Times New Roman"/>
        </w:rPr>
        <w:t xml:space="preserve"> ≈ 0.05 dBm.</w:t>
      </w:r>
    </w:p>
    <w:p w14:paraId="7FBE5D4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difference between total output power and total input power is approximately 17 dB, consistent with the per-channel gain requirement because all channels are assumed to have equal input and output powers.</w:t>
      </w:r>
    </w:p>
    <w:p w14:paraId="450E517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These calculations establish the ideal power gain requirement. They do not establish the actual noise figure, saturation performance, pump requirements, or gain flatness of a physical amplifier.</w:t>
      </w:r>
    </w:p>
    <w:p w14:paraId="515799F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4.3 ASE Noise, Gain Flatness, and OSNR</w:t>
      </w:r>
    </w:p>
    <w:p w14:paraId="28BB90B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Amplified spontaneous emission is introduced by optical amplifiers and accumulates along a cascaded transmission link. The OSNR depends on amplifier gain, noise figure, reference bandwidth, input signal power, and the number of spans. Increasing the number of amplifiers generally increases the accumulated noise unless the system design compensates for the resulting penalties.</w:t>
      </w:r>
    </w:p>
    <w:p w14:paraId="3EABCED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Gain non-flatness can produce unequal output powers across the DWDM channels. Channels experiencing lower gain may have insufficient receiver margin, while channels experiencing higher gain may encounter increased nonlinear penalties. Gain-flattening filters and automatic gain control help maintain a more uniform channel-power profile.</w:t>
      </w:r>
    </w:p>
    <w:p w14:paraId="6029F7F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The proposed design uses distributed Raman amplification to improve span noise performance and an EDFA to provide additional gain. Dynamic channel equalization is included to maintain consistent power across the wavelength grid. The actual noise figure, pump power, amplifier spacing, and OSNR must be established from the selected equipment specifications and link model.</w:t>
      </w:r>
    </w:p>
    <w:p w14:paraId="4519FED1" w14:textId="77777777" w:rsidR="00212A28" w:rsidRPr="00212A28" w:rsidRDefault="00212A28" w:rsidP="00212A28">
      <w:pPr>
        <w:rPr>
          <w:rFonts w:ascii="Times New Roman" w:hAnsi="Times New Roman" w:cs="Times New Roman"/>
        </w:rPr>
      </w:pPr>
      <w:r w:rsidRPr="00212A28">
        <w:rPr>
          <w:rFonts w:ascii="Times New Roman" w:hAnsi="Times New Roman" w:cs="Times New Roman"/>
          <w:b/>
          <w:bCs/>
        </w:rPr>
        <w:t>DESIGN DECISION 2</w:t>
      </w:r>
      <w:r w:rsidRPr="00212A28">
        <w:rPr>
          <w:rFonts w:ascii="Times New Roman" w:hAnsi="Times New Roman" w:cs="Times New Roman"/>
        </w:rPr>
        <w:t xml:space="preserve"> – OPTICAL AMPLIFICATION CONFIGURATION</w:t>
      </w:r>
    </w:p>
    <w:p w14:paraId="1151741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 recommend hybrid distributed-Raman and EDFA amplification with gain flattening and dynamic channel-power equalization because it combines distributed span gain with practical output-power control. The calculated requirement is 17 dB gain per channel and 17.05 dBm total output power. However, the final amplifier configuration must be validated against actual noise figures, gain profiles, saturation limits, fibre-span losses, and the required OSNR margin.</w:t>
      </w:r>
    </w:p>
    <w:p w14:paraId="5DD2163F" w14:textId="77777777" w:rsidR="00212A28" w:rsidRDefault="00212A28" w:rsidP="00212A28">
      <w:pPr>
        <w:rPr>
          <w:rFonts w:ascii="Times New Roman" w:hAnsi="Times New Roman" w:cs="Times New Roman"/>
          <w:b/>
          <w:bCs/>
        </w:rPr>
      </w:pPr>
    </w:p>
    <w:p w14:paraId="7CDF59DD" w14:textId="471077D6"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 STAGE 4 – WDM IMPAIRMENT MITIGATION AND COHERENT DSP</w:t>
      </w:r>
    </w:p>
    <w:p w14:paraId="1F876661"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5.1 Analysis of Optical-Fibre Impairments</w:t>
      </w:r>
    </w:p>
    <w:p w14:paraId="286F4AB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occurs because different spectral components of an optical signal propagate at different group velocities. It causes pulse broadening and inter-symbol interference. In coherent systems, accumulated chromatic dispersion can be compensated using digital equalization.</w:t>
      </w:r>
    </w:p>
    <w:p w14:paraId="5092202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Polarization mode dispersion arises from birefringence in the optical fibre, which causes different polarization components to experience different propagation delays. Adaptive polarization equalization and MIMO DSP can compensate for PMD within the operating limits of the receiver.</w:t>
      </w:r>
    </w:p>
    <w:p w14:paraId="10E8519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Self-phase modulation occurs when a signal's own intensity changes the fibre refractive index and consequently its optical phase. Cross-phase modulation occurs when one wavelength affects the phase of another wavelength through the Kerr effect. Four-wave mixing generates additional optical frequency components through nonlinear interactions among wavelengths. These effects depend on channel power, dispersion, wavelength spacing, and fibre characteristics.</w:t>
      </w:r>
    </w:p>
    <w:p w14:paraId="3B8DA92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Amplified spontaneous emission adds optical noise, while polarization-dependent loss causes different attenuation for different polarization states. AWG and MMI insertion losses also reduce the available optical power and must be included in the link budget.</w:t>
      </w:r>
    </w:p>
    <w:p w14:paraId="449FEF1A"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5.2 Optical-Domain and Digital-Domain Compensation</w:t>
      </w:r>
    </w:p>
    <w:p w14:paraId="46A4846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Dispersion-compensating fibre can compensate chromatic dispersion through its opposite dispersion characteristics. However, it introduces additional loss and may increase nonlinear penalties. Optical phase conjugation can compensate selected dispersion and nonlinear effects, but it requires additional optical components and appropriate system design.</w:t>
      </w:r>
    </w:p>
    <w:p w14:paraId="3079041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Coherent DSP provides a flexible alternative because it can compensate chromatic dispersion, PMD, polarization mixing, frequency offset, and phase noise. Nonlinear effects can also be mitigated using digital backpropagation, although this approach increases computational complexity and power consumption.</w:t>
      </w:r>
    </w:p>
    <w:p w14:paraId="2D9FC76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proposed system therefore uses coherent DSP as the primary impairment-compensation method, with optical compensation considered only if required by the verified link budget.</w:t>
      </w:r>
    </w:p>
    <w:p w14:paraId="65B22983"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5.3 Proposed Coherent DSP Processing Sequence</w:t>
      </w:r>
    </w:p>
    <w:p w14:paraId="7EEF780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coherent receiver consists of an integrated coherent receiver, analogue-to-digital converters, and digital processing blocks.</w:t>
      </w:r>
    </w:p>
    <w:p w14:paraId="43DCA4E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First, the integrated coherent receiver combines the incoming optical signal with a local oscillator and produces electrical in-phase and quadrature signals. The ADCs convert these signals into digital samples. Front-end correction and normalization are then applied.</w:t>
      </w:r>
    </w:p>
    <w:p w14:paraId="02AEC4E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compensation is performed using frequency-domain equalization or suitable FIR filtering. The equalizer removes accumulated linear dispersion and reduces inter-symbol interference.</w:t>
      </w:r>
    </w:p>
    <w:p w14:paraId="05C39D7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2 × 2 adaptive MIMO equalizer separates the two polarization channels and compensates for polarization mixing and PMD. The Constant Modulus Algorithm can be used for suitable blind acquisition stages, while decision-directed adaptation may improve convergence after reliable symbol decisions become available.</w:t>
      </w:r>
    </w:p>
    <w:p w14:paraId="3C7DB5A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Timing recovery, frequency-offset estimation, and carrier-phase estimation correct sampling and phase errors. Digital backpropagation may then be used to compensate selected nonlinear propagation effects by approximately reversing the fibre propagation model through a split-step Fourier method.</w:t>
      </w:r>
    </w:p>
    <w:p w14:paraId="3DADBD9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Finally, the recovered symbols are </w:t>
      </w:r>
      <w:proofErr w:type="spellStart"/>
      <w:r w:rsidRPr="00212A28">
        <w:rPr>
          <w:rFonts w:ascii="Times New Roman" w:hAnsi="Times New Roman" w:cs="Times New Roman"/>
        </w:rPr>
        <w:t>demapped</w:t>
      </w:r>
      <w:proofErr w:type="spellEnd"/>
      <w:r w:rsidRPr="00212A28">
        <w:rPr>
          <w:rFonts w:ascii="Times New Roman" w:hAnsi="Times New Roman" w:cs="Times New Roman"/>
        </w:rPr>
        <w:t>, BER is evaluated, and forward error correction is applied. The exact ordering of timing recovery, equalization, and carrier recovery depends on the selected DSP implementation and must be validated through simulation.</w:t>
      </w:r>
    </w:p>
    <w:p w14:paraId="4D4E374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DESIGN DECISION 3 – DSP COMPENSATION CONFIGURATION</w:t>
      </w:r>
    </w:p>
    <w:p w14:paraId="4CAC2D5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 recommend coherent DSP using frequency-domain chromatic-dispersion compensation, adaptive 2 × 2 MIMO polarization equalization, carrier-frequency and phase recovery, and optional digital backpropagation because it addresses the major linear impairments and offers a flexible approach to nonlinear mitigation. The effectiveness of the proposed chain must be evaluated using simulated BER, Q-factor, OSNR, and launch-power sweeps. No numerical improvement in reach or Q-factor is assumed without simulation evidence.</w:t>
      </w:r>
    </w:p>
    <w:p w14:paraId="7085ACB2" w14:textId="77777777" w:rsidR="00212A28" w:rsidRDefault="00212A28" w:rsidP="00212A28">
      <w:pPr>
        <w:rPr>
          <w:rFonts w:ascii="Times New Roman" w:hAnsi="Times New Roman" w:cs="Times New Roman"/>
          <w:b/>
          <w:bCs/>
        </w:rPr>
      </w:pPr>
    </w:p>
    <w:p w14:paraId="36945B0D" w14:textId="77777777" w:rsidR="00212A28" w:rsidRDefault="00212A28" w:rsidP="00212A28">
      <w:pPr>
        <w:rPr>
          <w:rFonts w:ascii="Times New Roman" w:hAnsi="Times New Roman" w:cs="Times New Roman"/>
          <w:b/>
          <w:bCs/>
        </w:rPr>
      </w:pPr>
    </w:p>
    <w:p w14:paraId="68FC0EE7" w14:textId="77777777" w:rsidR="00212A28" w:rsidRDefault="00212A28" w:rsidP="00212A28">
      <w:pPr>
        <w:rPr>
          <w:rFonts w:ascii="Times New Roman" w:hAnsi="Times New Roman" w:cs="Times New Roman"/>
          <w:b/>
          <w:bCs/>
        </w:rPr>
      </w:pPr>
    </w:p>
    <w:p w14:paraId="0454F898" w14:textId="7475DF15" w:rsidR="00212A28" w:rsidRPr="00212A28" w:rsidRDefault="00212A28" w:rsidP="00212A28">
      <w:pPr>
        <w:rPr>
          <w:rFonts w:ascii="Times New Roman" w:hAnsi="Times New Roman" w:cs="Times New Roman"/>
          <w:b/>
          <w:bCs/>
        </w:rPr>
      </w:pPr>
      <w:r w:rsidRPr="00212A28">
        <w:rPr>
          <w:rFonts w:ascii="Times New Roman" w:hAnsi="Times New Roman" w:cs="Times New Roman"/>
          <w:b/>
          <w:bCs/>
        </w:rPr>
        <w:lastRenderedPageBreak/>
        <w:t>6. STAGE 5 – INTEGRATED WDM TRANSMISSION STRATEGY</w:t>
      </w:r>
    </w:p>
    <w:p w14:paraId="4AD18E59"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6.1 Proposed End-to-End System Architecture</w:t>
      </w:r>
    </w:p>
    <w:p w14:paraId="644ECFD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proposed transmitter contains 32 narrow-linewidth laser sources, each operating at a wavelength assigned to the selected DWDM grid. Each channel is modulated using a dual-polarization 16-QAM transmitter implemented using a silicon-photonic nested-MZI IQ modulator.</w:t>
      </w:r>
    </w:p>
    <w:p w14:paraId="3E8826F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modulated channels pass through optical power-control components and an AWG-based DWDM multiplexer. MMI couplers may be used for power splitting and combining where appropriate. Optical isolators suppress unwanted reverse propagation, while Faraday rotators are included where polarization rotation is required by the selected architecture.</w:t>
      </w:r>
    </w:p>
    <w:p w14:paraId="084BFD5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combined DWDM signal enters a single-mode fibre transmission link supported by hybrid distributed-Raman and EDFA amplification. Subsequent amplifier spans are added according to the actual fibre distance, span loss, and OSNR budget. At the receiver, an AWG demultiplexer separates the wavelengths before coherent optical reception.</w:t>
      </w:r>
    </w:p>
    <w:p w14:paraId="6641E49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Each channel is processed by an integrated coherent receiver, ADCs, chromatic-dispersion compensation, adaptive polarization equalization, carrier recovery, optional digital backpropagation, symbol </w:t>
      </w:r>
      <w:proofErr w:type="spellStart"/>
      <w:r w:rsidRPr="00212A28">
        <w:rPr>
          <w:rFonts w:ascii="Times New Roman" w:hAnsi="Times New Roman" w:cs="Times New Roman"/>
        </w:rPr>
        <w:t>demapping</w:t>
      </w:r>
      <w:proofErr w:type="spellEnd"/>
      <w:r w:rsidRPr="00212A28">
        <w:rPr>
          <w:rFonts w:ascii="Times New Roman" w:hAnsi="Times New Roman" w:cs="Times New Roman"/>
        </w:rPr>
        <w:t>, and FEC decoding.</w:t>
      </w:r>
    </w:p>
    <w:p w14:paraId="08EC533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complete architecture is:</w:t>
      </w:r>
    </w:p>
    <w:p w14:paraId="6D4172A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32 Laser Sources → DP-16QAM MZI Modulators → Optical Power Control → AWG/MMI Multiplexer → Optical Isolator and Polarization Management → Hybrid Raman–EDFA Amplification → SMF-28 Transmission Fibre → Additional Amplified Spans as Required → AWG Demultiplexer → Coherent Optical Receiver → ADC → Chromatic-Dispersion Equalizer → Adaptive MIMO Equalizer → Timing and Carrier Recovery → Optional DBP → Symbol </w:t>
      </w:r>
      <w:proofErr w:type="spellStart"/>
      <w:r w:rsidRPr="00212A28">
        <w:rPr>
          <w:rFonts w:ascii="Times New Roman" w:hAnsi="Times New Roman" w:cs="Times New Roman"/>
        </w:rPr>
        <w:t>Demapper</w:t>
      </w:r>
      <w:proofErr w:type="spellEnd"/>
      <w:r w:rsidRPr="00212A28">
        <w:rPr>
          <w:rFonts w:ascii="Times New Roman" w:hAnsi="Times New Roman" w:cs="Times New Roman"/>
        </w:rPr>
        <w:t xml:space="preserve"> → FEC Decoder → Recovered Data.</w:t>
      </w:r>
    </w:p>
    <w:p w14:paraId="02D8F679"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6.2 Proposed System Design Parameters</w:t>
      </w:r>
    </w:p>
    <w:p w14:paraId="5874263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Number of DWDM channels: 32.</w:t>
      </w:r>
    </w:p>
    <w:p w14:paraId="7AEC11C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Gross data rate per channel: 200 Gb/s.</w:t>
      </w:r>
    </w:p>
    <w:p w14:paraId="4D722C4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Aggregate gross data rate: 6.4 Tb/s.</w:t>
      </w:r>
    </w:p>
    <w:p w14:paraId="3019496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DWDM frequency spacing: 50 GHz.</w:t>
      </w:r>
    </w:p>
    <w:p w14:paraId="5520E0C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Operating wavelength region: C-band.</w:t>
      </w:r>
    </w:p>
    <w:p w14:paraId="695D45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Modulation format: Dual-polarization 16-QAM.</w:t>
      </w:r>
    </w:p>
    <w:p w14:paraId="3A3F692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Idealized symbol rate: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DB3005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Raised-cosine roll-off factor: 0.1, assumed for the bandwidth estimate.</w:t>
      </w:r>
    </w:p>
    <w:p w14:paraId="4720383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Approximate idealized signal bandwidth: 27.5 GHz.</w:t>
      </w:r>
    </w:p>
    <w:p w14:paraId="3A1A259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Modulator architecture: Silicon-photonic nested-MZI IQ modulator.</w:t>
      </w:r>
    </w:p>
    <w:p w14:paraId="1821233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Target modulator bandwidth: Greater than 35 GHz.</w:t>
      </w:r>
    </w:p>
    <w:p w14:paraId="4A50DD8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Laser linewidth: To be specified from the selected transceiver and phase-noise budget.</w:t>
      </w:r>
    </w:p>
    <w:p w14:paraId="1B4E869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Modulator half-wave voltage, Vπ: To be obtained from the selected device datasheet.</w:t>
      </w:r>
    </w:p>
    <w:p w14:paraId="2E8F0C5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Fibre attenuation, α: To be obtained from the selected SMF-28 specification.</w:t>
      </w:r>
    </w:p>
    <w:p w14:paraId="40D8BD7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D: To be obtained from the selected fibre specification.</w:t>
      </w:r>
    </w:p>
    <w:p w14:paraId="55E88A7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Nonlinear coefficient, γ: To be obtained from the selected fibre specification.</w:t>
      </w:r>
    </w:p>
    <w:p w14:paraId="5514DF1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Amplification architecture: Distributed Raman plus EDFA.</w:t>
      </w:r>
    </w:p>
    <w:p w14:paraId="1CBEF90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Calculated gain requirement: 17 dB per channel.</w:t>
      </w:r>
    </w:p>
    <w:p w14:paraId="6564578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Calculated total output power: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approximately 17.05 dBm.</w:t>
      </w:r>
    </w:p>
    <w:p w14:paraId="557FF6D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Gain-flatness target: Less than 1 dB across the operating band.</w:t>
      </w:r>
    </w:p>
    <w:p w14:paraId="292E8E6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Amplifier noise figure: To be obtained from manufacturer specifications.</w:t>
      </w:r>
    </w:p>
    <w:p w14:paraId="7A199A2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DSP filter taps: To be determined from the accumulated dispersion, sampling rate, equalizer architecture, and simulation convergence.</w:t>
      </w:r>
    </w:p>
    <w:p w14:paraId="433C6FE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Pre-FEC BER target: Below 3.8 × 10⁻³.</w:t>
      </w:r>
    </w:p>
    <w:p w14:paraId="009D328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OSNR design target: Above 18 dB in a 0.1 nm reference bandwidth, subject to validation.</w:t>
      </w:r>
    </w:p>
    <w:p w14:paraId="29A74CF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values marked as targets or manufacturer-dependent parameters must not be treated as experimentally established results. The final parameter table must be updated with the selected component specifications and simulated performance.</w:t>
      </w:r>
    </w:p>
    <w:p w14:paraId="123F775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6.3 Interdependency and Trade-Off Analysis</w:t>
      </w:r>
    </w:p>
    <w:p w14:paraId="27D330D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DP-16QAM increases spectral efficiency but is more sensitive to optical noise and phase errors than lower-order modulation formats. Consequently, the selected amplifier configuration must maintain sufficient OSNR across all channels. Higher-order modulation also increases coherent DSP requirements, including carrier-phase estimation, polarization demultiplexing, and reliable symbol decisions.</w:t>
      </w:r>
    </w:p>
    <w:p w14:paraId="6C06A36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MMI and AWG insertion losses reduce the available optical power and must be included in the link budget. Increasing transmitter power to compensate for these losses may increase SPM, XPM, and FWM penalties. Therefore, launch power must be optimized rather than maximized.</w:t>
      </w:r>
    </w:p>
    <w:p w14:paraId="55B88EE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Hybrid Raman–EDFA amplification offers flexibility in managing gain and noise, but requires additional pump power, equipment, monitoring, and safety control. DBP may improve nonlinear tolerance but can increase computational load and energy consumption. The final architecture must balance transmission reach, spectral efficiency, thermal management, system footprint, reliability, and total cost.</w:t>
      </w:r>
    </w:p>
    <w:p w14:paraId="2450528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DESIGN DECISION 4 – INTEGRATED WDM STRATEGY</w:t>
      </w:r>
    </w:p>
    <w:p w14:paraId="3879ACA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 recommend adopting the proposed integrated DWDM architecture for further engineering validation because it combines high spectral efficiency, compact photonic integration, hybrid optical amplification, and coherent DSP. However, full network deployment should be authorized only after the end-to-end model verifies the OSNR budget, BER, Q-factor, amplifier gain flatness, launch-power operating region, component losses, and compliance with the applicable interface standards.</w:t>
      </w:r>
    </w:p>
    <w:p w14:paraId="2EE14654"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 STAGE 6 – VERIFICATION AND CRITICAL EVALUATION</w:t>
      </w:r>
    </w:p>
    <w:p w14:paraId="1353DF2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7.1 Verification Table</w:t>
      </w:r>
    </w:p>
    <w:p w14:paraId="13A5B950"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Aggregate WDM capacity: The target is 6.4 Tb/s. The calculated value is 32 channels × 200 Gb/s = 6.4 Tb/s.</w:t>
      </w:r>
    </w:p>
    <w:p w14:paraId="57C2DE1F"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Spectral efficiency: The target is at least 4 b/s/Hz. The calculated gross value is 200 Gb/s divided by 50 GHz = 4 b/s/Hz.</w:t>
      </w:r>
    </w:p>
    <w:p w14:paraId="69D01D9B"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Modulation choice: DP-16QAM is selected. The idealized symbol rate is 25 </w:t>
      </w:r>
      <w:proofErr w:type="spellStart"/>
      <w:r w:rsidRPr="00212A28">
        <w:rPr>
          <w:rFonts w:ascii="Times New Roman" w:hAnsi="Times New Roman" w:cs="Times New Roman"/>
        </w:rPr>
        <w:t>GBd</w:t>
      </w:r>
      <w:proofErr w:type="spellEnd"/>
      <w:r w:rsidRPr="00212A28">
        <w:rPr>
          <w:rFonts w:ascii="Times New Roman" w:hAnsi="Times New Roman" w:cs="Times New Roman"/>
        </w:rPr>
        <w:t>, subject to overhead and implementation requirements.</w:t>
      </w:r>
    </w:p>
    <w:p w14:paraId="700CB50C"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Modulator bandwidth and footprint: The target bandwidth is greater than 35 GHz with a compact photonic integrated circuit. Actual compliance requires a selected device datasheet and implementation measurements.</w:t>
      </w:r>
    </w:p>
    <w:p w14:paraId="328A833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Amplifier gain: The required gain is 17 dB per channel. This is calculated from the specified input and output powers.</w:t>
      </w:r>
    </w:p>
    <w:p w14:paraId="06D8F0E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Total amplifier output power: The calculated value is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approximately 17.05 dBm for 32 equal-power channels.</w:t>
      </w:r>
    </w:p>
    <w:p w14:paraId="4B9ECDE5"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Gain flatness: The proposed target is less than 1 </w:t>
      </w:r>
      <w:proofErr w:type="spellStart"/>
      <w:r w:rsidRPr="00212A28">
        <w:rPr>
          <w:rFonts w:ascii="Times New Roman" w:hAnsi="Times New Roman" w:cs="Times New Roman"/>
        </w:rPr>
        <w:t>dB.</w:t>
      </w:r>
      <w:proofErr w:type="spellEnd"/>
      <w:r w:rsidRPr="00212A28">
        <w:rPr>
          <w:rFonts w:ascii="Times New Roman" w:hAnsi="Times New Roman" w:cs="Times New Roman"/>
        </w:rPr>
        <w:t xml:space="preserve"> This requires verification from the selected amplifier and gain-flattening configuration.</w:t>
      </w:r>
    </w:p>
    <w:p w14:paraId="264DAD53"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OSNR: The design target is above 18 dB in a 0.1 nm reference bandwidth. This remains unverified until the actual noise figures and span model are included.</w:t>
      </w:r>
    </w:p>
    <w:p w14:paraId="0CFF088C"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BER: The required pre-FEC BER is below 3.8 × 10⁻³. This requires simulation or measurement using the selected receiver and FEC assumptions.</w:t>
      </w:r>
    </w:p>
    <w:p w14:paraId="2EF7899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DSP impairment mitigation: Chromatic-dispersion compensation, adaptive MIMO polarization equalization, carrier recovery, and optional DBP are proposed. Their effectiveness must be demonstrated through simulation.</w:t>
      </w:r>
    </w:p>
    <w:p w14:paraId="696688E6"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Standards compliance: The DWDM frequency grid should follow ITU-T G.694.1, and the applicable optical-interface requirements should be identified separately. IEEE 802.3ct, IEEE 802.3ck, and OIF-CEI apply to specific interfaces and implementations, not automatically to the entire optical transport link.</w:t>
      </w:r>
    </w:p>
    <w:p w14:paraId="1D9EC2FD"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lastRenderedPageBreak/>
        <w:t>Simulation evidence: Optical spectra, constellation diagrams, eye diagrams, BER results, and Q-factor versus launch-power curves must be generated from an actual simulation model. These results are not available from the analytical calculations alone.</w:t>
      </w:r>
    </w:p>
    <w:p w14:paraId="6EAB18C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7.2 Simulation and Validation Procedure</w:t>
      </w:r>
    </w:p>
    <w:p w14:paraId="34E3A02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system should be modelled in </w:t>
      </w:r>
      <w:proofErr w:type="spellStart"/>
      <w:r w:rsidRPr="00212A28">
        <w:rPr>
          <w:rFonts w:ascii="Times New Roman" w:hAnsi="Times New Roman" w:cs="Times New Roman"/>
        </w:rPr>
        <w:t>OptiSystem</w:t>
      </w:r>
      <w:proofErr w:type="spellEnd"/>
      <w:r w:rsidRPr="00212A28">
        <w:rPr>
          <w:rFonts w:ascii="Times New Roman" w:hAnsi="Times New Roman" w:cs="Times New Roman"/>
        </w:rPr>
        <w:t xml:space="preserve">, </w:t>
      </w:r>
      <w:proofErr w:type="spellStart"/>
      <w:r w:rsidRPr="00212A28">
        <w:rPr>
          <w:rFonts w:ascii="Times New Roman" w:hAnsi="Times New Roman" w:cs="Times New Roman"/>
        </w:rPr>
        <w:t>OptSim</w:t>
      </w:r>
      <w:proofErr w:type="spellEnd"/>
      <w:r w:rsidRPr="00212A28">
        <w:rPr>
          <w:rFonts w:ascii="Times New Roman" w:hAnsi="Times New Roman" w:cs="Times New Roman"/>
        </w:rPr>
        <w:t>, or MATLAB using the selected channel spacing, symbol rate, modulation format, fibre parameters, amplifier configuration, and receiver DSP.</w:t>
      </w:r>
    </w:p>
    <w:p w14:paraId="1B84DC9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optical spectrum analyser should be used to inspect wavelength spacing and gain flatness. Constellation diagrams should be examined before and after DSP to evaluate symbol separation. Eye diagrams should be obtained at appropriate electrical or optical test points. BER and Q-factor should be recorded across a range of received powers and OSNR values.</w:t>
      </w:r>
    </w:p>
    <w:p w14:paraId="530FDC4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A launch-power sweep should be performed to identify the operating region </w:t>
      </w:r>
      <w:proofErr w:type="gramStart"/>
      <w:r w:rsidRPr="00212A28">
        <w:rPr>
          <w:rFonts w:ascii="Times New Roman" w:hAnsi="Times New Roman" w:cs="Times New Roman"/>
        </w:rPr>
        <w:t>where</w:t>
      </w:r>
      <w:proofErr w:type="gramEnd"/>
      <w:r w:rsidRPr="00212A28">
        <w:rPr>
          <w:rFonts w:ascii="Times New Roman" w:hAnsi="Times New Roman" w:cs="Times New Roman"/>
        </w:rPr>
        <w:t xml:space="preserve"> increasing optical power no longer improves signal quality because nonlinear penalties become significant. Further simulations should compare performance with and without chromatic-dispersion compensation, adaptive polarization equalization, and DBP.</w:t>
      </w:r>
    </w:p>
    <w:p w14:paraId="2281A16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All simulation plots must be generated from the actual model. No simulated BER, Q-factor, eye diagram, or constellation result should be reported as measured evidence until the corresponding test has been performed.</w:t>
      </w:r>
    </w:p>
    <w:p w14:paraId="621A9715"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8. FINAL ENGINEERING DECISION</w:t>
      </w:r>
    </w:p>
    <w:p w14:paraId="3122DB3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DECISION: NO – NOT YET APPROVED FOR DEPLOYMENT.</w:t>
      </w:r>
    </w:p>
    <w:p w14:paraId="2140BDF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proposed 32-channel DWDM system is technically promising, but final deployment cannot be justified solely from the available analytical calculations. The investigation establishes a gross aggregate capacity of 6.4 Tb/s, an idealized DP-16QAM symbol rate of 25 </w:t>
      </w:r>
      <w:proofErr w:type="spellStart"/>
      <w:r w:rsidRPr="00212A28">
        <w:rPr>
          <w:rFonts w:ascii="Times New Roman" w:hAnsi="Times New Roman" w:cs="Times New Roman"/>
        </w:rPr>
        <w:t>GBd</w:t>
      </w:r>
      <w:proofErr w:type="spellEnd"/>
      <w:r w:rsidRPr="00212A28">
        <w:rPr>
          <w:rFonts w:ascii="Times New Roman" w:hAnsi="Times New Roman" w:cs="Times New Roman"/>
        </w:rPr>
        <w:t>, a gross spectral efficiency of 4 b/s/Hz, and a required amplifier gain of 17 dB per channel.</w:t>
      </w:r>
    </w:p>
    <w:p w14:paraId="4BC4D00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However, the target OSNR and BER have not yet been verified. The transmission distance, fibre-span length, number of amplifiers, actual amplifier noise figures, component insertion losses, laser linewidth, modulator Vπ, and DSP implementation parameters must be established. Simulation results are also necessary to quantify the effects of chromatic dispersion, PMD, nonlinear propagation, and digital compensation.</w:t>
      </w:r>
    </w:p>
    <w:p w14:paraId="586C61F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system should proceed to detailed simulation and prototype validation. Deployment approval should be considered only after the model demonstrates acceptable BER, Q-factor, OSNR margin, gain flatness, launch-power tolerance, power consumption, and reliability, and after the selected interfaces have been checked against their applicable standards.</w:t>
      </w:r>
    </w:p>
    <w:p w14:paraId="50F75C5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ITU-T G.694.1 specifies the DWDM frequency grid, while ITU-T G.698.2 addresses defined multichannel optical interfaces for amplified DWDM applications. IEEE 802.3ct and IEEE 802.3ck address specific Ethernet physical-layer interfaces. A 200 Gb/s-per-wavelength </w:t>
      </w:r>
      <w:r w:rsidRPr="00212A28">
        <w:rPr>
          <w:rFonts w:ascii="Times New Roman" w:hAnsi="Times New Roman" w:cs="Times New Roman"/>
        </w:rPr>
        <w:lastRenderedPageBreak/>
        <w:t>system must not be declared compliant merely because these standards are referenced; the selected interface specification and all applicable requirements must be verified.</w:t>
      </w:r>
    </w:p>
    <w:p w14:paraId="3C9EF32A"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9. REFERENCES</w:t>
      </w:r>
    </w:p>
    <w:p w14:paraId="38E35F8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[1] International Telecommunication Union, “ITU-T Recommendation G.694.1: Spectral Grids for WDM Applications—DWDM Frequency Grid,” 2020. Available at: </w:t>
      </w:r>
      <w:hyperlink r:id="rId5" w:history="1">
        <w:r w:rsidRPr="00212A28">
          <w:rPr>
            <w:rStyle w:val="Hyperlink"/>
            <w:rFonts w:ascii="Times New Roman" w:hAnsi="Times New Roman" w:cs="Times New Roman"/>
          </w:rPr>
          <w:t>https://www.itu.int/rec/T-REC-G.694.1-202010-I/en</w:t>
        </w:r>
      </w:hyperlink>
    </w:p>
    <w:p w14:paraId="05D3E27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[2] International Telecommunication Union, “ITU-T Recommendation G.698.2: Amplified Multichannel DWDM Applications with Single-Channel Optical Interfaces,” 2018. Available at: </w:t>
      </w:r>
      <w:hyperlink r:id="rId6" w:history="1">
        <w:r w:rsidRPr="00212A28">
          <w:rPr>
            <w:rStyle w:val="Hyperlink"/>
            <w:rFonts w:ascii="Times New Roman" w:hAnsi="Times New Roman" w:cs="Times New Roman"/>
          </w:rPr>
          <w:t>https://www.itu.int/rec/T-REC-G.698.2-201811-I/en</w:t>
        </w:r>
      </w:hyperlink>
    </w:p>
    <w:p w14:paraId="2CA463D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[3] IEEE, “IEEE Std 802.3ct-2021: IEEE Standard for Ethernet—Amendment: Physical Layers and Management Parameters for 100 Gb/s and 200 Gb/s Operation over DWDM Systems.” Available at: </w:t>
      </w:r>
      <w:hyperlink r:id="rId7" w:history="1">
        <w:r w:rsidRPr="00212A28">
          <w:rPr>
            <w:rStyle w:val="Hyperlink"/>
            <w:rFonts w:ascii="Times New Roman" w:hAnsi="Times New Roman" w:cs="Times New Roman"/>
          </w:rPr>
          <w:t>https://www.ieee802.org/3/ct/</w:t>
        </w:r>
      </w:hyperlink>
    </w:p>
    <w:p w14:paraId="39983E0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[4] IEEE, “IEEE Std 802.3ck-2022: IEEE Standard for Ethernet—Physical Layers and Management Parameters for 100 Gb/s, 200 Gb/s, and 400 Gb/s Electrical Interfaces Based on 100 Gb/s </w:t>
      </w:r>
      <w:proofErr w:type="spellStart"/>
      <w:r w:rsidRPr="00212A28">
        <w:rPr>
          <w:rFonts w:ascii="Times New Roman" w:hAnsi="Times New Roman" w:cs="Times New Roman"/>
        </w:rPr>
        <w:t>Signaling</w:t>
      </w:r>
      <w:proofErr w:type="spellEnd"/>
      <w:r w:rsidRPr="00212A28">
        <w:rPr>
          <w:rFonts w:ascii="Times New Roman" w:hAnsi="Times New Roman" w:cs="Times New Roman"/>
        </w:rPr>
        <w:t xml:space="preserve">.” Available at: </w:t>
      </w:r>
      <w:hyperlink r:id="rId8" w:history="1">
        <w:r w:rsidRPr="00212A28">
          <w:rPr>
            <w:rStyle w:val="Hyperlink"/>
            <w:rFonts w:ascii="Times New Roman" w:hAnsi="Times New Roman" w:cs="Times New Roman"/>
          </w:rPr>
          <w:t>https://standards.ieee.org/ieee/802.3ck/7322/</w:t>
        </w:r>
      </w:hyperlink>
    </w:p>
    <w:p w14:paraId="2090481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[5] Savory, S. J., “Digital Filters for Coherent Optical Receivers,” Optics Express, vol. 16, no. 2, pp. 804–817, 2008. DOI: </w:t>
      </w:r>
      <w:hyperlink r:id="rId9" w:history="1">
        <w:r w:rsidRPr="00212A28">
          <w:rPr>
            <w:rStyle w:val="Hyperlink"/>
            <w:rFonts w:ascii="Times New Roman" w:hAnsi="Times New Roman" w:cs="Times New Roman"/>
          </w:rPr>
          <w:t>https://doi.org/10.1364/OE.16.000804</w:t>
        </w:r>
      </w:hyperlink>
    </w:p>
    <w:p w14:paraId="5A2B7BD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[6] “Polymer Modulators in Silicon Photonics: Review and Projections,” </w:t>
      </w:r>
      <w:proofErr w:type="spellStart"/>
      <w:r w:rsidRPr="00212A28">
        <w:rPr>
          <w:rFonts w:ascii="Times New Roman" w:hAnsi="Times New Roman" w:cs="Times New Roman"/>
        </w:rPr>
        <w:t>Nanophotonics</w:t>
      </w:r>
      <w:proofErr w:type="spellEnd"/>
      <w:r w:rsidRPr="00212A28">
        <w:rPr>
          <w:rFonts w:ascii="Times New Roman" w:hAnsi="Times New Roman" w:cs="Times New Roman"/>
        </w:rPr>
        <w:t xml:space="preserve">, 2022. DOI: </w:t>
      </w:r>
      <w:hyperlink r:id="rId10" w:history="1">
        <w:r w:rsidRPr="00212A28">
          <w:rPr>
            <w:rStyle w:val="Hyperlink"/>
            <w:rFonts w:ascii="Times New Roman" w:hAnsi="Times New Roman" w:cs="Times New Roman"/>
          </w:rPr>
          <w:t>https://doi.org/10.1515/nanoph-2022-0141</w:t>
        </w:r>
      </w:hyperlink>
    </w:p>
    <w:p w14:paraId="513BCCB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[7] “Digital Signal Processing for Fiber Nonlinearities,” Optics Express, 2017. DOI: </w:t>
      </w:r>
      <w:hyperlink r:id="rId11" w:history="1">
        <w:r w:rsidRPr="00212A28">
          <w:rPr>
            <w:rStyle w:val="Hyperlink"/>
            <w:rFonts w:ascii="Times New Roman" w:hAnsi="Times New Roman" w:cs="Times New Roman"/>
          </w:rPr>
          <w:t>https://doi.org/10.1364/OE.25.001916</w:t>
        </w:r>
      </w:hyperlink>
    </w:p>
    <w:p w14:paraId="7E2A475F" w14:textId="77777777" w:rsidR="00212A28" w:rsidRPr="00212A28" w:rsidRDefault="00212A28" w:rsidP="00212A28">
      <w:pPr>
        <w:rPr>
          <w:rFonts w:ascii="Times New Roman" w:hAnsi="Times New Roman" w:cs="Times New Roman"/>
        </w:rPr>
      </w:pPr>
    </w:p>
    <w:p w14:paraId="3E570715" w14:textId="77777777" w:rsidR="00212A28" w:rsidRPr="00212A28" w:rsidRDefault="00212A28">
      <w:pPr>
        <w:rPr>
          <w:rFonts w:ascii="Times New Roman" w:hAnsi="Times New Roman" w:cs="Times New Roman"/>
        </w:rPr>
      </w:pPr>
    </w:p>
    <w:sectPr w:rsidR="00212A28" w:rsidRPr="0021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6D15"/>
    <w:multiLevelType w:val="multilevel"/>
    <w:tmpl w:val="102A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42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28"/>
    <w:rsid w:val="00212A28"/>
    <w:rsid w:val="00350B2C"/>
    <w:rsid w:val="0035655A"/>
    <w:rsid w:val="003D3F3B"/>
    <w:rsid w:val="00454719"/>
    <w:rsid w:val="005652BC"/>
    <w:rsid w:val="00704E59"/>
    <w:rsid w:val="00C07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2113"/>
  <w15:chartTrackingRefBased/>
  <w15:docId w15:val="{E3935CEE-8AD4-4286-90E6-4E52AC306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28"/>
    <w:rPr>
      <w:rFonts w:eastAsiaTheme="majorEastAsia" w:cstheme="majorBidi"/>
      <w:color w:val="272727" w:themeColor="text1" w:themeTint="D8"/>
    </w:rPr>
  </w:style>
  <w:style w:type="paragraph" w:styleId="Title">
    <w:name w:val="Title"/>
    <w:basedOn w:val="Normal"/>
    <w:next w:val="Normal"/>
    <w:link w:val="TitleChar"/>
    <w:uiPriority w:val="10"/>
    <w:qFormat/>
    <w:rsid w:val="0021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28"/>
    <w:pPr>
      <w:spacing w:before="160"/>
      <w:jc w:val="center"/>
    </w:pPr>
    <w:rPr>
      <w:i/>
      <w:iCs/>
      <w:color w:val="404040" w:themeColor="text1" w:themeTint="BF"/>
    </w:rPr>
  </w:style>
  <w:style w:type="character" w:customStyle="1" w:styleId="QuoteChar">
    <w:name w:val="Quote Char"/>
    <w:basedOn w:val="DefaultParagraphFont"/>
    <w:link w:val="Quote"/>
    <w:uiPriority w:val="29"/>
    <w:rsid w:val="00212A28"/>
    <w:rPr>
      <w:i/>
      <w:iCs/>
      <w:color w:val="404040" w:themeColor="text1" w:themeTint="BF"/>
    </w:rPr>
  </w:style>
  <w:style w:type="paragraph" w:styleId="ListParagraph">
    <w:name w:val="List Paragraph"/>
    <w:basedOn w:val="Normal"/>
    <w:uiPriority w:val="34"/>
    <w:qFormat/>
    <w:rsid w:val="00212A28"/>
    <w:pPr>
      <w:ind w:left="720"/>
      <w:contextualSpacing/>
    </w:pPr>
  </w:style>
  <w:style w:type="character" w:styleId="IntenseEmphasis">
    <w:name w:val="Intense Emphasis"/>
    <w:basedOn w:val="DefaultParagraphFont"/>
    <w:uiPriority w:val="21"/>
    <w:qFormat/>
    <w:rsid w:val="00212A28"/>
    <w:rPr>
      <w:i/>
      <w:iCs/>
      <w:color w:val="0F4761" w:themeColor="accent1" w:themeShade="BF"/>
    </w:rPr>
  </w:style>
  <w:style w:type="paragraph" w:styleId="IntenseQuote">
    <w:name w:val="Intense Quote"/>
    <w:basedOn w:val="Normal"/>
    <w:next w:val="Normal"/>
    <w:link w:val="IntenseQuoteChar"/>
    <w:uiPriority w:val="30"/>
    <w:qFormat/>
    <w:rsid w:val="0021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28"/>
    <w:rPr>
      <w:i/>
      <w:iCs/>
      <w:color w:val="0F4761" w:themeColor="accent1" w:themeShade="BF"/>
    </w:rPr>
  </w:style>
  <w:style w:type="character" w:styleId="IntenseReference">
    <w:name w:val="Intense Reference"/>
    <w:basedOn w:val="DefaultParagraphFont"/>
    <w:uiPriority w:val="32"/>
    <w:qFormat/>
    <w:rsid w:val="00212A28"/>
    <w:rPr>
      <w:b/>
      <w:bCs/>
      <w:smallCaps/>
      <w:color w:val="0F4761" w:themeColor="accent1" w:themeShade="BF"/>
      <w:spacing w:val="5"/>
    </w:rPr>
  </w:style>
  <w:style w:type="character" w:styleId="Hyperlink">
    <w:name w:val="Hyperlink"/>
    <w:basedOn w:val="DefaultParagraphFont"/>
    <w:uiPriority w:val="99"/>
    <w:unhideWhenUsed/>
    <w:rsid w:val="00212A28"/>
    <w:rPr>
      <w:color w:val="467886" w:themeColor="hyperlink"/>
      <w:u w:val="single"/>
    </w:rPr>
  </w:style>
  <w:style w:type="character" w:styleId="UnresolvedMention">
    <w:name w:val="Unresolved Mention"/>
    <w:basedOn w:val="DefaultParagraphFont"/>
    <w:uiPriority w:val="99"/>
    <w:semiHidden/>
    <w:unhideWhenUsed/>
    <w:rsid w:val="00212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dards.ieee.org/ieee/802.3ck/732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eee802.org/3/c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u.int/rec/T-REC-G.698.2-201811-I/en" TargetMode="External"/><Relationship Id="rId11" Type="http://schemas.openxmlformats.org/officeDocument/2006/relationships/hyperlink" Target="https://doi.org/10.1364/OE.25.001916" TargetMode="External"/><Relationship Id="rId5" Type="http://schemas.openxmlformats.org/officeDocument/2006/relationships/hyperlink" Target="https://www.itu.int/rec/T-REC-G.694.1-202010-I/en" TargetMode="External"/><Relationship Id="rId10" Type="http://schemas.openxmlformats.org/officeDocument/2006/relationships/hyperlink" Target="https://doi.org/10.1515/nanoph-2022-0141" TargetMode="External"/><Relationship Id="rId4" Type="http://schemas.openxmlformats.org/officeDocument/2006/relationships/webSettings" Target="webSettings.xml"/><Relationship Id="rId9" Type="http://schemas.openxmlformats.org/officeDocument/2006/relationships/hyperlink" Target="https://doi.org/10.1364/OE.16.000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4397</Words>
  <Characters>25064</Characters>
  <Application>Microsoft Office Word</Application>
  <DocSecurity>0</DocSecurity>
  <Lines>208</Lines>
  <Paragraphs>58</Paragraphs>
  <ScaleCrop>false</ScaleCrop>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HEMA SRI R</cp:lastModifiedBy>
  <cp:revision>2</cp:revision>
  <dcterms:created xsi:type="dcterms:W3CDTF">2026-10-27T06:57:00Z</dcterms:created>
  <dcterms:modified xsi:type="dcterms:W3CDTF">2026-10-27T06:57:00Z</dcterms:modified>
</cp:coreProperties>
</file>