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11B" w:rsidRPr="0077511B" w:rsidRDefault="0077511B">
      <w:pPr>
        <w:rPr>
          <w:b/>
          <w:sz w:val="40"/>
          <w:szCs w:val="40"/>
        </w:rPr>
      </w:pPr>
      <w:r w:rsidRPr="0077511B">
        <w:rPr>
          <w:b/>
          <w:sz w:val="40"/>
          <w:szCs w:val="40"/>
        </w:rPr>
        <w:t xml:space="preserve">Exp. 7. MOSFET Scaling Analysis and Subthreshold Swing Calculation using </w:t>
      </w:r>
      <w:proofErr w:type="spellStart"/>
      <w:r w:rsidRPr="0077511B">
        <w:rPr>
          <w:b/>
          <w:sz w:val="40"/>
          <w:szCs w:val="40"/>
        </w:rPr>
        <w:t>NanoHub</w:t>
      </w:r>
      <w:proofErr w:type="spellEnd"/>
    </w:p>
    <w:p w:rsidR="00D910B0" w:rsidRDefault="0077511B">
      <w:r>
        <w:t xml:space="preserve"> Aim: To study the current-voltage characteristics and transconductance efficiency of a single-gate MOSFET using the </w:t>
      </w:r>
      <w:proofErr w:type="spellStart"/>
      <w:r>
        <w:t>NanoHUB</w:t>
      </w:r>
      <w:proofErr w:type="spellEnd"/>
      <w:r>
        <w:t xml:space="preserve"> </w:t>
      </w:r>
      <w:proofErr w:type="spellStart"/>
      <w:r>
        <w:t>FetToy</w:t>
      </w:r>
      <w:proofErr w:type="spellEnd"/>
      <w:r>
        <w:t xml:space="preserve"> Simulator.</w:t>
      </w:r>
    </w:p>
    <w:p w:rsidR="0077511B" w:rsidRDefault="0077511B">
      <w:r>
        <w:t>Output:</w:t>
      </w:r>
    </w:p>
    <w:p w:rsidR="0077511B" w:rsidRDefault="0077511B">
      <w:r>
        <w:t xml:space="preserve">Case 1: Increase in </w:t>
      </w:r>
      <w:proofErr w:type="gramStart"/>
      <w:r>
        <w:t>VG :</w:t>
      </w:r>
      <w:proofErr w:type="gramEnd"/>
      <w:r>
        <w:t xml:space="preserve"> ● Observation: As VG increases, the drain current (ID ) also increases exponentially due to the MOSFET entering the saturation region earlier. </w:t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1B" w:rsidRDefault="0077511B" w:rsidP="0077511B">
      <w:r>
        <w:t xml:space="preserve">Case 2: Variation in </w:t>
      </w:r>
      <w:proofErr w:type="gramStart"/>
      <w:r>
        <w:t>VD :</w:t>
      </w:r>
      <w:proofErr w:type="gramEnd"/>
      <w:r>
        <w:t xml:space="preserve"> ● Observation: Drain current (ID ) saturates for higher VD at</w:t>
      </w:r>
    </w:p>
    <w:p w:rsidR="0077511B" w:rsidRDefault="0077511B">
      <w:r>
        <w:rPr>
          <w:noProof/>
        </w:rPr>
        <w:drawing>
          <wp:inline distT="0" distB="0" distL="0" distR="0">
            <wp:extent cx="5784850" cy="23234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59" cy="232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1B" w:rsidRDefault="0077511B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511B" w:rsidRDefault="0077511B"/>
    <w:sectPr w:rsidR="00775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1B"/>
    <w:rsid w:val="0077511B"/>
    <w:rsid w:val="00D9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CA3D"/>
  <w15:chartTrackingRefBased/>
  <w15:docId w15:val="{14062A01-98F5-4C3A-A19A-F2D3A58B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2026-08-06T05:58:00Z</dcterms:created>
  <dcterms:modified xsi:type="dcterms:W3CDTF">2026-08-06T06:05:00Z</dcterms:modified>
</cp:coreProperties>
</file>