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3ECB6">
      <w:pPr>
        <w:pStyle w:val="2"/>
        <w:rPr>
          <w:color w:val="000000" w:themeColor="text1"/>
          <w14:textFill>
            <w14:solidFill>
              <w14:schemeClr w14:val="tx1"/>
            </w14:solidFill>
          </w14:textFill>
        </w:rPr>
      </w:pPr>
      <w:r>
        <w:rPr>
          <w:color w:val="000000" w:themeColor="text1"/>
          <w:spacing w:val="-2"/>
          <w14:textFill>
            <w14:solidFill>
              <w14:schemeClr w14:val="tx1"/>
            </w14:solidFill>
          </w14:textFill>
        </w:rPr>
        <w:t>SIMATS</w:t>
      </w:r>
      <w:r>
        <w:rPr>
          <w:color w:val="000000" w:themeColor="text1"/>
          <w:spacing w:val="-19"/>
          <w14:textFill>
            <w14:solidFill>
              <w14:schemeClr w14:val="tx1"/>
            </w14:solidFill>
          </w14:textFill>
        </w:rPr>
        <w:t xml:space="preserve"> </w:t>
      </w:r>
      <w:r>
        <w:rPr>
          <w:color w:val="000000" w:themeColor="text1"/>
          <w:spacing w:val="-2"/>
          <w14:textFill>
            <w14:solidFill>
              <w14:schemeClr w14:val="tx1"/>
            </w14:solidFill>
          </w14:textFill>
        </w:rPr>
        <w:t>ENGINEERING</w:t>
      </w:r>
    </w:p>
    <w:p w14:paraId="643B2688">
      <w:pPr>
        <w:pStyle w:val="3"/>
        <w:ind w:right="1437"/>
        <w:rPr>
          <w:color w:val="000000" w:themeColor="text1"/>
          <w14:textFill>
            <w14:solidFill>
              <w14:schemeClr w14:val="tx1"/>
            </w14:solidFill>
          </w14:textFill>
        </w:rPr>
      </w:pPr>
      <w:r>
        <w:rPr>
          <w:color w:val="000000" w:themeColor="text1"/>
          <w14:textFill>
            <w14:solidFill>
              <w14:schemeClr w14:val="tx1"/>
            </w14:solidFill>
          </w14:textFill>
        </w:rPr>
        <w:t>ASSESSMENT</w:t>
      </w:r>
      <w:r>
        <w:rPr>
          <w:color w:val="000000" w:themeColor="text1"/>
          <w:spacing w:val="-10"/>
          <w14:textFill>
            <w14:solidFill>
              <w14:schemeClr w14:val="tx1"/>
            </w14:solidFill>
          </w14:textFill>
        </w:rPr>
        <w:t xml:space="preserve"> </w:t>
      </w:r>
      <w:r>
        <w:rPr>
          <w:color w:val="000000" w:themeColor="text1"/>
          <w14:textFill>
            <w14:solidFill>
              <w14:schemeClr w14:val="tx1"/>
            </w14:solidFill>
          </w14:textFill>
        </w:rPr>
        <w:t>TOOL</w:t>
      </w:r>
      <w:r>
        <w:rPr>
          <w:color w:val="000000" w:themeColor="text1"/>
          <w:spacing w:val="-9"/>
          <w14:textFill>
            <w14:solidFill>
              <w14:schemeClr w14:val="tx1"/>
            </w14:solidFill>
          </w14:textFill>
        </w:rPr>
        <w:t xml:space="preserve"> </w:t>
      </w:r>
      <w:r>
        <w:rPr>
          <w:color w:val="000000" w:themeColor="text1"/>
          <w:spacing w:val="-10"/>
          <w14:textFill>
            <w14:solidFill>
              <w14:schemeClr w14:val="tx1"/>
            </w14:solidFill>
          </w14:textFill>
        </w:rPr>
        <w:t>3</w:t>
      </w:r>
    </w:p>
    <w:p w14:paraId="43149E16">
      <w:pPr>
        <w:pStyle w:val="10"/>
        <w:rPr>
          <w:rFonts w:ascii="Arial"/>
          <w:b/>
          <w:color w:val="000000" w:themeColor="text1"/>
          <w:sz w:val="28"/>
          <w14:textFill>
            <w14:solidFill>
              <w14:schemeClr w14:val="tx1"/>
            </w14:solidFill>
          </w14:textFill>
        </w:rPr>
      </w:pPr>
    </w:p>
    <w:p w14:paraId="29287109">
      <w:pPr>
        <w:pStyle w:val="10"/>
        <w:spacing w:before="137"/>
        <w:rPr>
          <w:rFonts w:ascii="Arial"/>
          <w:b/>
          <w:color w:val="000000" w:themeColor="text1"/>
          <w:sz w:val="28"/>
          <w14:textFill>
            <w14:solidFill>
              <w14:schemeClr w14:val="tx1"/>
            </w14:solidFill>
          </w14:textFill>
        </w:rPr>
      </w:pPr>
    </w:p>
    <w:p w14:paraId="3A3521E4">
      <w:pPr>
        <w:tabs>
          <w:tab w:val="left" w:pos="5837"/>
        </w:tabs>
        <w:spacing w:before="1"/>
        <w:ind w:left="0" w:right="1492" w:firstLine="0"/>
        <w:jc w:val="center"/>
        <w:rPr>
          <w:rFonts w:ascii="Arial"/>
          <w:b/>
          <w:color w:val="000000" w:themeColor="text1"/>
          <w:sz w:val="28"/>
          <w14:textFill>
            <w14:solidFill>
              <w14:schemeClr w14:val="tx1"/>
            </w14:solidFill>
          </w14:textFill>
        </w:rPr>
      </w:pPr>
      <w:r>
        <w:rPr>
          <w:rFonts w:ascii="Arial"/>
          <w:b/>
          <w:color w:val="000000" w:themeColor="text1"/>
          <w:sz w:val="28"/>
          <w14:textFill>
            <w14:solidFill>
              <w14:schemeClr w14:val="tx1"/>
            </w14:solidFill>
          </w14:textFill>
        </w:rPr>
        <w:t>COURSE</w:t>
      </w:r>
      <w:r>
        <w:rPr>
          <w:rFonts w:ascii="Arial"/>
          <w:b/>
          <w:color w:val="000000" w:themeColor="text1"/>
          <w:spacing w:val="-9"/>
          <w:sz w:val="28"/>
          <w14:textFill>
            <w14:solidFill>
              <w14:schemeClr w14:val="tx1"/>
            </w14:solidFill>
          </w14:textFill>
        </w:rPr>
        <w:t xml:space="preserve"> </w:t>
      </w:r>
      <w:r>
        <w:rPr>
          <w:rFonts w:ascii="Arial"/>
          <w:b/>
          <w:color w:val="000000" w:themeColor="text1"/>
          <w:sz w:val="28"/>
          <w14:textFill>
            <w14:solidFill>
              <w14:schemeClr w14:val="tx1"/>
            </w14:solidFill>
          </w14:textFill>
        </w:rPr>
        <w:t>NAME:</w:t>
      </w:r>
      <w:r>
        <w:rPr>
          <w:rFonts w:ascii="Arial"/>
          <w:b/>
          <w:color w:val="000000" w:themeColor="text1"/>
          <w:spacing w:val="-7"/>
          <w:sz w:val="28"/>
          <w14:textFill>
            <w14:solidFill>
              <w14:schemeClr w14:val="tx1"/>
            </w14:solidFill>
          </w14:textFill>
        </w:rPr>
        <w:t xml:space="preserve"> </w:t>
      </w:r>
      <w:r>
        <w:rPr>
          <w:rFonts w:ascii="Arial"/>
          <w:b/>
          <w:color w:val="000000" w:themeColor="text1"/>
          <w:sz w:val="28"/>
          <w14:textFill>
            <w14:solidFill>
              <w14:schemeClr w14:val="tx1"/>
            </w14:solidFill>
          </w14:textFill>
        </w:rPr>
        <w:t>Artificial</w:t>
      </w:r>
      <w:r>
        <w:rPr>
          <w:rFonts w:ascii="Arial"/>
          <w:b/>
          <w:color w:val="000000" w:themeColor="text1"/>
          <w:spacing w:val="-7"/>
          <w:sz w:val="28"/>
          <w14:textFill>
            <w14:solidFill>
              <w14:schemeClr w14:val="tx1"/>
            </w14:solidFill>
          </w14:textFill>
        </w:rPr>
        <w:t xml:space="preserve"> </w:t>
      </w:r>
      <w:r>
        <w:rPr>
          <w:rFonts w:ascii="Arial"/>
          <w:b/>
          <w:color w:val="000000" w:themeColor="text1"/>
          <w:spacing w:val="-2"/>
          <w:sz w:val="28"/>
          <w14:textFill>
            <w14:solidFill>
              <w14:schemeClr w14:val="tx1"/>
            </w14:solidFill>
          </w14:textFill>
        </w:rPr>
        <w:t>Intelligence</w:t>
      </w:r>
      <w:r>
        <w:rPr>
          <w:rFonts w:ascii="Arial"/>
          <w:b/>
          <w:color w:val="000000" w:themeColor="text1"/>
          <w:sz w:val="28"/>
          <w14:textFill>
            <w14:solidFill>
              <w14:schemeClr w14:val="tx1"/>
            </w14:solidFill>
          </w14:textFill>
        </w:rPr>
        <w:tab/>
      </w:r>
      <w:r>
        <w:rPr>
          <w:rFonts w:ascii="Arial"/>
          <w:b/>
          <w:color w:val="000000" w:themeColor="text1"/>
          <w:sz w:val="28"/>
          <w14:textFill>
            <w14:solidFill>
              <w14:schemeClr w14:val="tx1"/>
            </w14:solidFill>
          </w14:textFill>
        </w:rPr>
        <w:t>COURSE</w:t>
      </w:r>
      <w:r>
        <w:rPr>
          <w:rFonts w:ascii="Arial"/>
          <w:b/>
          <w:color w:val="000000" w:themeColor="text1"/>
          <w:spacing w:val="-8"/>
          <w:sz w:val="28"/>
          <w14:textFill>
            <w14:solidFill>
              <w14:schemeClr w14:val="tx1"/>
            </w14:solidFill>
          </w14:textFill>
        </w:rPr>
        <w:t xml:space="preserve"> </w:t>
      </w:r>
      <w:r>
        <w:rPr>
          <w:rFonts w:ascii="Arial"/>
          <w:b/>
          <w:color w:val="000000" w:themeColor="text1"/>
          <w:sz w:val="28"/>
          <w14:textFill>
            <w14:solidFill>
              <w14:schemeClr w14:val="tx1"/>
            </w14:solidFill>
          </w14:textFill>
        </w:rPr>
        <w:t>CODE:</w:t>
      </w:r>
      <w:r>
        <w:rPr>
          <w:rFonts w:ascii="Arial"/>
          <w:b/>
          <w:color w:val="000000" w:themeColor="text1"/>
          <w:spacing w:val="-5"/>
          <w:sz w:val="28"/>
          <w14:textFill>
            <w14:solidFill>
              <w14:schemeClr w14:val="tx1"/>
            </w14:solidFill>
          </w14:textFill>
        </w:rPr>
        <w:t xml:space="preserve"> </w:t>
      </w:r>
      <w:r>
        <w:rPr>
          <w:rFonts w:ascii="Arial"/>
          <w:b/>
          <w:color w:val="000000" w:themeColor="text1"/>
          <w:spacing w:val="-2"/>
          <w:sz w:val="28"/>
          <w14:textFill>
            <w14:solidFill>
              <w14:schemeClr w14:val="tx1"/>
            </w14:solidFill>
          </w14:textFill>
        </w:rPr>
        <w:t>CSA1710</w:t>
      </w:r>
    </w:p>
    <w:p w14:paraId="7FE65FE5">
      <w:pPr>
        <w:pStyle w:val="10"/>
        <w:rPr>
          <w:rFonts w:ascii="Arial"/>
          <w:b/>
          <w:color w:val="000000" w:themeColor="text1"/>
          <w14:textFill>
            <w14:solidFill>
              <w14:schemeClr w14:val="tx1"/>
            </w14:solidFill>
          </w14:textFill>
        </w:rPr>
      </w:pPr>
    </w:p>
    <w:p w14:paraId="5D606225">
      <w:pPr>
        <w:pStyle w:val="10"/>
        <w:spacing w:before="102"/>
        <w:rPr>
          <w:rFonts w:ascii="Arial"/>
          <w:b/>
          <w:color w:val="000000" w:themeColor="text1"/>
          <w14:textFill>
            <w14:solidFill>
              <w14:schemeClr w14:val="tx1"/>
            </w14:solidFill>
          </w14:textFill>
        </w:rPr>
      </w:pPr>
      <w:r>
        <w:rPr>
          <w:rFonts w:ascii="Arial"/>
          <w:b/>
          <w:color w:val="000000" w:themeColor="text1"/>
          <w14:textFill>
            <w14:solidFill>
              <w14:schemeClr w14:val="tx1"/>
            </w14:solidFill>
          </w14:textFill>
        </w:rPr>
        <w:drawing>
          <wp:anchor distT="0" distB="0" distL="0" distR="0" simplePos="0" relativeHeight="251659264" behindDoc="1" locked="0" layoutInCell="1" allowOverlap="1">
            <wp:simplePos x="0" y="0"/>
            <wp:positionH relativeFrom="page">
              <wp:posOffset>933450</wp:posOffset>
            </wp:positionH>
            <wp:positionV relativeFrom="paragraph">
              <wp:posOffset>226060</wp:posOffset>
            </wp:positionV>
            <wp:extent cx="5762625" cy="38100"/>
            <wp:effectExtent l="0" t="0" r="13335" b="762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62625" cy="38100"/>
                    </a:xfrm>
                    <a:prstGeom prst="rect">
                      <a:avLst/>
                    </a:prstGeom>
                  </pic:spPr>
                </pic:pic>
              </a:graphicData>
            </a:graphic>
          </wp:anchor>
        </w:drawing>
      </w:r>
    </w:p>
    <w:p w14:paraId="7972A9C5">
      <w:pPr>
        <w:spacing w:before="273"/>
        <w:ind w:left="0" w:right="0" w:firstLine="0"/>
        <w:jc w:val="left"/>
        <w:rPr>
          <w:rFonts w:ascii="Arial"/>
          <w:b/>
          <w:color w:val="000000" w:themeColor="text1"/>
          <w:sz w:val="20"/>
          <w14:textFill>
            <w14:solidFill>
              <w14:schemeClr w14:val="tx1"/>
            </w14:solidFill>
          </w14:textFill>
        </w:rPr>
      </w:pPr>
      <w:r>
        <w:rPr>
          <w:rFonts w:ascii="Arial"/>
          <w:b/>
          <w:color w:val="000000" w:themeColor="text1"/>
          <w:sz w:val="20"/>
          <w14:textFill>
            <w14:solidFill>
              <w14:schemeClr w14:val="tx1"/>
            </w14:solidFill>
          </w14:textFill>
        </w:rPr>
        <w:t>COURSE</w:t>
      </w:r>
      <w:r>
        <w:rPr>
          <w:rFonts w:ascii="Arial"/>
          <w:b/>
          <w:color w:val="000000" w:themeColor="text1"/>
          <w:spacing w:val="-7"/>
          <w:sz w:val="20"/>
          <w14:textFill>
            <w14:solidFill>
              <w14:schemeClr w14:val="tx1"/>
            </w14:solidFill>
          </w14:textFill>
        </w:rPr>
        <w:t xml:space="preserve"> </w:t>
      </w:r>
      <w:r>
        <w:rPr>
          <w:rFonts w:ascii="Arial"/>
          <w:b/>
          <w:color w:val="000000" w:themeColor="text1"/>
          <w:sz w:val="20"/>
          <w14:textFill>
            <w14:solidFill>
              <w14:schemeClr w14:val="tx1"/>
            </w14:solidFill>
          </w14:textFill>
        </w:rPr>
        <w:t>OUTCOME</w:t>
      </w:r>
      <w:r>
        <w:rPr>
          <w:rFonts w:ascii="Arial"/>
          <w:b/>
          <w:color w:val="000000" w:themeColor="text1"/>
          <w:spacing w:val="-6"/>
          <w:sz w:val="20"/>
          <w14:textFill>
            <w14:solidFill>
              <w14:schemeClr w14:val="tx1"/>
            </w14:solidFill>
          </w14:textFill>
        </w:rPr>
        <w:t xml:space="preserve"> </w:t>
      </w:r>
      <w:r>
        <w:rPr>
          <w:rFonts w:ascii="Arial"/>
          <w:b/>
          <w:color w:val="000000" w:themeColor="text1"/>
          <w:spacing w:val="-2"/>
          <w:sz w:val="20"/>
          <w14:textFill>
            <w14:solidFill>
              <w14:schemeClr w14:val="tx1"/>
            </w14:solidFill>
          </w14:textFill>
        </w:rPr>
        <w:t>COVERED</w:t>
      </w:r>
    </w:p>
    <w:p w14:paraId="4B5DB278">
      <w:pPr>
        <w:pStyle w:val="10"/>
        <w:rPr>
          <w:rFonts w:ascii="Arial"/>
          <w:b/>
          <w:color w:val="000000" w:themeColor="text1"/>
          <w14:textFill>
            <w14:solidFill>
              <w14:schemeClr w14:val="tx1"/>
            </w14:solidFill>
          </w14:textFill>
        </w:rPr>
      </w:pPr>
    </w:p>
    <w:p w14:paraId="49F05A1D">
      <w:pPr>
        <w:spacing w:before="0"/>
        <w:ind w:left="0" w:right="0" w:firstLine="0"/>
        <w:jc w:val="left"/>
        <w:rPr>
          <w:i/>
          <w:color w:val="000000" w:themeColor="text1"/>
          <w:sz w:val="24"/>
          <w14:textFill>
            <w14:solidFill>
              <w14:schemeClr w14:val="tx1"/>
            </w14:solidFill>
          </w14:textFill>
        </w:rPr>
      </w:pPr>
      <w:r>
        <w:rPr>
          <w:b/>
          <w:color w:val="000000" w:themeColor="text1"/>
          <w:sz w:val="24"/>
          <w14:textFill>
            <w14:solidFill>
              <w14:schemeClr w14:val="tx1"/>
            </w14:solidFill>
          </w14:textFill>
        </w:rPr>
        <w:t>CO5:</w:t>
      </w:r>
      <w:r>
        <w:rPr>
          <w:b/>
          <w:color w:val="000000" w:themeColor="text1"/>
          <w:spacing w:val="60"/>
          <w:sz w:val="24"/>
          <w14:textFill>
            <w14:solidFill>
              <w14:schemeClr w14:val="tx1"/>
            </w14:solidFill>
          </w14:textFill>
        </w:rPr>
        <w:t xml:space="preserve"> </w:t>
      </w:r>
      <w:r>
        <w:rPr>
          <w:i/>
          <w:color w:val="000000" w:themeColor="text1"/>
          <w:sz w:val="24"/>
          <w14:textFill>
            <w14:solidFill>
              <w14:schemeClr w14:val="tx1"/>
            </w14:solidFill>
          </w14:textFill>
        </w:rPr>
        <w:t xml:space="preserve">Design AI-based systems using PySpark, RDD operations, and intelligent </w:t>
      </w:r>
      <w:r>
        <w:rPr>
          <w:i/>
          <w:color w:val="000000" w:themeColor="text1"/>
          <w:spacing w:val="-2"/>
          <w:sz w:val="24"/>
          <w14:textFill>
            <w14:solidFill>
              <w14:schemeClr w14:val="tx1"/>
            </w14:solidFill>
          </w14:textFill>
        </w:rPr>
        <w:t>agent</w:t>
      </w:r>
    </w:p>
    <w:p w14:paraId="5D5BBFD6">
      <w:pPr>
        <w:spacing w:before="0"/>
        <w:ind w:left="0" w:right="0" w:firstLine="0"/>
        <w:jc w:val="left"/>
        <w:rPr>
          <w:i/>
          <w:color w:val="000000" w:themeColor="text1"/>
          <w:sz w:val="24"/>
          <w14:textFill>
            <w14:solidFill>
              <w14:schemeClr w14:val="tx1"/>
            </w14:solidFill>
          </w14:textFill>
        </w:rPr>
      </w:pPr>
      <w:r>
        <w:rPr>
          <w:i/>
          <w:color w:val="000000" w:themeColor="text1"/>
          <w:sz w:val="24"/>
          <w14:textFill>
            <w14:solidFill>
              <w14:schemeClr w14:val="tx1"/>
            </w14:solidFill>
          </w14:textFill>
        </w:rPr>
        <w:t>architectures,</w:t>
      </w:r>
      <w:r>
        <w:rPr>
          <w:i/>
          <w:color w:val="000000" w:themeColor="text1"/>
          <w:spacing w:val="-2"/>
          <w:sz w:val="24"/>
          <w14:textFill>
            <w14:solidFill>
              <w14:schemeClr w14:val="tx1"/>
            </w14:solidFill>
          </w14:textFill>
        </w:rPr>
        <w:t xml:space="preserve"> </w:t>
      </w:r>
      <w:r>
        <w:rPr>
          <w:i/>
          <w:color w:val="000000" w:themeColor="text1"/>
          <w:sz w:val="24"/>
          <w14:textFill>
            <w14:solidFill>
              <w14:schemeClr w14:val="tx1"/>
            </w14:solidFill>
          </w14:textFill>
        </w:rPr>
        <w:t>using</w:t>
      </w:r>
      <w:r>
        <w:rPr>
          <w:i/>
          <w:color w:val="000000" w:themeColor="text1"/>
          <w:spacing w:val="-2"/>
          <w:sz w:val="24"/>
          <w14:textFill>
            <w14:solidFill>
              <w14:schemeClr w14:val="tx1"/>
            </w14:solidFill>
          </w14:textFill>
        </w:rPr>
        <w:t xml:space="preserve"> </w:t>
      </w:r>
      <w:r>
        <w:rPr>
          <w:i/>
          <w:color w:val="000000" w:themeColor="text1"/>
          <w:sz w:val="24"/>
          <w14:textFill>
            <w14:solidFill>
              <w14:schemeClr w14:val="tx1"/>
            </w14:solidFill>
          </w14:textFill>
        </w:rPr>
        <w:t>scalable</w:t>
      </w:r>
      <w:r>
        <w:rPr>
          <w:i/>
          <w:color w:val="000000" w:themeColor="text1"/>
          <w:spacing w:val="-2"/>
          <w:sz w:val="24"/>
          <w14:textFill>
            <w14:solidFill>
              <w14:schemeClr w14:val="tx1"/>
            </w14:solidFill>
          </w14:textFill>
        </w:rPr>
        <w:t xml:space="preserve"> </w:t>
      </w:r>
      <w:r>
        <w:rPr>
          <w:i/>
          <w:color w:val="000000" w:themeColor="text1"/>
          <w:sz w:val="24"/>
          <w14:textFill>
            <w14:solidFill>
              <w14:schemeClr w14:val="tx1"/>
            </w14:solidFill>
          </w14:textFill>
        </w:rPr>
        <w:t>systems</w:t>
      </w:r>
      <w:r>
        <w:rPr>
          <w:i/>
          <w:color w:val="000000" w:themeColor="text1"/>
          <w:spacing w:val="-2"/>
          <w:sz w:val="24"/>
          <w14:textFill>
            <w14:solidFill>
              <w14:schemeClr w14:val="tx1"/>
            </w14:solidFill>
          </w14:textFill>
        </w:rPr>
        <w:t xml:space="preserve"> </w:t>
      </w:r>
      <w:r>
        <w:rPr>
          <w:i/>
          <w:color w:val="000000" w:themeColor="text1"/>
          <w:sz w:val="24"/>
          <w14:textFill>
            <w14:solidFill>
              <w14:schemeClr w14:val="tx1"/>
            </w14:solidFill>
          </w14:textFill>
        </w:rPr>
        <w:t>and</w:t>
      </w:r>
      <w:r>
        <w:rPr>
          <w:i/>
          <w:color w:val="000000" w:themeColor="text1"/>
          <w:spacing w:val="-1"/>
          <w:sz w:val="24"/>
          <w14:textFill>
            <w14:solidFill>
              <w14:schemeClr w14:val="tx1"/>
            </w14:solidFill>
          </w14:textFill>
        </w:rPr>
        <w:t xml:space="preserve"> </w:t>
      </w:r>
      <w:r>
        <w:rPr>
          <w:i/>
          <w:color w:val="000000" w:themeColor="text1"/>
          <w:sz w:val="24"/>
          <w14:textFill>
            <w14:solidFill>
              <w14:schemeClr w14:val="tx1"/>
            </w14:solidFill>
          </w14:textFill>
        </w:rPr>
        <w:t>integrate</w:t>
      </w:r>
      <w:r>
        <w:rPr>
          <w:i/>
          <w:color w:val="000000" w:themeColor="text1"/>
          <w:spacing w:val="-2"/>
          <w:sz w:val="24"/>
          <w14:textFill>
            <w14:solidFill>
              <w14:schemeClr w14:val="tx1"/>
            </w14:solidFill>
          </w14:textFill>
        </w:rPr>
        <w:t xml:space="preserve"> </w:t>
      </w:r>
      <w:r>
        <w:rPr>
          <w:i/>
          <w:color w:val="000000" w:themeColor="text1"/>
          <w:sz w:val="24"/>
          <w14:textFill>
            <w14:solidFill>
              <w14:schemeClr w14:val="tx1"/>
            </w14:solidFill>
          </w14:textFill>
        </w:rPr>
        <w:t>components</w:t>
      </w:r>
      <w:r>
        <w:rPr>
          <w:i/>
          <w:color w:val="000000" w:themeColor="text1"/>
          <w:spacing w:val="-2"/>
          <w:sz w:val="24"/>
          <w14:textFill>
            <w14:solidFill>
              <w14:schemeClr w14:val="tx1"/>
            </w14:solidFill>
          </w14:textFill>
        </w:rPr>
        <w:t xml:space="preserve"> </w:t>
      </w:r>
      <w:r>
        <w:rPr>
          <w:i/>
          <w:color w:val="000000" w:themeColor="text1"/>
          <w:sz w:val="24"/>
          <w14:textFill>
            <w14:solidFill>
              <w14:schemeClr w14:val="tx1"/>
            </w14:solidFill>
          </w14:textFill>
        </w:rPr>
        <w:t>in</w:t>
      </w:r>
      <w:r>
        <w:rPr>
          <w:i/>
          <w:color w:val="000000" w:themeColor="text1"/>
          <w:spacing w:val="-2"/>
          <w:sz w:val="24"/>
          <w14:textFill>
            <w14:solidFill>
              <w14:schemeClr w14:val="tx1"/>
            </w14:solidFill>
          </w14:textFill>
        </w:rPr>
        <w:t xml:space="preserve"> </w:t>
      </w:r>
      <w:r>
        <w:rPr>
          <w:i/>
          <w:color w:val="000000" w:themeColor="text1"/>
          <w:sz w:val="24"/>
          <w14:textFill>
            <w14:solidFill>
              <w14:schemeClr w14:val="tx1"/>
            </w14:solidFill>
          </w14:textFill>
        </w:rPr>
        <w:t>distributed</w:t>
      </w:r>
      <w:r>
        <w:rPr>
          <w:i/>
          <w:color w:val="000000" w:themeColor="text1"/>
          <w:spacing w:val="-2"/>
          <w:sz w:val="24"/>
          <w14:textFill>
            <w14:solidFill>
              <w14:schemeClr w14:val="tx1"/>
            </w14:solidFill>
          </w14:textFill>
        </w:rPr>
        <w:t xml:space="preserve"> </w:t>
      </w:r>
      <w:r>
        <w:rPr>
          <w:i/>
          <w:color w:val="000000" w:themeColor="text1"/>
          <w:sz w:val="24"/>
          <w14:textFill>
            <w14:solidFill>
              <w14:schemeClr w14:val="tx1"/>
            </w14:solidFill>
          </w14:textFill>
        </w:rPr>
        <w:t>AI</w:t>
      </w:r>
      <w:r>
        <w:rPr>
          <w:i/>
          <w:color w:val="000000" w:themeColor="text1"/>
          <w:spacing w:val="-1"/>
          <w:sz w:val="24"/>
          <w14:textFill>
            <w14:solidFill>
              <w14:schemeClr w14:val="tx1"/>
            </w14:solidFill>
          </w14:textFill>
        </w:rPr>
        <w:t xml:space="preserve"> </w:t>
      </w:r>
      <w:r>
        <w:rPr>
          <w:i/>
          <w:color w:val="000000" w:themeColor="text1"/>
          <w:spacing w:val="-2"/>
          <w:sz w:val="24"/>
          <w14:textFill>
            <w14:solidFill>
              <w14:schemeClr w14:val="tx1"/>
            </w14:solidFill>
          </w14:textFill>
        </w:rPr>
        <w:t>applications.</w:t>
      </w:r>
    </w:p>
    <w:p w14:paraId="3C19246A">
      <w:pPr>
        <w:spacing w:before="0"/>
        <w:ind w:left="0" w:right="0" w:firstLine="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(BTL </w:t>
      </w:r>
      <w:r>
        <w:rPr>
          <w:color w:val="000000" w:themeColor="text1"/>
          <w:spacing w:val="-5"/>
          <w:sz w:val="24"/>
          <w14:textFill>
            <w14:solidFill>
              <w14:schemeClr w14:val="tx1"/>
            </w14:solidFill>
          </w14:textFill>
        </w:rPr>
        <w:t>5)</w:t>
      </w:r>
    </w:p>
    <w:p w14:paraId="1A408379">
      <w:pPr>
        <w:spacing w:before="230"/>
        <w:ind w:left="0" w:right="0" w:firstLine="0"/>
        <w:jc w:val="left"/>
        <w:rPr>
          <w:rFonts w:ascii="Arial"/>
          <w:i/>
          <w:color w:val="000000" w:themeColor="text1"/>
          <w:sz w:val="20"/>
          <w14:textFill>
            <w14:solidFill>
              <w14:schemeClr w14:val="tx1"/>
            </w14:solidFill>
          </w14:textFill>
        </w:rPr>
      </w:pPr>
      <w:r>
        <w:rPr>
          <w:rFonts w:ascii="Arial"/>
          <w:i/>
          <w:color w:val="000000" w:themeColor="text1"/>
          <w:spacing w:val="-2"/>
          <w:sz w:val="20"/>
          <w14:textFill>
            <w14:solidFill>
              <w14:schemeClr w14:val="tx1"/>
            </w14:solidFill>
          </w14:textFill>
        </w:rPr>
        <w:t>Assessment</w:t>
      </w:r>
      <w:r>
        <w:rPr>
          <w:rFonts w:ascii="Arial"/>
          <w:i/>
          <w:color w:val="000000" w:themeColor="text1"/>
          <w:spacing w:val="1"/>
          <w:sz w:val="20"/>
          <w14:textFill>
            <w14:solidFill>
              <w14:schemeClr w14:val="tx1"/>
            </w14:solidFill>
          </w14:textFill>
        </w:rPr>
        <w:t xml:space="preserve"> </w:t>
      </w:r>
      <w:r>
        <w:rPr>
          <w:rFonts w:ascii="Arial"/>
          <w:i/>
          <w:color w:val="000000" w:themeColor="text1"/>
          <w:spacing w:val="-2"/>
          <w:sz w:val="20"/>
          <w14:textFill>
            <w14:solidFill>
              <w14:schemeClr w14:val="tx1"/>
            </w14:solidFill>
          </w14:textFill>
        </w:rPr>
        <w:t>Tool</w:t>
      </w:r>
      <w:r>
        <w:rPr>
          <w:rFonts w:ascii="Arial"/>
          <w:i/>
          <w:color w:val="000000" w:themeColor="text1"/>
          <w:spacing w:val="1"/>
          <w:sz w:val="20"/>
          <w14:textFill>
            <w14:solidFill>
              <w14:schemeClr w14:val="tx1"/>
            </w14:solidFill>
          </w14:textFill>
        </w:rPr>
        <w:t xml:space="preserve"> </w:t>
      </w:r>
      <w:r>
        <w:rPr>
          <w:rFonts w:ascii="Arial"/>
          <w:i/>
          <w:color w:val="000000" w:themeColor="text1"/>
          <w:spacing w:val="-2"/>
          <w:sz w:val="20"/>
          <w14:textFill>
            <w14:solidFill>
              <w14:schemeClr w14:val="tx1"/>
            </w14:solidFill>
          </w14:textFill>
        </w:rPr>
        <w:t>Weightage:</w:t>
      </w:r>
      <w:r>
        <w:rPr>
          <w:rFonts w:ascii="Arial"/>
          <w:i/>
          <w:color w:val="000000" w:themeColor="text1"/>
          <w:spacing w:val="1"/>
          <w:sz w:val="20"/>
          <w14:textFill>
            <w14:solidFill>
              <w14:schemeClr w14:val="tx1"/>
            </w14:solidFill>
          </w14:textFill>
        </w:rPr>
        <w:t xml:space="preserve"> </w:t>
      </w:r>
      <w:r>
        <w:rPr>
          <w:rFonts w:ascii="Arial"/>
          <w:i/>
          <w:color w:val="000000" w:themeColor="text1"/>
          <w:spacing w:val="-5"/>
          <w:sz w:val="20"/>
          <w14:textFill>
            <w14:solidFill>
              <w14:schemeClr w14:val="tx1"/>
            </w14:solidFill>
          </w14:textFill>
        </w:rPr>
        <w:t>20%</w:t>
      </w:r>
    </w:p>
    <w:p w14:paraId="0D7A0297">
      <w:pPr>
        <w:pStyle w:val="10"/>
        <w:spacing w:before="102"/>
        <w:rPr>
          <w:rFonts w:ascii="Arial"/>
          <w:i/>
          <w:color w:val="000000" w:themeColor="text1"/>
          <w14:textFill>
            <w14:solidFill>
              <w14:schemeClr w14:val="tx1"/>
            </w14:solidFill>
          </w14:textFill>
        </w:rPr>
      </w:pPr>
      <w:r>
        <w:rPr>
          <w:rFonts w:ascii="Arial"/>
          <w:i/>
          <w:color w:val="000000" w:themeColor="text1"/>
          <w14:textFill>
            <w14:solidFill>
              <w14:schemeClr w14:val="tx1"/>
            </w14:solidFill>
          </w14:textFill>
        </w:rPr>
        <w:drawing>
          <wp:anchor distT="0" distB="0" distL="0" distR="0" simplePos="0" relativeHeight="251659264" behindDoc="1" locked="0" layoutInCell="1" allowOverlap="1">
            <wp:simplePos x="0" y="0"/>
            <wp:positionH relativeFrom="page">
              <wp:posOffset>933450</wp:posOffset>
            </wp:positionH>
            <wp:positionV relativeFrom="paragraph">
              <wp:posOffset>226060</wp:posOffset>
            </wp:positionV>
            <wp:extent cx="5762625" cy="38100"/>
            <wp:effectExtent l="0" t="0" r="13335" b="762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62625" cy="38100"/>
                    </a:xfrm>
                    <a:prstGeom prst="rect">
                      <a:avLst/>
                    </a:prstGeom>
                  </pic:spPr>
                </pic:pic>
              </a:graphicData>
            </a:graphic>
          </wp:anchor>
        </w:drawing>
      </w:r>
    </w:p>
    <w:p w14:paraId="657333C3">
      <w:pPr>
        <w:pStyle w:val="10"/>
        <w:spacing w:before="43"/>
        <w:rPr>
          <w:rFonts w:ascii="Arial"/>
          <w:i/>
          <w:color w:val="000000" w:themeColor="text1"/>
          <w14:textFill>
            <w14:solidFill>
              <w14:schemeClr w14:val="tx1"/>
            </w14:solidFill>
          </w14:textFill>
        </w:rPr>
      </w:pPr>
    </w:p>
    <w:p w14:paraId="0261A650">
      <w:pPr>
        <w:pStyle w:val="5"/>
        <w:ind w:left="7200"/>
        <w:rPr>
          <w:color w:val="000000" w:themeColor="text1"/>
          <w14:textFill>
            <w14:solidFill>
              <w14:schemeClr w14:val="tx1"/>
            </w14:solidFill>
          </w14:textFill>
        </w:rPr>
      </w:pPr>
      <w:r>
        <w:rPr>
          <w:color w:val="000000" w:themeColor="text1"/>
          <w14:textFill>
            <w14:solidFill>
              <w14:schemeClr w14:val="tx1"/>
            </w14:solidFill>
          </w14:textFill>
        </w:rPr>
        <w:t>Duration</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1</w:t>
      </w:r>
      <w:r>
        <w:rPr>
          <w:color w:val="000000" w:themeColor="text1"/>
          <w:spacing w:val="-3"/>
          <w14:textFill>
            <w14:solidFill>
              <w14:schemeClr w14:val="tx1"/>
            </w14:solidFill>
          </w14:textFill>
        </w:rPr>
        <w:t xml:space="preserve"> </w:t>
      </w:r>
      <w:r>
        <w:rPr>
          <w:color w:val="000000" w:themeColor="text1"/>
          <w:spacing w:val="-4"/>
          <w14:textFill>
            <w14:solidFill>
              <w14:schemeClr w14:val="tx1"/>
            </w14:solidFill>
          </w14:textFill>
        </w:rPr>
        <w:t>Hour</w:t>
      </w:r>
    </w:p>
    <w:p w14:paraId="094CC5A0">
      <w:pPr>
        <w:tabs>
          <w:tab w:val="left" w:pos="7424"/>
        </w:tabs>
        <w:spacing w:before="0"/>
        <w:ind w:left="0" w:right="0" w:firstLine="0"/>
        <w:jc w:val="left"/>
        <w:rPr>
          <w:rFonts w:ascii="Arial"/>
          <w:b/>
          <w:color w:val="000000" w:themeColor="text1"/>
          <w:sz w:val="20"/>
          <w14:textFill>
            <w14:solidFill>
              <w14:schemeClr w14:val="tx1"/>
            </w14:solidFill>
          </w14:textFill>
        </w:rPr>
      </w:pPr>
      <w:r>
        <w:rPr>
          <w:rFonts w:ascii="Arial"/>
          <w:b/>
          <w:color w:val="000000" w:themeColor="text1"/>
          <w:sz w:val="20"/>
          <w14:textFill>
            <w14:solidFill>
              <w14:schemeClr w14:val="tx1"/>
            </w14:solidFill>
          </w14:textFill>
        </w:rPr>
        <w:t>QUESTIONS:</w:t>
      </w:r>
      <w:r>
        <w:rPr>
          <w:rFonts w:ascii="Arial"/>
          <w:b/>
          <w:color w:val="000000" w:themeColor="text1"/>
          <w:spacing w:val="-10"/>
          <w:sz w:val="20"/>
          <w14:textFill>
            <w14:solidFill>
              <w14:schemeClr w14:val="tx1"/>
            </w14:solidFill>
          </w14:textFill>
        </w:rPr>
        <w:t xml:space="preserve"> 5</w:t>
      </w:r>
      <w:r>
        <w:rPr>
          <w:rFonts w:ascii="Arial"/>
          <w:b/>
          <w:color w:val="000000" w:themeColor="text1"/>
          <w:sz w:val="20"/>
          <w14:textFill>
            <w14:solidFill>
              <w14:schemeClr w14:val="tx1"/>
            </w14:solidFill>
          </w14:textFill>
        </w:rPr>
        <w:tab/>
      </w:r>
      <w:r>
        <w:rPr>
          <w:rFonts w:ascii="Arial"/>
          <w:b/>
          <w:color w:val="000000" w:themeColor="text1"/>
          <w:spacing w:val="-2"/>
          <w:sz w:val="20"/>
          <w14:textFill>
            <w14:solidFill>
              <w14:schemeClr w14:val="tx1"/>
            </w14:solidFill>
          </w14:textFill>
        </w:rPr>
        <w:t>Total</w:t>
      </w:r>
      <w:r>
        <w:rPr>
          <w:rFonts w:ascii="Arial"/>
          <w:b/>
          <w:color w:val="000000" w:themeColor="text1"/>
          <w:spacing w:val="-9"/>
          <w:sz w:val="20"/>
          <w14:textFill>
            <w14:solidFill>
              <w14:schemeClr w14:val="tx1"/>
            </w14:solidFill>
          </w14:textFill>
        </w:rPr>
        <w:t xml:space="preserve"> </w:t>
      </w:r>
      <w:r>
        <w:rPr>
          <w:rFonts w:ascii="Arial"/>
          <w:b/>
          <w:color w:val="000000" w:themeColor="text1"/>
          <w:spacing w:val="-2"/>
          <w:sz w:val="20"/>
          <w14:textFill>
            <w14:solidFill>
              <w14:schemeClr w14:val="tx1"/>
            </w14:solidFill>
          </w14:textFill>
        </w:rPr>
        <w:t>Marks:50</w:t>
      </w:r>
    </w:p>
    <w:p w14:paraId="04109495">
      <w:pPr>
        <w:pStyle w:val="10"/>
        <w:rPr>
          <w:rFonts w:ascii="Arial"/>
          <w:b/>
          <w:color w:val="000000" w:themeColor="text1"/>
          <w14:textFill>
            <w14:solidFill>
              <w14:schemeClr w14:val="tx1"/>
            </w14:solidFill>
          </w14:textFill>
        </w:rPr>
      </w:pPr>
    </w:p>
    <w:p w14:paraId="2DF7C8B3">
      <w:pPr>
        <w:pStyle w:val="10"/>
        <w:ind w:right="1113"/>
        <w:jc w:val="center"/>
        <w:rPr>
          <w:rFonts w:ascii="Arial MT"/>
          <w:color w:val="000000" w:themeColor="text1"/>
          <w14:textFill>
            <w14:solidFill>
              <w14:schemeClr w14:val="tx1"/>
            </w14:solidFill>
          </w14:textFill>
        </w:rPr>
      </w:pPr>
      <w:r>
        <w:rPr>
          <w:rFonts w:ascii="Arial MT"/>
          <w:color w:val="000000" w:themeColor="text1"/>
          <w14:textFill>
            <w14:solidFill>
              <w14:schemeClr w14:val="tx1"/>
            </w14:solidFill>
          </w14:textFill>
        </w:rPr>
        <w:t>Annexure</w:t>
      </w:r>
      <w:r>
        <w:rPr>
          <w:rFonts w:ascii="Arial MT"/>
          <w:color w:val="000000" w:themeColor="text1"/>
          <w:spacing w:val="-8"/>
          <w14:textFill>
            <w14:solidFill>
              <w14:schemeClr w14:val="tx1"/>
            </w14:solidFill>
          </w14:textFill>
        </w:rPr>
        <w:t xml:space="preserve"> </w:t>
      </w:r>
      <w:r>
        <w:rPr>
          <w:rFonts w:ascii="Arial MT"/>
          <w:color w:val="000000" w:themeColor="text1"/>
          <w:spacing w:val="-10"/>
          <w14:textFill>
            <w14:solidFill>
              <w14:schemeClr w14:val="tx1"/>
            </w14:solidFill>
          </w14:textFill>
        </w:rPr>
        <w:t>A</w:t>
      </w:r>
    </w:p>
    <w:p w14:paraId="0D295320">
      <w:pPr>
        <w:pStyle w:val="10"/>
        <w:rPr>
          <w:rFonts w:ascii="Arial MT"/>
          <w:color w:val="000000" w:themeColor="text1"/>
          <w14:textFill>
            <w14:solidFill>
              <w14:schemeClr w14:val="tx1"/>
            </w14:solidFill>
          </w14:textFill>
        </w:rPr>
      </w:pPr>
    </w:p>
    <w:p w14:paraId="44B09DBF">
      <w:pPr>
        <w:pStyle w:val="3"/>
        <w:ind w:left="3498"/>
        <w:jc w:val="left"/>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Reverse</w:t>
      </w:r>
      <w:r>
        <w:rPr>
          <w:rFonts w:ascii="Times New Roman"/>
          <w:color w:val="000000" w:themeColor="text1"/>
          <w:spacing w:val="-7"/>
          <w14:textFill>
            <w14:solidFill>
              <w14:schemeClr w14:val="tx1"/>
            </w14:solidFill>
          </w14:textFill>
        </w:rPr>
        <w:t xml:space="preserve"> </w:t>
      </w:r>
      <w:r>
        <w:rPr>
          <w:rFonts w:ascii="Times New Roman"/>
          <w:color w:val="000000" w:themeColor="text1"/>
          <w:spacing w:val="-2"/>
          <w14:textFill>
            <w14:solidFill>
              <w14:schemeClr w14:val="tx1"/>
            </w14:solidFill>
          </w14:textFill>
        </w:rPr>
        <w:t>Engineering</w:t>
      </w:r>
    </w:p>
    <w:p w14:paraId="63973A2E">
      <w:pPr>
        <w:pStyle w:val="10"/>
        <w:spacing w:before="10"/>
        <w:rPr>
          <w:b/>
          <w:color w:val="000000" w:themeColor="text1"/>
          <w:sz w:val="8"/>
          <w14:textFill>
            <w14:solidFill>
              <w14:schemeClr w14:val="tx1"/>
            </w14:solidFill>
          </w14:textFill>
        </w:rPr>
      </w:pPr>
      <w:r>
        <w:rPr>
          <w:b/>
          <w:color w:val="000000" w:themeColor="text1"/>
          <w:sz w:val="8"/>
          <w14:textFill>
            <w14:solidFill>
              <w14:schemeClr w14:val="tx1"/>
            </w14:solidFill>
          </w14:textFill>
        </w:rPr>
        <w:drawing>
          <wp:anchor distT="0" distB="0" distL="0" distR="0" simplePos="0" relativeHeight="251660288" behindDoc="1" locked="0" layoutInCell="1" allowOverlap="1">
            <wp:simplePos x="0" y="0"/>
            <wp:positionH relativeFrom="page">
              <wp:posOffset>933450</wp:posOffset>
            </wp:positionH>
            <wp:positionV relativeFrom="paragraph">
              <wp:posOffset>80010</wp:posOffset>
            </wp:positionV>
            <wp:extent cx="5762625" cy="38100"/>
            <wp:effectExtent l="0" t="0" r="13335" b="762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62625" cy="38100"/>
                    </a:xfrm>
                    <a:prstGeom prst="rect">
                      <a:avLst/>
                    </a:prstGeom>
                  </pic:spPr>
                </pic:pic>
              </a:graphicData>
            </a:graphic>
          </wp:anchor>
        </w:drawing>
      </w:r>
    </w:p>
    <w:p w14:paraId="5D1A6103">
      <w:pPr>
        <w:pStyle w:val="10"/>
        <w:rPr>
          <w:b/>
          <w:color w:val="000000" w:themeColor="text1"/>
          <w:sz w:val="28"/>
          <w14:textFill>
            <w14:solidFill>
              <w14:schemeClr w14:val="tx1"/>
            </w14:solidFill>
          </w14:textFill>
        </w:rPr>
      </w:pPr>
    </w:p>
    <w:p w14:paraId="10EABF56">
      <w:pPr>
        <w:pStyle w:val="10"/>
        <w:spacing w:before="89"/>
        <w:rPr>
          <w:b/>
          <w:color w:val="000000" w:themeColor="text1"/>
          <w:sz w:val="28"/>
          <w14:textFill>
            <w14:solidFill>
              <w14:schemeClr w14:val="tx1"/>
            </w14:solidFill>
          </w14:textFill>
        </w:rPr>
      </w:pPr>
    </w:p>
    <w:p w14:paraId="0F6E708B">
      <w:pPr>
        <w:pStyle w:val="6"/>
        <w:rPr>
          <w:color w:val="000000" w:themeColor="text1"/>
          <w14:textFill>
            <w14:solidFill>
              <w14:schemeClr w14:val="tx1"/>
            </w14:solidFill>
          </w14:textFill>
        </w:rPr>
      </w:pPr>
      <w:r>
        <w:rPr>
          <w:color w:val="000000" w:themeColor="text1"/>
          <w14:textFill>
            <w14:solidFill>
              <w14:schemeClr w14:val="tx1"/>
            </w14:solidFill>
          </w14:textFill>
        </w:rPr>
        <w:t>Code</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3"/>
          <w14:textFill>
            <w14:solidFill>
              <w14:schemeClr w14:val="tx1"/>
            </w14:solidFill>
          </w14:textFill>
        </w:rPr>
        <w:t xml:space="preserve"> </w:t>
      </w:r>
      <w:r>
        <w:rPr>
          <w:color w:val="000000" w:themeColor="text1"/>
          <w:spacing w:val="-2"/>
          <w14:textFill>
            <w14:solidFill>
              <w14:schemeClr w14:val="tx1"/>
            </w14:solidFill>
          </w14:textFill>
        </w:rPr>
        <w:t>Conduct:</w:t>
      </w:r>
    </w:p>
    <w:p w14:paraId="4C5F7BA8">
      <w:pPr>
        <w:pStyle w:val="10"/>
        <w:rPr>
          <w:rFonts w:ascii="Arial"/>
          <w:b/>
          <w:i/>
          <w:color w:val="000000" w:themeColor="text1"/>
          <w14:textFill>
            <w14:solidFill>
              <w14:schemeClr w14:val="tx1"/>
            </w14:solidFill>
          </w14:textFill>
        </w:rPr>
      </w:pPr>
    </w:p>
    <w:p w14:paraId="0B0A2BEE">
      <w:pPr>
        <w:tabs>
          <w:tab w:val="left" w:pos="2411"/>
        </w:tabs>
        <w:spacing w:before="0"/>
        <w:ind w:left="0" w:right="1445" w:firstLine="0"/>
        <w:jc w:val="left"/>
        <w:rPr>
          <w:rFonts w:ascii="Arial"/>
          <w:i/>
          <w:color w:val="000000" w:themeColor="text1"/>
          <w:sz w:val="20"/>
          <w14:textFill>
            <w14:solidFill>
              <w14:schemeClr w14:val="tx1"/>
            </w14:solidFill>
          </w14:textFill>
        </w:rPr>
      </w:pPr>
      <w:r>
        <w:rPr>
          <w:rFonts w:ascii="Arial"/>
          <w:i/>
          <w:color w:val="000000" w:themeColor="text1"/>
          <w:sz w:val="20"/>
          <w14:textFill>
            <w14:solidFill>
              <w14:schemeClr w14:val="tx1"/>
            </w14:solidFill>
          </w14:textFill>
        </w:rPr>
        <w:t xml:space="preserve">I </w:t>
      </w:r>
      <w:r>
        <w:rPr>
          <w:rFonts w:hint="default" w:ascii="Arial"/>
          <w:i/>
          <w:color w:val="000000" w:themeColor="text1"/>
          <w:sz w:val="20"/>
          <w:lang w:val="en-US"/>
          <w14:textFill>
            <w14:solidFill>
              <w14:schemeClr w14:val="tx1"/>
            </w14:solidFill>
          </w14:textFill>
        </w:rPr>
        <w:t xml:space="preserve">    Vishal P</w:t>
      </w:r>
      <w:r>
        <w:rPr>
          <w:color w:val="000000" w:themeColor="text1"/>
          <w:sz w:val="20"/>
          <w:u w:val="single"/>
          <w14:textFill>
            <w14:solidFill>
              <w14:schemeClr w14:val="tx1"/>
            </w14:solidFill>
          </w14:textFill>
        </w:rPr>
        <w:tab/>
      </w:r>
      <w:r>
        <w:rPr>
          <w:color w:val="000000" w:themeColor="text1"/>
          <w:spacing w:val="-12"/>
          <w:sz w:val="20"/>
          <w14:textFill>
            <w14:solidFill>
              <w14:schemeClr w14:val="tx1"/>
            </w14:solidFill>
          </w14:textFill>
        </w:rPr>
        <w:t xml:space="preserve"> </w:t>
      </w:r>
      <w:r>
        <w:rPr>
          <w:rFonts w:ascii="Arial"/>
          <w:i/>
          <w:color w:val="000000" w:themeColor="text1"/>
          <w:sz w:val="20"/>
          <w14:textFill>
            <w14:solidFill>
              <w14:schemeClr w14:val="tx1"/>
            </w14:solidFill>
          </w14:textFill>
        </w:rPr>
        <w:t>(Name</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Reg</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No)</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certify</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that</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this</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submission</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is</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my</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original</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work</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and</w:t>
      </w:r>
      <w:r>
        <w:rPr>
          <w:rFonts w:ascii="Arial"/>
          <w:i/>
          <w:color w:val="000000" w:themeColor="text1"/>
          <w:spacing w:val="27"/>
          <w:sz w:val="20"/>
          <w14:textFill>
            <w14:solidFill>
              <w14:schemeClr w14:val="tx1"/>
            </w14:solidFill>
          </w14:textFill>
        </w:rPr>
        <w:t xml:space="preserve"> </w:t>
      </w:r>
      <w:r>
        <w:rPr>
          <w:rFonts w:ascii="Arial"/>
          <w:i/>
          <w:color w:val="000000" w:themeColor="text1"/>
          <w:sz w:val="20"/>
          <w14:textFill>
            <w14:solidFill>
              <w14:schemeClr w14:val="tx1"/>
            </w14:solidFill>
          </w14:textFill>
        </w:rPr>
        <w:t>that I have adhered</w:t>
      </w:r>
    </w:p>
    <w:p w14:paraId="5654C6F0">
      <w:pPr>
        <w:spacing w:before="0"/>
        <w:ind w:left="0" w:right="0" w:firstLine="0"/>
        <w:jc w:val="left"/>
        <w:rPr>
          <w:rFonts w:ascii="Arial"/>
          <w:i/>
          <w:color w:val="000000" w:themeColor="text1"/>
          <w:sz w:val="20"/>
          <w14:textFill>
            <w14:solidFill>
              <w14:schemeClr w14:val="tx1"/>
            </w14:solidFill>
          </w14:textFill>
        </w:rPr>
      </w:pPr>
      <w:r>
        <w:rPr>
          <w:rFonts w:ascii="Arial"/>
          <w:i/>
          <w:color w:val="000000" w:themeColor="text1"/>
          <w:sz w:val="20"/>
          <w14:textFill>
            <w14:solidFill>
              <w14:schemeClr w14:val="tx1"/>
            </w14:solidFill>
          </w14:textFill>
        </w:rPr>
        <w:t>to</w:t>
      </w:r>
      <w:r>
        <w:rPr>
          <w:rFonts w:ascii="Arial"/>
          <w:i/>
          <w:color w:val="000000" w:themeColor="text1"/>
          <w:spacing w:val="-6"/>
          <w:sz w:val="20"/>
          <w14:textFill>
            <w14:solidFill>
              <w14:schemeClr w14:val="tx1"/>
            </w14:solidFill>
          </w14:textFill>
        </w:rPr>
        <w:t xml:space="preserve"> </w:t>
      </w:r>
      <w:r>
        <w:rPr>
          <w:rFonts w:ascii="Arial"/>
          <w:i/>
          <w:color w:val="000000" w:themeColor="text1"/>
          <w:sz w:val="20"/>
          <w14:textFill>
            <w14:solidFill>
              <w14:schemeClr w14:val="tx1"/>
            </w14:solidFill>
          </w14:textFill>
        </w:rPr>
        <w:t>the</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guidelines</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specified</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for</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this</w:t>
      </w:r>
      <w:r>
        <w:rPr>
          <w:rFonts w:ascii="Arial"/>
          <w:i/>
          <w:color w:val="000000" w:themeColor="text1"/>
          <w:spacing w:val="-5"/>
          <w:sz w:val="20"/>
          <w14:textFill>
            <w14:solidFill>
              <w14:schemeClr w14:val="tx1"/>
            </w14:solidFill>
          </w14:textFill>
        </w:rPr>
        <w:t xml:space="preserve"> </w:t>
      </w:r>
      <w:r>
        <w:rPr>
          <w:rFonts w:ascii="Arial"/>
          <w:i/>
          <w:color w:val="000000" w:themeColor="text1"/>
          <w:spacing w:val="-2"/>
          <w:sz w:val="20"/>
          <w14:textFill>
            <w14:solidFill>
              <w14:schemeClr w14:val="tx1"/>
            </w14:solidFill>
          </w14:textFill>
        </w:rPr>
        <w:t>assessment.</w:t>
      </w:r>
    </w:p>
    <w:p w14:paraId="4C4037C7">
      <w:pPr>
        <w:spacing w:before="0"/>
        <w:ind w:left="0" w:right="0" w:firstLine="0"/>
        <w:jc w:val="left"/>
        <w:rPr>
          <w:rFonts w:ascii="Arial"/>
          <w:i/>
          <w:color w:val="000000" w:themeColor="text1"/>
          <w:sz w:val="20"/>
          <w14:textFill>
            <w14:solidFill>
              <w14:schemeClr w14:val="tx1"/>
            </w14:solidFill>
          </w14:textFill>
        </w:rPr>
      </w:pPr>
      <w:r>
        <w:rPr>
          <w:rFonts w:ascii="Arial"/>
          <w:i/>
          <w:color w:val="000000" w:themeColor="text1"/>
          <w:sz w:val="20"/>
          <w14:textFill>
            <w14:solidFill>
              <w14:schemeClr w14:val="tx1"/>
            </w14:solidFill>
          </w14:textFill>
        </w:rPr>
        <w:t>I</w:t>
      </w:r>
      <w:r>
        <w:rPr>
          <w:rFonts w:ascii="Arial"/>
          <w:i/>
          <w:color w:val="000000" w:themeColor="text1"/>
          <w:spacing w:val="-8"/>
          <w:sz w:val="20"/>
          <w14:textFill>
            <w14:solidFill>
              <w14:schemeClr w14:val="tx1"/>
            </w14:solidFill>
          </w14:textFill>
        </w:rPr>
        <w:t xml:space="preserve"> </w:t>
      </w:r>
      <w:r>
        <w:rPr>
          <w:rFonts w:ascii="Arial"/>
          <w:i/>
          <w:color w:val="000000" w:themeColor="text1"/>
          <w:sz w:val="20"/>
          <w14:textFill>
            <w14:solidFill>
              <w14:schemeClr w14:val="tx1"/>
            </w14:solidFill>
          </w14:textFill>
        </w:rPr>
        <w:t>understand</w:t>
      </w:r>
      <w:r>
        <w:rPr>
          <w:rFonts w:ascii="Arial"/>
          <w:i/>
          <w:color w:val="000000" w:themeColor="text1"/>
          <w:spacing w:val="-6"/>
          <w:sz w:val="20"/>
          <w14:textFill>
            <w14:solidFill>
              <w14:schemeClr w14:val="tx1"/>
            </w14:solidFill>
          </w14:textFill>
        </w:rPr>
        <w:t xml:space="preserve"> </w:t>
      </w:r>
      <w:r>
        <w:rPr>
          <w:rFonts w:ascii="Arial"/>
          <w:i/>
          <w:color w:val="000000" w:themeColor="text1"/>
          <w:sz w:val="20"/>
          <w14:textFill>
            <w14:solidFill>
              <w14:schemeClr w14:val="tx1"/>
            </w14:solidFill>
          </w14:textFill>
        </w:rPr>
        <w:t>that</w:t>
      </w:r>
      <w:r>
        <w:rPr>
          <w:rFonts w:ascii="Arial"/>
          <w:i/>
          <w:color w:val="000000" w:themeColor="text1"/>
          <w:spacing w:val="-6"/>
          <w:sz w:val="20"/>
          <w14:textFill>
            <w14:solidFill>
              <w14:schemeClr w14:val="tx1"/>
            </w14:solidFill>
          </w14:textFill>
        </w:rPr>
        <w:t xml:space="preserve"> </w:t>
      </w:r>
      <w:r>
        <w:rPr>
          <w:rFonts w:ascii="Arial"/>
          <w:i/>
          <w:color w:val="000000" w:themeColor="text1"/>
          <w:sz w:val="20"/>
          <w14:textFill>
            <w14:solidFill>
              <w14:schemeClr w14:val="tx1"/>
            </w14:solidFill>
          </w14:textFill>
        </w:rPr>
        <w:t>any</w:t>
      </w:r>
      <w:r>
        <w:rPr>
          <w:rFonts w:ascii="Arial"/>
          <w:i/>
          <w:color w:val="000000" w:themeColor="text1"/>
          <w:spacing w:val="-6"/>
          <w:sz w:val="20"/>
          <w14:textFill>
            <w14:solidFill>
              <w14:schemeClr w14:val="tx1"/>
            </w14:solidFill>
          </w14:textFill>
        </w:rPr>
        <w:t xml:space="preserve"> </w:t>
      </w:r>
      <w:r>
        <w:rPr>
          <w:rFonts w:ascii="Arial"/>
          <w:i/>
          <w:color w:val="000000" w:themeColor="text1"/>
          <w:sz w:val="20"/>
          <w14:textFill>
            <w14:solidFill>
              <w14:schemeClr w14:val="tx1"/>
            </w14:solidFill>
          </w14:textFill>
        </w:rPr>
        <w:t>violation</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of</w:t>
      </w:r>
      <w:r>
        <w:rPr>
          <w:rFonts w:ascii="Arial"/>
          <w:i/>
          <w:color w:val="000000" w:themeColor="text1"/>
          <w:spacing w:val="-6"/>
          <w:sz w:val="20"/>
          <w14:textFill>
            <w14:solidFill>
              <w14:schemeClr w14:val="tx1"/>
            </w14:solidFill>
          </w14:textFill>
        </w:rPr>
        <w:t xml:space="preserve"> </w:t>
      </w:r>
      <w:r>
        <w:rPr>
          <w:rFonts w:ascii="Arial"/>
          <w:i/>
          <w:color w:val="000000" w:themeColor="text1"/>
          <w:sz w:val="20"/>
          <w14:textFill>
            <w14:solidFill>
              <w14:schemeClr w14:val="tx1"/>
            </w14:solidFill>
          </w14:textFill>
        </w:rPr>
        <w:t>academic</w:t>
      </w:r>
      <w:r>
        <w:rPr>
          <w:rFonts w:ascii="Arial"/>
          <w:i/>
          <w:color w:val="000000" w:themeColor="text1"/>
          <w:spacing w:val="-6"/>
          <w:sz w:val="20"/>
          <w14:textFill>
            <w14:solidFill>
              <w14:schemeClr w14:val="tx1"/>
            </w14:solidFill>
          </w14:textFill>
        </w:rPr>
        <w:t xml:space="preserve"> </w:t>
      </w:r>
      <w:r>
        <w:rPr>
          <w:rFonts w:ascii="Arial"/>
          <w:i/>
          <w:color w:val="000000" w:themeColor="text1"/>
          <w:sz w:val="20"/>
          <w14:textFill>
            <w14:solidFill>
              <w14:schemeClr w14:val="tx1"/>
            </w14:solidFill>
          </w14:textFill>
        </w:rPr>
        <w:t>integrity</w:t>
      </w:r>
      <w:r>
        <w:rPr>
          <w:rFonts w:ascii="Arial"/>
          <w:i/>
          <w:color w:val="000000" w:themeColor="text1"/>
          <w:spacing w:val="-6"/>
          <w:sz w:val="20"/>
          <w14:textFill>
            <w14:solidFill>
              <w14:schemeClr w14:val="tx1"/>
            </w14:solidFill>
          </w14:textFill>
        </w:rPr>
        <w:t xml:space="preserve"> </w:t>
      </w:r>
      <w:r>
        <w:rPr>
          <w:rFonts w:ascii="Arial"/>
          <w:i/>
          <w:color w:val="000000" w:themeColor="text1"/>
          <w:sz w:val="20"/>
          <w14:textFill>
            <w14:solidFill>
              <w14:schemeClr w14:val="tx1"/>
            </w14:solidFill>
          </w14:textFill>
        </w:rPr>
        <w:t>rules</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will</w:t>
      </w:r>
      <w:r>
        <w:rPr>
          <w:rFonts w:ascii="Arial"/>
          <w:i/>
          <w:color w:val="000000" w:themeColor="text1"/>
          <w:spacing w:val="-6"/>
          <w:sz w:val="20"/>
          <w14:textFill>
            <w14:solidFill>
              <w14:schemeClr w14:val="tx1"/>
            </w14:solidFill>
          </w14:textFill>
        </w:rPr>
        <w:t xml:space="preserve"> </w:t>
      </w:r>
      <w:r>
        <w:rPr>
          <w:rFonts w:ascii="Arial"/>
          <w:i/>
          <w:color w:val="000000" w:themeColor="text1"/>
          <w:sz w:val="20"/>
          <w14:textFill>
            <w14:solidFill>
              <w14:schemeClr w14:val="tx1"/>
            </w14:solidFill>
          </w14:textFill>
        </w:rPr>
        <w:t>result</w:t>
      </w:r>
      <w:r>
        <w:rPr>
          <w:rFonts w:ascii="Arial"/>
          <w:i/>
          <w:color w:val="000000" w:themeColor="text1"/>
          <w:spacing w:val="-6"/>
          <w:sz w:val="20"/>
          <w14:textFill>
            <w14:solidFill>
              <w14:schemeClr w14:val="tx1"/>
            </w14:solidFill>
          </w14:textFill>
        </w:rPr>
        <w:t xml:space="preserve"> </w:t>
      </w:r>
      <w:r>
        <w:rPr>
          <w:rFonts w:ascii="Arial"/>
          <w:i/>
          <w:color w:val="000000" w:themeColor="text1"/>
          <w:sz w:val="20"/>
          <w14:textFill>
            <w14:solidFill>
              <w14:schemeClr w14:val="tx1"/>
            </w14:solidFill>
          </w14:textFill>
        </w:rPr>
        <w:t>in</w:t>
      </w:r>
      <w:r>
        <w:rPr>
          <w:rFonts w:ascii="Arial"/>
          <w:i/>
          <w:color w:val="000000" w:themeColor="text1"/>
          <w:spacing w:val="-6"/>
          <w:sz w:val="20"/>
          <w14:textFill>
            <w14:solidFill>
              <w14:schemeClr w14:val="tx1"/>
            </w14:solidFill>
          </w14:textFill>
        </w:rPr>
        <w:t xml:space="preserve"> </w:t>
      </w:r>
      <w:r>
        <w:rPr>
          <w:rFonts w:ascii="Arial"/>
          <w:i/>
          <w:color w:val="000000" w:themeColor="text1"/>
          <w:sz w:val="20"/>
          <w14:textFill>
            <w14:solidFill>
              <w14:schemeClr w14:val="tx1"/>
            </w14:solidFill>
          </w14:textFill>
        </w:rPr>
        <w:t>disciplinary</w:t>
      </w:r>
      <w:r>
        <w:rPr>
          <w:rFonts w:ascii="Arial"/>
          <w:i/>
          <w:color w:val="000000" w:themeColor="text1"/>
          <w:spacing w:val="-5"/>
          <w:sz w:val="20"/>
          <w14:textFill>
            <w14:solidFill>
              <w14:schemeClr w14:val="tx1"/>
            </w14:solidFill>
          </w14:textFill>
        </w:rPr>
        <w:t xml:space="preserve"> </w:t>
      </w:r>
      <w:r>
        <w:rPr>
          <w:rFonts w:ascii="Arial"/>
          <w:i/>
          <w:color w:val="000000" w:themeColor="text1"/>
          <w:spacing w:val="-2"/>
          <w:sz w:val="20"/>
          <w14:textFill>
            <w14:solidFill>
              <w14:schemeClr w14:val="tx1"/>
            </w14:solidFill>
          </w14:textFill>
        </w:rPr>
        <w:t>action.</w:t>
      </w:r>
    </w:p>
    <w:p w14:paraId="120D4F85">
      <w:pPr>
        <w:pStyle w:val="10"/>
        <w:rPr>
          <w:rFonts w:ascii="Arial"/>
          <w:i/>
          <w:color w:val="000000" w:themeColor="text1"/>
          <w14:textFill>
            <w14:solidFill>
              <w14:schemeClr w14:val="tx1"/>
            </w14:solidFill>
          </w14:textFill>
        </w:rPr>
      </w:pPr>
    </w:p>
    <w:p w14:paraId="2653C63F">
      <w:pPr>
        <w:pStyle w:val="6"/>
        <w:rPr>
          <w:color w:val="000000" w:themeColor="text1"/>
          <w:spacing w:val="-2"/>
          <w14:textFill>
            <w14:solidFill>
              <w14:schemeClr w14:val="tx1"/>
            </w14:solidFill>
          </w14:textFill>
        </w:rPr>
      </w:pPr>
      <w:r>
        <w:rPr>
          <w:color w:val="000000" w:themeColor="text1"/>
          <w14:textFill>
            <w14:solidFill>
              <w14:schemeClr w14:val="tx1"/>
            </w14:solidFill>
          </w14:textFill>
        </w:rPr>
        <w:t>Signature</w:t>
      </w:r>
      <w:r>
        <w:rPr>
          <w:color w:val="000000" w:themeColor="text1"/>
          <w:spacing w:val="-5"/>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5"/>
          <w14:textFill>
            <w14:solidFill>
              <w14:schemeClr w14:val="tx1"/>
            </w14:solidFill>
          </w14:textFill>
        </w:rPr>
        <w:t xml:space="preserve"> </w:t>
      </w:r>
      <w:r>
        <w:rPr>
          <w:color w:val="000000" w:themeColor="text1"/>
          <w14:textFill>
            <w14:solidFill>
              <w14:schemeClr w14:val="tx1"/>
            </w14:solidFill>
          </w14:textFill>
        </w:rPr>
        <w:t>the</w:t>
      </w:r>
      <w:r>
        <w:rPr>
          <w:color w:val="000000" w:themeColor="text1"/>
          <w:spacing w:val="-4"/>
          <w14:textFill>
            <w14:solidFill>
              <w14:schemeClr w14:val="tx1"/>
            </w14:solidFill>
          </w14:textFill>
        </w:rPr>
        <w:t xml:space="preserve"> </w:t>
      </w:r>
      <w:r>
        <w:rPr>
          <w:color w:val="000000" w:themeColor="text1"/>
          <w:spacing w:val="-2"/>
          <w14:textFill>
            <w14:solidFill>
              <w14:schemeClr w14:val="tx1"/>
            </w14:solidFill>
          </w14:textFill>
        </w:rPr>
        <w:t>student</w:t>
      </w:r>
    </w:p>
    <w:p w14:paraId="4E853E21">
      <w:pPr>
        <w:pStyle w:val="6"/>
        <w:rPr>
          <w:rFonts w:hint="default"/>
          <w:color w:val="000000" w:themeColor="text1"/>
          <w:spacing w:val="-2"/>
          <w:lang w:val="en-US"/>
          <w14:textFill>
            <w14:solidFill>
              <w14:schemeClr w14:val="tx1"/>
            </w14:solidFill>
          </w14:textFill>
        </w:rPr>
        <w:sectPr>
          <w:pgSz w:w="12240" w:h="15840"/>
          <w:pgMar w:top="1380" w:right="0" w:bottom="280" w:left="1440" w:header="720" w:footer="720" w:gutter="0"/>
          <w:cols w:space="720" w:num="1"/>
        </w:sectPr>
      </w:pPr>
      <w:bookmarkStart w:id="0" w:name="_GoBack"/>
      <w:bookmarkEnd w:id="0"/>
      <w:r>
        <w:rPr>
          <w:rFonts w:hint="default"/>
          <w:color w:val="000000" w:themeColor="text1"/>
          <w:spacing w:val="-2"/>
          <w:lang w:val="en-US"/>
          <w14:textFill>
            <w14:solidFill>
              <w14:schemeClr w14:val="tx1"/>
            </w14:solidFill>
          </w14:textFill>
        </w:rPr>
        <w:t>Vishal p</w:t>
      </w:r>
    </w:p>
    <w:p w14:paraId="44DEBB9B"/>
    <w:p w14:paraId="3BB2F85F">
      <w:pP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 INTRODUCTION</w:t>
      </w:r>
    </w:p>
    <w:p w14:paraId="24D286EF">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Cybersecurity has become one of the most critical concerns for modern organisations, as digital infrastructure now underpins nearly every aspect of business operations, communication, and public services. As enterprises expand their networks, adopt cloud services, and connect thousands of endpoints, the volume of security-relevant data generated every second grows at an extraordinary pace. Modern networks, firewalls, servers, and applications continuously produce logs and event records, and a single mid-sized organisation may generate millions of log entries per day. When a firm aggregates such data from thousands of client networks simultaneously, the resulting data volume, velocity, and variety exceed what any manual analysis process could realistically handle.</w:t>
      </w:r>
    </w:p>
    <w:p w14:paraId="1BC7BF51">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Manually examining millions of security events to identify malicious behaviour is not only impractical but also dangerously slow, since attackers frequently execute their objectives within minutes of gaining access. This urgency has driven the development of automated Threat Intelligence Platforms (TIPs) that continuously collect, process, and analyse security data to detect emerging attack patterns in near real time. Artificial Intelligence plays a central role in such platforms by enabling automated pattern recognition, anomaly detection, and decision-making at a scale and speed unattainable by human analysts alone.</w:t>
      </w:r>
    </w:p>
    <w:p w14:paraId="712B0BCC">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Real-time threat detection is essential because the cost of delayed detection increases sharply with time; a threat identified within minutes can often be contained before significant damage occurs, whereas a threat discovered after days or weeks may already have resulted in data breaches or financial loss. To achieve this level of responsiveness across thousands of client networks, the platform must be built on a distributed computing foundation rather than a single-machine architecture. Distributed computing allows the workload of collecting and analysing security events to be spread across many machines that operate in parallel, dramatically increasing the throughput of the system.</w:t>
      </w:r>
    </w:p>
    <w:p w14:paraId="43674A09">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Apache Spark, accessed here through its Python interface PySpark, is a distributed data processing framework that is particularly well suited to this task because it supports fast, in-memory, parallel computation across large clusters of machines. Its core abstraction, the Resilient Distributed Dataset (RDD), provides both the parallelism needed for large-scale log analysis and the fault tolerance required to keep the platform running reliably even when individual machines fail. Alongside this distributed processing layer, intelligent agents — autonomous software components responsible for specific tasks such as data collection, correlation analysis, alert prioritisation, and automated response — coordinate to transform raw security events into actionable intelligence.</w:t>
      </w:r>
    </w:p>
    <w:p w14:paraId="40618CBA">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This report presents a reverse-engineered analysis of a plausible architecture for such a cybersecurity threat intelligence platform. It explains, layer by layer, how PySpark and RDD operations could realistically support large-scale, fault-tolerant log processing, and how a coordinated set of intelligent agents could perform threat detection, correlation, prioritisation, and automated response, ultimately producing a scalable and resilient system capable of protecting thousands of client networks.</w:t>
      </w:r>
    </w:p>
    <w:p w14:paraId="7E305BCF">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2. INDUSTRY PROBLEM UNDERSTANDING</w:t>
      </w:r>
    </w:p>
    <w:p w14:paraId="768F7A4D">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industry scenario describes a cybersecurity firm that aggregates threat data from thousands of client networks with the objective of detecting emerging attack patterns within minutes. This is fundamentally a big-data and real-time-systems problem layered on top of a security-analytics problem, and understanding its scope requires examining the specific challenges that such a firm would face.</w:t>
      </w:r>
    </w:p>
    <w:p w14:paraId="550F7931">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2.1 Key Challenges</w:t>
      </w:r>
    </w:p>
    <w:p w14:paraId="15939F7A">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Huge volume of log data: Thousands of client networks, each with firewalls, servers, endpoints, and applications, can collectively generate billions of log entries daily.</w:t>
      </w:r>
    </w:p>
    <w:p w14:paraId="1C51207B">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High velocity of incoming events: Security events arrive continuously and must be ingested without creating backlogs that would delay detection.</w:t>
      </w:r>
    </w:p>
    <w:p w14:paraId="2C77C959">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Different data formats: Logs originate from heterogeneous devices and vendors, each using different schemas, timestamps, and encodings.</w:t>
      </w:r>
    </w:p>
    <w:p w14:paraId="43034254">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Real-time threat detection requirements: Attacks must be identified within minutes, leaving little room for slow batch-only processing.</w:t>
      </w:r>
    </w:p>
    <w:p w14:paraId="0C09F124">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Detection of emerging attack patterns: New and evolving attack techniques may not match existing signatures, requiring adaptive analysis.</w:t>
      </w:r>
    </w:p>
    <w:p w14:paraId="1D9B94B0">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False positives: Overly sensitive detection rules can overwhelm analysts with alerts that do not represent genuine threats.</w:t>
      </w:r>
    </w:p>
    <w:p w14:paraId="506138B6">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Alert overload: Security Operations Center (SOC) teams can become fatigued when too many alerts compete for attention, risking missed genuine incidents.</w:t>
      </w:r>
    </w:p>
    <w:p w14:paraId="653F8E56">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Need for fast incident response: Once a threat is confirmed, response actions such as isolation or blocking must occur quickly to limit damage.</w:t>
      </w:r>
    </w:p>
    <w:p w14:paraId="6F6066C2">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2.2 Why Traditional Single-Machine Systems Are Insufficient</w:t>
      </w:r>
    </w:p>
    <w:p w14:paraId="254A2BA3">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 traditional single-machine system processes data sequentially and is constrained by the memory, storage, and CPU capacity of one physical machine. Given the scale described in the scenario — thousands of client networks producing continuous streams of security events — a single machine would quickly become a bottleneck, unable to ingest, store, or analyse data quickly enough to meet real-time detection requirements. A single point of failure would also mean that any hardware fault could halt threat monitoring entirely, which is unacceptable for a security-critical platform.</w:t>
      </w:r>
    </w:p>
    <w:p w14:paraId="22F7D632">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2.3 Identified Requirements</w:t>
      </w:r>
    </w:p>
    <w:p w14:paraId="3516A5E9">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Distributed processing across many machines to handle large data volumes in parallel.</w:t>
      </w:r>
    </w:p>
    <w:p w14:paraId="22A6992B">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Scalable architecture that can grow horizontally as more client networks are onboarded.</w:t>
      </w:r>
    </w:p>
    <w:p w14:paraId="59F433A1">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Fault tolerance so that individual node or task failures do not interrupt monitoring.</w:t>
      </w:r>
    </w:p>
    <w:p w14:paraId="55E2C650">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Intelligent automation to reduce reliance on manual analysis for routine detection tasks.</w:t>
      </w:r>
    </w:p>
    <w:p w14:paraId="03069717">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Agent coordination so that distinct responsibilities (collection, detection, correlation, prioritisation, response) work together coherently.</w:t>
      </w:r>
    </w:p>
    <w:p w14:paraId="72716974">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3. REVERSE ENGINEERING APPROACH</w:t>
      </w:r>
    </w:p>
    <w:p w14:paraId="1C84428C">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Reverse engineering, in the context of software and system architecture, is the process of analysing the observable behaviour, functional requirements, and stated technologies of a system in order to logically reconstruct a plausible internal design — without having direct access to the original source code, internal documentation, or proprietary implementation details. It is an inference-driven process grounded in established engineering principles and known technology capabilities rather than in confirmed internal facts.</w:t>
      </w:r>
    </w:p>
    <w:p w14:paraId="3E9202E3">
      <w:pPr>
        <w:pBdr>
          <w:top w:val="single" w:color="1F3864" w:sz="6" w:space="0"/>
          <w:left w:val="single" w:color="1F3864" w:sz="6" w:space="0"/>
          <w:bottom w:val="single" w:color="1F3864" w:sz="6" w:space="0"/>
          <w:right w:val="single" w:color="1F3864" w:sz="6" w:space="0"/>
        </w:pBdr>
        <w:shd w:val="clear" w:fill="DCE6F1"/>
        <w:spacing w:before="120" w:after="200" w:line="360" w:lineRule="auto"/>
        <w:jc w:val="both"/>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The actual internal implementation of the cybersecurity platform is not provided. Therefore, this report reverse engineers a logical system architecture based on the functionality and technologies mentioned in the industry scenario.</w:t>
      </w:r>
    </w:p>
    <w:p w14:paraId="57202E19">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3.1 Steps Followed in This Reverse Engineering Exercise</w:t>
      </w:r>
    </w:p>
    <w:p w14:paraId="117925CE">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Step 1: Analyse the problem statement to understand the scale, scope, and objectives of the platform.</w:t>
      </w:r>
    </w:p>
    <w:p w14:paraId="0882FBD2">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Step 2: Identify the input data sources that would realistically feed such a system.</w:t>
      </w:r>
    </w:p>
    <w:p w14:paraId="1C73B0A0">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Step 3: Identify the major processing components required to transform raw data into intelligence.</w:t>
      </w:r>
    </w:p>
    <w:p w14:paraId="6FD60F3B">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Step 4: Infer a plausible PySpark cluster architecture capable of the described scale.</w:t>
      </w:r>
    </w:p>
    <w:p w14:paraId="5DE7C2B4">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Step 5: Analyse the RDD operations that would support the required transformations and fault tolerance.</w:t>
      </w:r>
    </w:p>
    <w:p w14:paraId="6AEA457E">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Step 6: Identify the intelligent agents needed and define their responsibilities.</w:t>
      </w:r>
    </w:p>
    <w:p w14:paraId="7B37BC0B">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Step 7: Reconstruct the end-to-end data flow from log generation to automated response.</w:t>
      </w:r>
    </w:p>
    <w:p w14:paraId="3F63E4E4">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Step 8: Analyse scalability and fault-tolerance mechanisms that make the design viable in production.</w:t>
      </w:r>
    </w:p>
    <w:p w14:paraId="5E4D3DA7">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4. FUNCTIONAL REQUIREMENTS</w:t>
      </w:r>
    </w:p>
    <w:p w14:paraId="66ED7178">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Based on the industry scenario, the following functional and non-functional requirements can be logically derived for the platform.</w:t>
      </w:r>
    </w:p>
    <w:p w14:paraId="7663FD83">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4.1 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7030E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shd w:val="clear" w:color="auto" w:fill="1F3864"/>
            <w:tcMar>
              <w:top w:w="80" w:type="dxa"/>
              <w:left w:w="100" w:type="dxa"/>
              <w:bottom w:w="80" w:type="dxa"/>
              <w:right w:w="100" w:type="dxa"/>
            </w:tcMar>
            <w:vAlign w:val="center"/>
          </w:tcPr>
          <w:p w14:paraId="79424BBF">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Requirement</w:t>
            </w:r>
          </w:p>
        </w:tc>
        <w:tc>
          <w:tcPr>
            <w:tcW w:w="4513" w:type="dxa"/>
            <w:shd w:val="clear" w:color="auto" w:fill="1F3864"/>
            <w:tcMar>
              <w:top w:w="80" w:type="dxa"/>
              <w:left w:w="100" w:type="dxa"/>
              <w:bottom w:w="80" w:type="dxa"/>
              <w:right w:w="100" w:type="dxa"/>
            </w:tcMar>
            <w:vAlign w:val="center"/>
          </w:tcPr>
          <w:p w14:paraId="62156872">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Description</w:t>
            </w:r>
          </w:p>
        </w:tc>
      </w:tr>
      <w:tr w14:paraId="1490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2D00A12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Collect security logs</w:t>
            </w:r>
          </w:p>
        </w:tc>
        <w:tc>
          <w:tcPr>
            <w:tcW w:w="4513" w:type="dxa"/>
            <w:tcMar>
              <w:top w:w="80" w:type="dxa"/>
              <w:left w:w="100" w:type="dxa"/>
              <w:bottom w:w="80" w:type="dxa"/>
              <w:right w:w="100" w:type="dxa"/>
            </w:tcMar>
            <w:vAlign w:val="center"/>
          </w:tcPr>
          <w:p w14:paraId="0ECAAD6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Continuously gather logs from firewalls, servers, endpoints, and applications across all client networks.</w:t>
            </w:r>
          </w:p>
        </w:tc>
      </w:tr>
      <w:tr w14:paraId="141FA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F2F2F2"/>
            <w:tcMar>
              <w:top w:w="80" w:type="dxa"/>
              <w:left w:w="100" w:type="dxa"/>
              <w:bottom w:w="80" w:type="dxa"/>
              <w:right w:w="100" w:type="dxa"/>
            </w:tcMar>
            <w:vAlign w:val="center"/>
          </w:tcPr>
          <w:p w14:paraId="492962F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Collect threat intelligence feeds</w:t>
            </w:r>
          </w:p>
        </w:tc>
        <w:tc>
          <w:tcPr>
            <w:tcW w:w="4513" w:type="dxa"/>
            <w:shd w:val="clear" w:color="auto" w:fill="F2F2F2"/>
            <w:tcMar>
              <w:top w:w="80" w:type="dxa"/>
              <w:left w:w="100" w:type="dxa"/>
              <w:bottom w:w="80" w:type="dxa"/>
              <w:right w:w="100" w:type="dxa"/>
            </w:tcMar>
            <w:vAlign w:val="center"/>
          </w:tcPr>
          <w:p w14:paraId="0928D0C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Ingest external feeds of known malicious IPs, domains, and attack signatures.</w:t>
            </w:r>
          </w:p>
        </w:tc>
      </w:tr>
      <w:tr w14:paraId="6649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36083B7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Aggregate data</w:t>
            </w:r>
          </w:p>
        </w:tc>
        <w:tc>
          <w:tcPr>
            <w:tcW w:w="4513" w:type="dxa"/>
            <w:tcMar>
              <w:top w:w="80" w:type="dxa"/>
              <w:left w:w="100" w:type="dxa"/>
              <w:bottom w:w="80" w:type="dxa"/>
              <w:right w:w="100" w:type="dxa"/>
            </w:tcMar>
            <w:vAlign w:val="center"/>
          </w:tcPr>
          <w:p w14:paraId="764EC38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Combine data from thousands of sources into a unified processing environment.</w:t>
            </w:r>
          </w:p>
        </w:tc>
      </w:tr>
      <w:tr w14:paraId="0E06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F2F2F2"/>
            <w:tcMar>
              <w:top w:w="80" w:type="dxa"/>
              <w:left w:w="100" w:type="dxa"/>
              <w:bottom w:w="80" w:type="dxa"/>
              <w:right w:w="100" w:type="dxa"/>
            </w:tcMar>
            <w:vAlign w:val="center"/>
          </w:tcPr>
          <w:p w14:paraId="3187062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Clean and preprocess data</w:t>
            </w:r>
          </w:p>
        </w:tc>
        <w:tc>
          <w:tcPr>
            <w:tcW w:w="4513" w:type="dxa"/>
            <w:shd w:val="clear" w:color="auto" w:fill="F2F2F2"/>
            <w:tcMar>
              <w:top w:w="80" w:type="dxa"/>
              <w:left w:w="100" w:type="dxa"/>
              <w:bottom w:w="80" w:type="dxa"/>
              <w:right w:w="100" w:type="dxa"/>
            </w:tcMar>
            <w:vAlign w:val="center"/>
          </w:tcPr>
          <w:p w14:paraId="75114A0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Normalise formats, remove duplicates, and synchronise timestamps.</w:t>
            </w:r>
          </w:p>
        </w:tc>
      </w:tr>
      <w:tr w14:paraId="7063B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6F2ECA6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Detect suspicious activities</w:t>
            </w:r>
          </w:p>
        </w:tc>
        <w:tc>
          <w:tcPr>
            <w:tcW w:w="4513" w:type="dxa"/>
            <w:tcMar>
              <w:top w:w="80" w:type="dxa"/>
              <w:left w:w="100" w:type="dxa"/>
              <w:bottom w:w="80" w:type="dxa"/>
              <w:right w:w="100" w:type="dxa"/>
            </w:tcMar>
            <w:vAlign w:val="center"/>
          </w:tcPr>
          <w:p w14:paraId="508B394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Identify events that deviate from normal behaviour or match known threat patterns.</w:t>
            </w:r>
          </w:p>
        </w:tc>
      </w:tr>
      <w:tr w14:paraId="6ED29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F2F2F2"/>
            <w:tcMar>
              <w:top w:w="80" w:type="dxa"/>
              <w:left w:w="100" w:type="dxa"/>
              <w:bottom w:w="80" w:type="dxa"/>
              <w:right w:w="100" w:type="dxa"/>
            </w:tcMar>
            <w:vAlign w:val="center"/>
          </w:tcPr>
          <w:p w14:paraId="732A291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Correlate security events</w:t>
            </w:r>
          </w:p>
        </w:tc>
        <w:tc>
          <w:tcPr>
            <w:tcW w:w="4513" w:type="dxa"/>
            <w:shd w:val="clear" w:color="auto" w:fill="F2F2F2"/>
            <w:tcMar>
              <w:top w:w="80" w:type="dxa"/>
              <w:left w:w="100" w:type="dxa"/>
              <w:bottom w:w="80" w:type="dxa"/>
              <w:right w:w="100" w:type="dxa"/>
            </w:tcMar>
            <w:vAlign w:val="center"/>
          </w:tcPr>
          <w:p w14:paraId="5C26964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Link related events across time and sources to reveal coordinated attacks.</w:t>
            </w:r>
          </w:p>
        </w:tc>
      </w:tr>
      <w:tr w14:paraId="051D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4E700DF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Identify attack patterns</w:t>
            </w:r>
          </w:p>
        </w:tc>
        <w:tc>
          <w:tcPr>
            <w:tcW w:w="4513" w:type="dxa"/>
            <w:tcMar>
              <w:top w:w="80" w:type="dxa"/>
              <w:left w:w="100" w:type="dxa"/>
              <w:bottom w:w="80" w:type="dxa"/>
              <w:right w:w="100" w:type="dxa"/>
            </w:tcMar>
            <w:vAlign w:val="center"/>
          </w:tcPr>
          <w:p w14:paraId="2CFE1C8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Recognise multi-stage attack sequences such as brute force or lateral movement.</w:t>
            </w:r>
          </w:p>
        </w:tc>
      </w:tr>
      <w:tr w14:paraId="228E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F2F2F2"/>
            <w:tcMar>
              <w:top w:w="80" w:type="dxa"/>
              <w:left w:w="100" w:type="dxa"/>
              <w:bottom w:w="80" w:type="dxa"/>
              <w:right w:w="100" w:type="dxa"/>
            </w:tcMar>
            <w:vAlign w:val="center"/>
          </w:tcPr>
          <w:p w14:paraId="06A782E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Generate alerts</w:t>
            </w:r>
          </w:p>
        </w:tc>
        <w:tc>
          <w:tcPr>
            <w:tcW w:w="4513" w:type="dxa"/>
            <w:shd w:val="clear" w:color="auto" w:fill="F2F2F2"/>
            <w:tcMar>
              <w:top w:w="80" w:type="dxa"/>
              <w:left w:w="100" w:type="dxa"/>
              <w:bottom w:w="80" w:type="dxa"/>
              <w:right w:w="100" w:type="dxa"/>
            </w:tcMar>
            <w:vAlign w:val="center"/>
          </w:tcPr>
          <w:p w14:paraId="72E4050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Produce structured alerts describing detected threats.</w:t>
            </w:r>
          </w:p>
        </w:tc>
      </w:tr>
      <w:tr w14:paraId="5E2D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495614B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Prioritise alerts</w:t>
            </w:r>
          </w:p>
        </w:tc>
        <w:tc>
          <w:tcPr>
            <w:tcW w:w="4513" w:type="dxa"/>
            <w:tcMar>
              <w:top w:w="80" w:type="dxa"/>
              <w:left w:w="100" w:type="dxa"/>
              <w:bottom w:w="80" w:type="dxa"/>
              <w:right w:w="100" w:type="dxa"/>
            </w:tcMar>
            <w:vAlign w:val="center"/>
          </w:tcPr>
          <w:p w14:paraId="5A3EB73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Rank alerts by severity and business impact to focus analyst attention.</w:t>
            </w:r>
          </w:p>
        </w:tc>
      </w:tr>
      <w:tr w14:paraId="1099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F2F2F2"/>
            <w:tcMar>
              <w:top w:w="80" w:type="dxa"/>
              <w:left w:w="100" w:type="dxa"/>
              <w:bottom w:w="80" w:type="dxa"/>
              <w:right w:w="100" w:type="dxa"/>
            </w:tcMar>
            <w:vAlign w:val="center"/>
          </w:tcPr>
          <w:p w14:paraId="53C5BD0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Trigger automated responses</w:t>
            </w:r>
          </w:p>
        </w:tc>
        <w:tc>
          <w:tcPr>
            <w:tcW w:w="4513" w:type="dxa"/>
            <w:shd w:val="clear" w:color="auto" w:fill="F2F2F2"/>
            <w:tcMar>
              <w:top w:w="80" w:type="dxa"/>
              <w:left w:w="100" w:type="dxa"/>
              <w:bottom w:w="80" w:type="dxa"/>
              <w:right w:w="100" w:type="dxa"/>
            </w:tcMar>
            <w:vAlign w:val="center"/>
          </w:tcPr>
          <w:p w14:paraId="52DC0D0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Execute predefined defensive actions for high-confidence threats.</w:t>
            </w:r>
          </w:p>
        </w:tc>
      </w:tr>
      <w:tr w14:paraId="43B9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1595EA0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Store threat intelligence</w:t>
            </w:r>
          </w:p>
        </w:tc>
        <w:tc>
          <w:tcPr>
            <w:tcW w:w="4513" w:type="dxa"/>
            <w:tcMar>
              <w:top w:w="80" w:type="dxa"/>
              <w:left w:w="100" w:type="dxa"/>
              <w:bottom w:w="80" w:type="dxa"/>
              <w:right w:w="100" w:type="dxa"/>
            </w:tcMar>
            <w:vAlign w:val="center"/>
          </w:tcPr>
          <w:p w14:paraId="065E414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Persist processed intelligence for historical analysis and reporting.</w:t>
            </w:r>
          </w:p>
        </w:tc>
      </w:tr>
    </w:tbl>
    <w:p w14:paraId="4D9AAD0D">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4.2 Non-Functional Requirements</w:t>
      </w:r>
    </w:p>
    <w:p w14:paraId="02B78B8A">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Scalability — ability to add processing capacity as client networks grow.</w:t>
      </w:r>
    </w:p>
    <w:p w14:paraId="010882F2">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Low latency — near real-time detection and alerting.</w:t>
      </w:r>
    </w:p>
    <w:p w14:paraId="26917A22">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Fault tolerance — continued operation despite hardware or software failures.</w:t>
      </w:r>
    </w:p>
    <w:p w14:paraId="25252E91">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High availability — minimal downtime for continuous monitoring.</w:t>
      </w:r>
    </w:p>
    <w:p w14:paraId="65737A3B">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Security — protection of the platform itself against compromise.</w:t>
      </w:r>
    </w:p>
    <w:p w14:paraId="3B3DC3A7">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Privacy — safeguarding sensitive client data during processing and storage.</w:t>
      </w:r>
    </w:p>
    <w:p w14:paraId="2080712A">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Reliability — consistent and accurate detection results over time.</w:t>
      </w:r>
    </w:p>
    <w:p w14:paraId="003852AC">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5. REVERSE-ENGINEERED SYSTEM ARCHITECTURE</w:t>
      </w:r>
    </w:p>
    <w:p w14:paraId="36FBC14F">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Figure 1 presents the overall reverse-engineered system architecture, showing how data originates at client networks and progresses through collection, distributed processing, detection, and response layers before reaching the Security Operations Center (SOC).</w:t>
      </w:r>
    </w:p>
    <w:p w14:paraId="76705780">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CLIENT NETWORKS</w:t>
      </w:r>
    </w:p>
    <w:p w14:paraId="41C4D5FA">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39A455FB">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Security Devices / Servers / Applications</w:t>
      </w:r>
    </w:p>
    <w:p w14:paraId="45F9B000">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70F47088">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Security Logs and Events</w:t>
      </w:r>
    </w:p>
    <w:p w14:paraId="031A29D6">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061098FE">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Data Collection Layer</w:t>
      </w:r>
    </w:p>
    <w:p w14:paraId="1D96E979">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2FA8A5FE">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Threat Intelligence Feeds</w:t>
      </w:r>
    </w:p>
    <w:p w14:paraId="63DE550C">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0AA3BFA1">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Data Aggregation Layer</w:t>
      </w:r>
    </w:p>
    <w:p w14:paraId="67873ED3">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19DF2E4A">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PySpark Cluster</w:t>
      </w:r>
    </w:p>
    <w:p w14:paraId="16D777A2">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4D0521D7">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RDD Processing</w:t>
      </w:r>
    </w:p>
    <w:p w14:paraId="3517F114">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2777C0A3">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Threat Detection Engine</w:t>
      </w:r>
    </w:p>
    <w:p w14:paraId="0DDDCAE7">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2FFC34BC">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Correlation Analysis Agents</w:t>
      </w:r>
    </w:p>
    <w:p w14:paraId="5033CCEB">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64D1FABC">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Alert Prioritization Agents</w:t>
      </w:r>
    </w:p>
    <w:p w14:paraId="3609E969">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699C8B36">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Automated Response Agents</w:t>
      </w:r>
    </w:p>
    <w:p w14:paraId="63AA3743">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3B3B9311">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Security Dashboard / SOC Team</w:t>
      </w:r>
    </w:p>
    <w:p w14:paraId="7C584DE1">
      <w:pPr>
        <w:spacing w:before="120" w:after="300"/>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1: Reverse-Engineered Overall System Architecture (with feedback loop: Automated Response → Monitoring → Threat Detection Engine, shown as a dashed return path in the deployed system)</w:t>
      </w:r>
    </w:p>
    <w:p w14:paraId="70439F02">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 feedback loop connects the Automated Response stage back to a continuous Monitoring function, which in turn feeds observations back into the Threat Detection Engine. This loop allows the platform to learn from the outcomes of its own responses — for example, verifying whether a blocked IP address attempts further activity — and to refine detection sensitivity over time.</w:t>
      </w:r>
    </w:p>
    <w:p w14:paraId="2A684881">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5.1 Explanation of Each Layer</w:t>
      </w:r>
    </w:p>
    <w:p w14:paraId="2452DE8F">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Client Networks: The thousands of organisations whose infrastructure generates raw security data.</w:t>
      </w:r>
    </w:p>
    <w:p w14:paraId="445702A2">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Security Devices / Servers / Applications: The endpoints, firewalls, and systems that produce logs.</w:t>
      </w:r>
    </w:p>
    <w:p w14:paraId="1CA23D74">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Security Logs and Events: The raw, unstructured or semi-structured records describing system and network activity.</w:t>
      </w:r>
    </w:p>
    <w:p w14:paraId="5EC29F30">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Data Collection Layer: Agents and collectors that gather logs securely from each client network.</w:t>
      </w:r>
    </w:p>
    <w:p w14:paraId="573EAC3A">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Threat Intelligence Feeds: External sources of known indicators of compromise that enrich internal data.</w:t>
      </w:r>
    </w:p>
    <w:p w14:paraId="1E12222E">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Data Aggregation Layer: The stage where data from all sources is combined into a unified stream for processing.</w:t>
      </w:r>
    </w:p>
    <w:p w14:paraId="6E8A3822">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PySpark Cluster: The distributed compute layer that processes aggregated data in parallel.</w:t>
      </w:r>
    </w:p>
    <w:p w14:paraId="3E287DCE">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RDD Processing: The fault-tolerant, in-memory transformations applied to the data within the cluster.</w:t>
      </w:r>
    </w:p>
    <w:p w14:paraId="22BE3A5D">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Threat Detection Engine: The component that applies rules, signatures, and models to flag suspicious activity.</w:t>
      </w:r>
    </w:p>
    <w:p w14:paraId="3C7E5965">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Correlation Analysis Agents: Agents that link related events to identify coordinated multi-stage attacks.</w:t>
      </w:r>
    </w:p>
    <w:p w14:paraId="21A714D9">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Alert Prioritization Agents: Agents that score and rank alerts by severity and business impact.</w:t>
      </w:r>
    </w:p>
    <w:p w14:paraId="01C7175C">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Automated Response Agents: Agents that execute defensive actions for high-confidence threats.</w:t>
      </w:r>
    </w:p>
    <w:p w14:paraId="3A6E804D">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Security Dashboard / SOC Team: The human interface where analysts monitor, verify, and manage incidents.</w:t>
      </w:r>
    </w:p>
    <w:p w14:paraId="5F7F7650">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6. THREAT DATA SOURCES</w:t>
      </w:r>
    </w:p>
    <w:p w14:paraId="09C2FB5C">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 robust threat intelligence platform draws upon a wide variety of data sources, since no single source provides a complete picture of network activity. Combining multiple sources allows the platform to cross-verify signals and reduce blind spots.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76ECF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shd w:val="clear" w:color="auto" w:fill="1F3864"/>
            <w:tcMar>
              <w:top w:w="80" w:type="dxa"/>
              <w:left w:w="100" w:type="dxa"/>
              <w:bottom w:w="80" w:type="dxa"/>
              <w:right w:w="100" w:type="dxa"/>
            </w:tcMar>
            <w:vAlign w:val="center"/>
          </w:tcPr>
          <w:p w14:paraId="62869019">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Data Source</w:t>
            </w:r>
          </w:p>
        </w:tc>
        <w:tc>
          <w:tcPr>
            <w:tcW w:w="3008" w:type="dxa"/>
            <w:shd w:val="clear" w:color="auto" w:fill="1F3864"/>
            <w:tcMar>
              <w:top w:w="80" w:type="dxa"/>
              <w:left w:w="100" w:type="dxa"/>
              <w:bottom w:w="80" w:type="dxa"/>
              <w:right w:w="100" w:type="dxa"/>
            </w:tcMar>
            <w:vAlign w:val="center"/>
          </w:tcPr>
          <w:p w14:paraId="0C346AD1">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Example Data</w:t>
            </w:r>
          </w:p>
        </w:tc>
        <w:tc>
          <w:tcPr>
            <w:tcW w:w="3008" w:type="dxa"/>
            <w:shd w:val="clear" w:color="auto" w:fill="1F3864"/>
            <w:tcMar>
              <w:top w:w="80" w:type="dxa"/>
              <w:left w:w="100" w:type="dxa"/>
              <w:bottom w:w="80" w:type="dxa"/>
              <w:right w:w="100" w:type="dxa"/>
            </w:tcMar>
            <w:vAlign w:val="center"/>
          </w:tcPr>
          <w:p w14:paraId="2C84A5F7">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Security Purpose</w:t>
            </w:r>
          </w:p>
        </w:tc>
      </w:tr>
      <w:tr w14:paraId="7D897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6F2BF8C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Firewall logs</w:t>
            </w:r>
          </w:p>
        </w:tc>
        <w:tc>
          <w:tcPr>
            <w:tcW w:w="3008" w:type="dxa"/>
            <w:tcMar>
              <w:top w:w="80" w:type="dxa"/>
              <w:left w:w="100" w:type="dxa"/>
              <w:bottom w:w="80" w:type="dxa"/>
              <w:right w:w="100" w:type="dxa"/>
            </w:tcMar>
            <w:vAlign w:val="center"/>
          </w:tcPr>
          <w:p w14:paraId="1B9FC8B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Allowed/blocked connection attempts, port scans</w:t>
            </w:r>
          </w:p>
        </w:tc>
        <w:tc>
          <w:tcPr>
            <w:tcW w:w="3008" w:type="dxa"/>
            <w:tcMar>
              <w:top w:w="80" w:type="dxa"/>
              <w:left w:w="100" w:type="dxa"/>
              <w:bottom w:w="80" w:type="dxa"/>
              <w:right w:w="100" w:type="dxa"/>
            </w:tcMar>
            <w:vAlign w:val="center"/>
          </w:tcPr>
          <w:p w14:paraId="3CD3C9C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Detect unauthorized access attempts</w:t>
            </w:r>
          </w:p>
        </w:tc>
      </w:tr>
      <w:tr w14:paraId="46097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079B263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IDS/IPS logs</w:t>
            </w:r>
          </w:p>
        </w:tc>
        <w:tc>
          <w:tcPr>
            <w:tcW w:w="3008" w:type="dxa"/>
            <w:shd w:val="clear" w:color="auto" w:fill="F2F2F2"/>
            <w:tcMar>
              <w:top w:w="80" w:type="dxa"/>
              <w:left w:w="100" w:type="dxa"/>
              <w:bottom w:w="80" w:type="dxa"/>
              <w:right w:w="100" w:type="dxa"/>
            </w:tcMar>
            <w:vAlign w:val="center"/>
          </w:tcPr>
          <w:p w14:paraId="3E1ED0E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Signature matches, anomaly alerts</w:t>
            </w:r>
          </w:p>
        </w:tc>
        <w:tc>
          <w:tcPr>
            <w:tcW w:w="3008" w:type="dxa"/>
            <w:shd w:val="clear" w:color="auto" w:fill="F2F2F2"/>
            <w:tcMar>
              <w:top w:w="80" w:type="dxa"/>
              <w:left w:w="100" w:type="dxa"/>
              <w:bottom w:w="80" w:type="dxa"/>
              <w:right w:w="100" w:type="dxa"/>
            </w:tcMar>
            <w:vAlign w:val="center"/>
          </w:tcPr>
          <w:p w14:paraId="2D90538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Identify known attack signatures</w:t>
            </w:r>
          </w:p>
        </w:tc>
      </w:tr>
      <w:tr w14:paraId="5E8A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4D5FA11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Server logs</w:t>
            </w:r>
          </w:p>
        </w:tc>
        <w:tc>
          <w:tcPr>
            <w:tcW w:w="3008" w:type="dxa"/>
            <w:tcMar>
              <w:top w:w="80" w:type="dxa"/>
              <w:left w:w="100" w:type="dxa"/>
              <w:bottom w:w="80" w:type="dxa"/>
              <w:right w:w="100" w:type="dxa"/>
            </w:tcMar>
            <w:vAlign w:val="center"/>
          </w:tcPr>
          <w:p w14:paraId="34D301B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System errors, resource usage, process activity</w:t>
            </w:r>
          </w:p>
        </w:tc>
        <w:tc>
          <w:tcPr>
            <w:tcW w:w="3008" w:type="dxa"/>
            <w:tcMar>
              <w:top w:w="80" w:type="dxa"/>
              <w:left w:w="100" w:type="dxa"/>
              <w:bottom w:w="80" w:type="dxa"/>
              <w:right w:w="100" w:type="dxa"/>
            </w:tcMar>
            <w:vAlign w:val="center"/>
          </w:tcPr>
          <w:p w14:paraId="5CCA28D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Detect abnormal server behaviour</w:t>
            </w:r>
          </w:p>
        </w:tc>
      </w:tr>
      <w:tr w14:paraId="3E61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2841D3C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Application logs</w:t>
            </w:r>
          </w:p>
        </w:tc>
        <w:tc>
          <w:tcPr>
            <w:tcW w:w="3008" w:type="dxa"/>
            <w:shd w:val="clear" w:color="auto" w:fill="F2F2F2"/>
            <w:tcMar>
              <w:top w:w="80" w:type="dxa"/>
              <w:left w:w="100" w:type="dxa"/>
              <w:bottom w:w="80" w:type="dxa"/>
              <w:right w:w="100" w:type="dxa"/>
            </w:tcMar>
            <w:vAlign w:val="center"/>
          </w:tcPr>
          <w:p w14:paraId="7B07C98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User actions, transaction records</w:t>
            </w:r>
          </w:p>
        </w:tc>
        <w:tc>
          <w:tcPr>
            <w:tcW w:w="3008" w:type="dxa"/>
            <w:shd w:val="clear" w:color="auto" w:fill="F2F2F2"/>
            <w:tcMar>
              <w:top w:w="80" w:type="dxa"/>
              <w:left w:w="100" w:type="dxa"/>
              <w:bottom w:w="80" w:type="dxa"/>
              <w:right w:w="100" w:type="dxa"/>
            </w:tcMar>
            <w:vAlign w:val="center"/>
          </w:tcPr>
          <w:p w14:paraId="6373E96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Identify misuse of application features</w:t>
            </w:r>
          </w:p>
        </w:tc>
      </w:tr>
      <w:tr w14:paraId="666A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5AFEB22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Authentication logs</w:t>
            </w:r>
          </w:p>
        </w:tc>
        <w:tc>
          <w:tcPr>
            <w:tcW w:w="3008" w:type="dxa"/>
            <w:tcMar>
              <w:top w:w="80" w:type="dxa"/>
              <w:left w:w="100" w:type="dxa"/>
              <w:bottom w:w="80" w:type="dxa"/>
              <w:right w:w="100" w:type="dxa"/>
            </w:tcMar>
            <w:vAlign w:val="center"/>
          </w:tcPr>
          <w:p w14:paraId="72C9E49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Login attempts, password resets</w:t>
            </w:r>
          </w:p>
        </w:tc>
        <w:tc>
          <w:tcPr>
            <w:tcW w:w="3008" w:type="dxa"/>
            <w:tcMar>
              <w:top w:w="80" w:type="dxa"/>
              <w:left w:w="100" w:type="dxa"/>
              <w:bottom w:w="80" w:type="dxa"/>
              <w:right w:w="100" w:type="dxa"/>
            </w:tcMar>
            <w:vAlign w:val="center"/>
          </w:tcPr>
          <w:p w14:paraId="2CCF9C2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Detect brute force or credential stuffing</w:t>
            </w:r>
          </w:p>
        </w:tc>
      </w:tr>
      <w:tr w14:paraId="6D94D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4C54702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Endpoint security logs</w:t>
            </w:r>
          </w:p>
        </w:tc>
        <w:tc>
          <w:tcPr>
            <w:tcW w:w="3008" w:type="dxa"/>
            <w:shd w:val="clear" w:color="auto" w:fill="F2F2F2"/>
            <w:tcMar>
              <w:top w:w="80" w:type="dxa"/>
              <w:left w:w="100" w:type="dxa"/>
              <w:bottom w:w="80" w:type="dxa"/>
              <w:right w:w="100" w:type="dxa"/>
            </w:tcMar>
            <w:vAlign w:val="center"/>
          </w:tcPr>
          <w:p w14:paraId="648B84B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Malware alerts, file changes</w:t>
            </w:r>
          </w:p>
        </w:tc>
        <w:tc>
          <w:tcPr>
            <w:tcW w:w="3008" w:type="dxa"/>
            <w:shd w:val="clear" w:color="auto" w:fill="F2F2F2"/>
            <w:tcMar>
              <w:top w:w="80" w:type="dxa"/>
              <w:left w:w="100" w:type="dxa"/>
              <w:bottom w:w="80" w:type="dxa"/>
              <w:right w:w="100" w:type="dxa"/>
            </w:tcMar>
            <w:vAlign w:val="center"/>
          </w:tcPr>
          <w:p w14:paraId="69FDB26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Identify compromised devices</w:t>
            </w:r>
          </w:p>
        </w:tc>
      </w:tr>
      <w:tr w14:paraId="52BF4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10252F2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Network traffic logs</w:t>
            </w:r>
          </w:p>
        </w:tc>
        <w:tc>
          <w:tcPr>
            <w:tcW w:w="3008" w:type="dxa"/>
            <w:tcMar>
              <w:top w:w="80" w:type="dxa"/>
              <w:left w:w="100" w:type="dxa"/>
              <w:bottom w:w="80" w:type="dxa"/>
              <w:right w:w="100" w:type="dxa"/>
            </w:tcMar>
            <w:vAlign w:val="center"/>
          </w:tcPr>
          <w:p w14:paraId="1560C9B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Packet flow, bandwidth usage</w:t>
            </w:r>
          </w:p>
        </w:tc>
        <w:tc>
          <w:tcPr>
            <w:tcW w:w="3008" w:type="dxa"/>
            <w:tcMar>
              <w:top w:w="80" w:type="dxa"/>
              <w:left w:w="100" w:type="dxa"/>
              <w:bottom w:w="80" w:type="dxa"/>
              <w:right w:w="100" w:type="dxa"/>
            </w:tcMar>
            <w:vAlign w:val="center"/>
          </w:tcPr>
          <w:p w14:paraId="1FB1A75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Detect data exfiltration or scanning</w:t>
            </w:r>
          </w:p>
        </w:tc>
      </w:tr>
      <w:tr w14:paraId="15630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042CB3B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External threat intelligence feeds</w:t>
            </w:r>
          </w:p>
        </w:tc>
        <w:tc>
          <w:tcPr>
            <w:tcW w:w="3008" w:type="dxa"/>
            <w:shd w:val="clear" w:color="auto" w:fill="F2F2F2"/>
            <w:tcMar>
              <w:top w:w="80" w:type="dxa"/>
              <w:left w:w="100" w:type="dxa"/>
              <w:bottom w:w="80" w:type="dxa"/>
              <w:right w:w="100" w:type="dxa"/>
            </w:tcMar>
            <w:vAlign w:val="center"/>
          </w:tcPr>
          <w:p w14:paraId="51CD81C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Known malicious IPs, domains, hashes</w:t>
            </w:r>
          </w:p>
        </w:tc>
        <w:tc>
          <w:tcPr>
            <w:tcW w:w="3008" w:type="dxa"/>
            <w:shd w:val="clear" w:color="auto" w:fill="F2F2F2"/>
            <w:tcMar>
              <w:top w:w="80" w:type="dxa"/>
              <w:left w:w="100" w:type="dxa"/>
              <w:bottom w:w="80" w:type="dxa"/>
              <w:right w:w="100" w:type="dxa"/>
            </w:tcMar>
            <w:vAlign w:val="center"/>
          </w:tcPr>
          <w:p w14:paraId="5AB6BE3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Enrich internal detections with global context</w:t>
            </w:r>
          </w:p>
        </w:tc>
      </w:tr>
    </w:tbl>
    <w:p w14:paraId="71EE5197">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Combining these sources enables the platform to correlate seemingly unrelated events — for instance, an authentication log showing repeated failed logins alongside a network log showing traffic from a known malicious IP address — into a single, high-confidence threat indicator.</w:t>
      </w:r>
    </w:p>
    <w:p w14:paraId="7681623F">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7. DATA COLLECTION AND AGGREGATION</w:t>
      </w:r>
    </w:p>
    <w:p w14:paraId="28F983B2">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Collecting data from thousands of client networks requires a lightweight, secure, and scalable ingestion mechanism. The reverse-engineered design assumes the use of log collectors deployed at each client site, secure APIs for transmitting data to the central platform, dedicated data ingestion services that accept incoming streams, and message queues that buffer bursts of data so that downstream processing is not overwhelmed during traffic spikes.</w:t>
      </w:r>
    </w:p>
    <w:p w14:paraId="66851DAB">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7.1 Collection Mechanisms</w:t>
      </w:r>
    </w:p>
    <w:p w14:paraId="2AA434D2">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Log collectors — lightweight agents installed within client environments that forward logs securely.</w:t>
      </w:r>
    </w:p>
    <w:p w14:paraId="28547C13">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Secure APIs — encrypted endpoints through which client systems transmit structured event data.</w:t>
      </w:r>
    </w:p>
    <w:p w14:paraId="08D80594">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Data ingestion services — scalable services that accept and validate incoming data streams.</w:t>
      </w:r>
    </w:p>
    <w:p w14:paraId="77E9607E">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Message queues — buffering systems (such as a publish-subscribe queue) that decouple data producers from processing consumers.</w:t>
      </w:r>
    </w:p>
    <w:p w14:paraId="1BEC87FF">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Streaming data — continuous flow of events rather than periodic batch uploads, supporting near real-time detection.</w:t>
      </w:r>
    </w:p>
    <w:p w14:paraId="761C13D5">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7.2 Preprocessing Before Aggregation</w:t>
      </w:r>
    </w:p>
    <w:p w14:paraId="20FACF57">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Data standardisation — converting heterogeneous log formats into a common schema.</w:t>
      </w:r>
    </w:p>
    <w:p w14:paraId="34D097BB">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Data cleaning — removing malformed or incomplete records.</w:t>
      </w:r>
    </w:p>
    <w:p w14:paraId="15DC5BCE">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Timestamp synchronisation — aligning event times across time zones and clock drift.</w:t>
      </w:r>
    </w:p>
    <w:p w14:paraId="3BD103E7">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Duplicate removal — eliminating repeated records caused by retransmission or multiple sensors.</w:t>
      </w:r>
    </w:p>
    <w:p w14:paraId="1FC84BD5">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Once standardised and cleaned, events from all client networks are aggregated into a unified data stream that is handed off to the distributed processing environment for large-scale analysis.</w:t>
      </w:r>
    </w:p>
    <w:p w14:paraId="69C1B84D">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8. PYSPARK PROCESSING ARCHITECTURE</w:t>
      </w:r>
    </w:p>
    <w:p w14:paraId="1EB4FA8B">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PySpark, the Python API for Apache Spark, is well suited to this platform because it provides distributed processing across many machines, parallel execution of transformations, in-memory computation that avoids costly disk I/O between processing stages, and mature support for large-scale analytics on structured and semi-structured data. These characteristics allow the platform to process millions of security events far faster than a single-machine solution.</w:t>
      </w:r>
    </w:p>
    <w:p w14:paraId="6E0131B3">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8.1 Reverse-Engineered PySpark Architecture</w:t>
      </w:r>
    </w:p>
    <w:p w14:paraId="3020BACB">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Driver Program — coordinates the overall job, builds the execution plan, and schedules tasks across the cluster.</w:t>
      </w:r>
    </w:p>
    <w:p w14:paraId="5389C43C">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Cluster Manager — allocates resources (CPU, memory) to the application across the available worker machines.</w:t>
      </w:r>
    </w:p>
    <w:p w14:paraId="00D817C2">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Worker Nodes — physical or virtual machines that execute assigned tasks in parallel.</w:t>
      </w:r>
    </w:p>
    <w:p w14:paraId="6608A772">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Executors — processes running on worker nodes that perform the actual computation and hold data partitions in memory.</w:t>
      </w:r>
    </w:p>
    <w:p w14:paraId="6042AF65">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Data Partitions — subsets of the overall dataset distributed across executors to enable parallel processing.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67C2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shd w:val="clear" w:color="auto" w:fill="1F3864"/>
            <w:tcMar>
              <w:top w:w="80" w:type="dxa"/>
              <w:left w:w="100" w:type="dxa"/>
              <w:bottom w:w="80" w:type="dxa"/>
              <w:right w:w="100" w:type="dxa"/>
            </w:tcMar>
            <w:vAlign w:val="center"/>
          </w:tcPr>
          <w:p w14:paraId="1EDA9AA9">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PySpark Component</w:t>
            </w:r>
          </w:p>
        </w:tc>
        <w:tc>
          <w:tcPr>
            <w:tcW w:w="4513" w:type="dxa"/>
            <w:shd w:val="clear" w:color="auto" w:fill="1F3864"/>
            <w:tcMar>
              <w:top w:w="80" w:type="dxa"/>
              <w:left w:w="100" w:type="dxa"/>
              <w:bottom w:w="80" w:type="dxa"/>
              <w:right w:w="100" w:type="dxa"/>
            </w:tcMar>
            <w:vAlign w:val="center"/>
          </w:tcPr>
          <w:p w14:paraId="5AD069BC">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Role in Threat Intelligence Platform</w:t>
            </w:r>
          </w:p>
        </w:tc>
      </w:tr>
      <w:tr w14:paraId="49A3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6D5AB21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Driver Program</w:t>
            </w:r>
          </w:p>
        </w:tc>
        <w:tc>
          <w:tcPr>
            <w:tcW w:w="4513" w:type="dxa"/>
            <w:tcMar>
              <w:top w:w="80" w:type="dxa"/>
              <w:left w:w="100" w:type="dxa"/>
              <w:bottom w:w="80" w:type="dxa"/>
              <w:right w:w="100" w:type="dxa"/>
            </w:tcMar>
            <w:vAlign w:val="center"/>
          </w:tcPr>
          <w:p w14:paraId="30B81A9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Defines the log-processing job, builds the RDD lineage graph, and coordinates task scheduling.</w:t>
            </w:r>
          </w:p>
        </w:tc>
      </w:tr>
      <w:tr w14:paraId="64A4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F2F2F2"/>
            <w:tcMar>
              <w:top w:w="80" w:type="dxa"/>
              <w:left w:w="100" w:type="dxa"/>
              <w:bottom w:w="80" w:type="dxa"/>
              <w:right w:w="100" w:type="dxa"/>
            </w:tcMar>
            <w:vAlign w:val="center"/>
          </w:tcPr>
          <w:p w14:paraId="0B7ADCA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Cluster Manager</w:t>
            </w:r>
          </w:p>
        </w:tc>
        <w:tc>
          <w:tcPr>
            <w:tcW w:w="4513" w:type="dxa"/>
            <w:shd w:val="clear" w:color="auto" w:fill="F2F2F2"/>
            <w:tcMar>
              <w:top w:w="80" w:type="dxa"/>
              <w:left w:w="100" w:type="dxa"/>
              <w:bottom w:w="80" w:type="dxa"/>
              <w:right w:w="100" w:type="dxa"/>
            </w:tcMar>
            <w:vAlign w:val="center"/>
          </w:tcPr>
          <w:p w14:paraId="2053118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Allocates worker resources dynamically as event volume fluctuates across client networks.</w:t>
            </w:r>
          </w:p>
        </w:tc>
      </w:tr>
      <w:tr w14:paraId="73A71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3093021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Worker Nodes</w:t>
            </w:r>
          </w:p>
        </w:tc>
        <w:tc>
          <w:tcPr>
            <w:tcW w:w="4513" w:type="dxa"/>
            <w:tcMar>
              <w:top w:w="80" w:type="dxa"/>
              <w:left w:w="100" w:type="dxa"/>
              <w:bottom w:w="80" w:type="dxa"/>
              <w:right w:w="100" w:type="dxa"/>
            </w:tcMar>
            <w:vAlign w:val="center"/>
          </w:tcPr>
          <w:p w14:paraId="36CEBB0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Execute distributed filtering, mapping, and aggregation of security events in parallel.</w:t>
            </w:r>
          </w:p>
        </w:tc>
      </w:tr>
      <w:tr w14:paraId="2869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F2F2F2"/>
            <w:tcMar>
              <w:top w:w="80" w:type="dxa"/>
              <w:left w:w="100" w:type="dxa"/>
              <w:bottom w:w="80" w:type="dxa"/>
              <w:right w:w="100" w:type="dxa"/>
            </w:tcMar>
            <w:vAlign w:val="center"/>
          </w:tcPr>
          <w:p w14:paraId="306C8A8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Executors</w:t>
            </w:r>
          </w:p>
        </w:tc>
        <w:tc>
          <w:tcPr>
            <w:tcW w:w="4513" w:type="dxa"/>
            <w:shd w:val="clear" w:color="auto" w:fill="F2F2F2"/>
            <w:tcMar>
              <w:top w:w="80" w:type="dxa"/>
              <w:left w:w="100" w:type="dxa"/>
              <w:bottom w:w="80" w:type="dxa"/>
              <w:right w:w="100" w:type="dxa"/>
            </w:tcMar>
            <w:vAlign w:val="center"/>
          </w:tcPr>
          <w:p w14:paraId="4FE736B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Hold in-memory partitions of log data and run transformation/action tasks.</w:t>
            </w:r>
          </w:p>
        </w:tc>
      </w:tr>
      <w:tr w14:paraId="50C9F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54D124E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Data Partitions</w:t>
            </w:r>
          </w:p>
        </w:tc>
        <w:tc>
          <w:tcPr>
            <w:tcW w:w="4513" w:type="dxa"/>
            <w:tcMar>
              <w:top w:w="80" w:type="dxa"/>
              <w:left w:w="100" w:type="dxa"/>
              <w:bottom w:w="80" w:type="dxa"/>
              <w:right w:w="100" w:type="dxa"/>
            </w:tcMar>
            <w:vAlign w:val="center"/>
          </w:tcPr>
          <w:p w14:paraId="73EAC25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Split incoming event streams by client, time window, or event type for balanced parallel processing.</w:t>
            </w:r>
          </w:p>
        </w:tc>
      </w:tr>
    </w:tbl>
    <w:p w14:paraId="547CA21E">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With this architecture, incoming security events can be partitioned — for example, by client network or by time window — and distributed across many executors. Each executor processes its partition independently and in parallel, so that millions of events can be filtered, transformed, and aggregated within seconds rather than hours.</w:t>
      </w:r>
    </w:p>
    <w:p w14:paraId="0D77A28B">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9. RDD OPERATIONS AND FAULT TOLERANCE</w:t>
      </w:r>
    </w:p>
    <w:p w14:paraId="13F0DED5">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 Resilient Distributed Dataset (RDD) is Spark's fundamental data abstraction: an immutable, partitioned collection of records distributed across the nodes of a cluster. RDDs support fault tolerance through lineage — Spark records the sequence of transformations used to derive each RDD, so that if a partition is lost due to node failure, it can be recomputed from the original data rather than requiring a full restart of the job.</w:t>
      </w:r>
    </w:p>
    <w:p w14:paraId="3985C260">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9.1 Key RDD Characteristics</w:t>
      </w:r>
    </w:p>
    <w:p w14:paraId="285D468F">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Distributed storage — data is spread across multiple nodes rather than held on a single machine.</w:t>
      </w:r>
    </w:p>
    <w:p w14:paraId="0155057D">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Immutability — once created, an RDD cannot be changed, which simplifies fault recovery and parallel access.</w:t>
      </w:r>
    </w:p>
    <w:p w14:paraId="0DF6E2D6">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Partitioning — data is divided into partitions that can be processed independently and in parallel.</w:t>
      </w:r>
    </w:p>
    <w:p w14:paraId="1E373759">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Parallel processing — operations are applied to all partitions simultaneously across the cluster.</w:t>
      </w:r>
    </w:p>
    <w:p w14:paraId="0A76B4E6">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Lineage — a recorded graph of transformations that allows lost data to be recomputed automatically.</w:t>
      </w:r>
    </w:p>
    <w:p w14:paraId="6A624100">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Fault recovery — failed tasks or lost partitions are automatically recomputed using lineage information.</w:t>
      </w:r>
    </w:p>
    <w:p w14:paraId="4A397501">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9.2 RDD Transformations and Actions</w:t>
      </w:r>
    </w:p>
    <w:p w14:paraId="2E0413D2">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Transformations are lazy operations that define a new RDD from an existing one, while actions trigger actual computation and return a result.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3E63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shd w:val="clear" w:color="auto" w:fill="1F3864"/>
            <w:tcMar>
              <w:top w:w="80" w:type="dxa"/>
              <w:left w:w="100" w:type="dxa"/>
              <w:bottom w:w="80" w:type="dxa"/>
              <w:right w:w="100" w:type="dxa"/>
            </w:tcMar>
            <w:vAlign w:val="center"/>
          </w:tcPr>
          <w:p w14:paraId="55789720">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RDD Operation</w:t>
            </w:r>
          </w:p>
        </w:tc>
        <w:tc>
          <w:tcPr>
            <w:tcW w:w="3008" w:type="dxa"/>
            <w:shd w:val="clear" w:color="auto" w:fill="1F3864"/>
            <w:tcMar>
              <w:top w:w="80" w:type="dxa"/>
              <w:left w:w="100" w:type="dxa"/>
              <w:bottom w:w="80" w:type="dxa"/>
              <w:right w:w="100" w:type="dxa"/>
            </w:tcMar>
            <w:vAlign w:val="center"/>
          </w:tcPr>
          <w:p w14:paraId="316FC0E7">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Type</w:t>
            </w:r>
          </w:p>
        </w:tc>
        <w:tc>
          <w:tcPr>
            <w:tcW w:w="3008" w:type="dxa"/>
            <w:shd w:val="clear" w:color="auto" w:fill="1F3864"/>
            <w:tcMar>
              <w:top w:w="80" w:type="dxa"/>
              <w:left w:w="100" w:type="dxa"/>
              <w:bottom w:w="80" w:type="dxa"/>
              <w:right w:w="100" w:type="dxa"/>
            </w:tcMar>
            <w:vAlign w:val="center"/>
          </w:tcPr>
          <w:p w14:paraId="74273155">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Cybersecurity Application</w:t>
            </w:r>
          </w:p>
        </w:tc>
      </w:tr>
      <w:tr w14:paraId="31B54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00A0491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map()</w:t>
            </w:r>
          </w:p>
        </w:tc>
        <w:tc>
          <w:tcPr>
            <w:tcW w:w="3008" w:type="dxa"/>
            <w:tcMar>
              <w:top w:w="80" w:type="dxa"/>
              <w:left w:w="100" w:type="dxa"/>
              <w:bottom w:w="80" w:type="dxa"/>
              <w:right w:w="100" w:type="dxa"/>
            </w:tcMar>
            <w:vAlign w:val="center"/>
          </w:tcPr>
          <w:p w14:paraId="5845B39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Transformation</w:t>
            </w:r>
          </w:p>
        </w:tc>
        <w:tc>
          <w:tcPr>
            <w:tcW w:w="3008" w:type="dxa"/>
            <w:tcMar>
              <w:top w:w="80" w:type="dxa"/>
              <w:left w:w="100" w:type="dxa"/>
              <w:bottom w:w="80" w:type="dxa"/>
              <w:right w:w="100" w:type="dxa"/>
            </w:tcMar>
            <w:vAlign w:val="center"/>
          </w:tcPr>
          <w:p w14:paraId="04C0A10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Extract fields such as IP address and event type from each raw log line.</w:t>
            </w:r>
          </w:p>
        </w:tc>
      </w:tr>
      <w:tr w14:paraId="4AED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53C173D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filter()</w:t>
            </w:r>
          </w:p>
        </w:tc>
        <w:tc>
          <w:tcPr>
            <w:tcW w:w="3008" w:type="dxa"/>
            <w:shd w:val="clear" w:color="auto" w:fill="F2F2F2"/>
            <w:tcMar>
              <w:top w:w="80" w:type="dxa"/>
              <w:left w:w="100" w:type="dxa"/>
              <w:bottom w:w="80" w:type="dxa"/>
              <w:right w:w="100" w:type="dxa"/>
            </w:tcMar>
            <w:vAlign w:val="center"/>
          </w:tcPr>
          <w:p w14:paraId="5BE671B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Transformation</w:t>
            </w:r>
          </w:p>
        </w:tc>
        <w:tc>
          <w:tcPr>
            <w:tcW w:w="3008" w:type="dxa"/>
            <w:shd w:val="clear" w:color="auto" w:fill="F2F2F2"/>
            <w:tcMar>
              <w:top w:w="80" w:type="dxa"/>
              <w:left w:w="100" w:type="dxa"/>
              <w:bottom w:w="80" w:type="dxa"/>
              <w:right w:w="100" w:type="dxa"/>
            </w:tcMar>
            <w:vAlign w:val="center"/>
          </w:tcPr>
          <w:p w14:paraId="3266CAD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Filter suspicious events, e.g. keep only failed login attempts.</w:t>
            </w:r>
          </w:p>
        </w:tc>
      </w:tr>
      <w:tr w14:paraId="264E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39B8501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flatMap()</w:t>
            </w:r>
          </w:p>
        </w:tc>
        <w:tc>
          <w:tcPr>
            <w:tcW w:w="3008" w:type="dxa"/>
            <w:tcMar>
              <w:top w:w="80" w:type="dxa"/>
              <w:left w:w="100" w:type="dxa"/>
              <w:bottom w:w="80" w:type="dxa"/>
              <w:right w:w="100" w:type="dxa"/>
            </w:tcMar>
            <w:vAlign w:val="center"/>
          </w:tcPr>
          <w:p w14:paraId="6CBB462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Transformation</w:t>
            </w:r>
          </w:p>
        </w:tc>
        <w:tc>
          <w:tcPr>
            <w:tcW w:w="3008" w:type="dxa"/>
            <w:tcMar>
              <w:top w:w="80" w:type="dxa"/>
              <w:left w:w="100" w:type="dxa"/>
              <w:bottom w:w="80" w:type="dxa"/>
              <w:right w:w="100" w:type="dxa"/>
            </w:tcMar>
            <w:vAlign w:val="center"/>
          </w:tcPr>
          <w:p w14:paraId="1CC176D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Split multi-event log lines into individual event records.</w:t>
            </w:r>
          </w:p>
        </w:tc>
      </w:tr>
      <w:tr w14:paraId="6D5D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780F869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reduceByKey()</w:t>
            </w:r>
          </w:p>
        </w:tc>
        <w:tc>
          <w:tcPr>
            <w:tcW w:w="3008" w:type="dxa"/>
            <w:shd w:val="clear" w:color="auto" w:fill="F2F2F2"/>
            <w:tcMar>
              <w:top w:w="80" w:type="dxa"/>
              <w:left w:w="100" w:type="dxa"/>
              <w:bottom w:w="80" w:type="dxa"/>
              <w:right w:w="100" w:type="dxa"/>
            </w:tcMar>
            <w:vAlign w:val="center"/>
          </w:tcPr>
          <w:p w14:paraId="4842A02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Transformation</w:t>
            </w:r>
          </w:p>
        </w:tc>
        <w:tc>
          <w:tcPr>
            <w:tcW w:w="3008" w:type="dxa"/>
            <w:shd w:val="clear" w:color="auto" w:fill="F2F2F2"/>
            <w:tcMar>
              <w:top w:w="80" w:type="dxa"/>
              <w:left w:w="100" w:type="dxa"/>
              <w:bottom w:w="80" w:type="dxa"/>
              <w:right w:w="100" w:type="dxa"/>
            </w:tcMar>
            <w:vAlign w:val="center"/>
          </w:tcPr>
          <w:p w14:paraId="5DEDA11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Count repeated attack attempts grouped by source IP address.</w:t>
            </w:r>
          </w:p>
        </w:tc>
      </w:tr>
      <w:tr w14:paraId="5971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0779900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groupByKey()</w:t>
            </w:r>
          </w:p>
        </w:tc>
        <w:tc>
          <w:tcPr>
            <w:tcW w:w="3008" w:type="dxa"/>
            <w:tcMar>
              <w:top w:w="80" w:type="dxa"/>
              <w:left w:w="100" w:type="dxa"/>
              <w:bottom w:w="80" w:type="dxa"/>
              <w:right w:w="100" w:type="dxa"/>
            </w:tcMar>
            <w:vAlign w:val="center"/>
          </w:tcPr>
          <w:p w14:paraId="09208DD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Transformation</w:t>
            </w:r>
          </w:p>
        </w:tc>
        <w:tc>
          <w:tcPr>
            <w:tcW w:w="3008" w:type="dxa"/>
            <w:tcMar>
              <w:top w:w="80" w:type="dxa"/>
              <w:left w:w="100" w:type="dxa"/>
              <w:bottom w:w="80" w:type="dxa"/>
              <w:right w:w="100" w:type="dxa"/>
            </w:tcMar>
            <w:vAlign w:val="center"/>
          </w:tcPr>
          <w:p w14:paraId="3128F37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Group all events originating from the same client network or user.</w:t>
            </w:r>
          </w:p>
        </w:tc>
      </w:tr>
      <w:tr w14:paraId="39C4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47022D1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count()</w:t>
            </w:r>
          </w:p>
        </w:tc>
        <w:tc>
          <w:tcPr>
            <w:tcW w:w="3008" w:type="dxa"/>
            <w:shd w:val="clear" w:color="auto" w:fill="F2F2F2"/>
            <w:tcMar>
              <w:top w:w="80" w:type="dxa"/>
              <w:left w:w="100" w:type="dxa"/>
              <w:bottom w:w="80" w:type="dxa"/>
              <w:right w:w="100" w:type="dxa"/>
            </w:tcMar>
            <w:vAlign w:val="center"/>
          </w:tcPr>
          <w:p w14:paraId="251EDBE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Action</w:t>
            </w:r>
          </w:p>
        </w:tc>
        <w:tc>
          <w:tcPr>
            <w:tcW w:w="3008" w:type="dxa"/>
            <w:shd w:val="clear" w:color="auto" w:fill="F2F2F2"/>
            <w:tcMar>
              <w:top w:w="80" w:type="dxa"/>
              <w:left w:w="100" w:type="dxa"/>
              <w:bottom w:w="80" w:type="dxa"/>
              <w:right w:w="100" w:type="dxa"/>
            </w:tcMar>
            <w:vAlign w:val="center"/>
          </w:tcPr>
          <w:p w14:paraId="6D1317E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Determine the total number of suspicious events detected in a batch.</w:t>
            </w:r>
          </w:p>
        </w:tc>
      </w:tr>
      <w:tr w14:paraId="62381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6D47E97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collect()</w:t>
            </w:r>
          </w:p>
        </w:tc>
        <w:tc>
          <w:tcPr>
            <w:tcW w:w="3008" w:type="dxa"/>
            <w:tcMar>
              <w:top w:w="80" w:type="dxa"/>
              <w:left w:w="100" w:type="dxa"/>
              <w:bottom w:w="80" w:type="dxa"/>
              <w:right w:w="100" w:type="dxa"/>
            </w:tcMar>
            <w:vAlign w:val="center"/>
          </w:tcPr>
          <w:p w14:paraId="0A639CE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Action</w:t>
            </w:r>
          </w:p>
        </w:tc>
        <w:tc>
          <w:tcPr>
            <w:tcW w:w="3008" w:type="dxa"/>
            <w:tcMar>
              <w:top w:w="80" w:type="dxa"/>
              <w:left w:w="100" w:type="dxa"/>
              <w:bottom w:w="80" w:type="dxa"/>
              <w:right w:w="100" w:type="dxa"/>
            </w:tcMar>
            <w:vAlign w:val="center"/>
          </w:tcPr>
          <w:p w14:paraId="2977E0A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Retrieve small, aggregated summaries (e.g. top offending IPs) to the driver.</w:t>
            </w:r>
          </w:p>
        </w:tc>
      </w:tr>
      <w:tr w14:paraId="5B95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176C7D3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reduce()</w:t>
            </w:r>
          </w:p>
        </w:tc>
        <w:tc>
          <w:tcPr>
            <w:tcW w:w="3008" w:type="dxa"/>
            <w:shd w:val="clear" w:color="auto" w:fill="F2F2F2"/>
            <w:tcMar>
              <w:top w:w="80" w:type="dxa"/>
              <w:left w:w="100" w:type="dxa"/>
              <w:bottom w:w="80" w:type="dxa"/>
              <w:right w:w="100" w:type="dxa"/>
            </w:tcMar>
            <w:vAlign w:val="center"/>
          </w:tcPr>
          <w:p w14:paraId="6E26F0A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Action</w:t>
            </w:r>
          </w:p>
        </w:tc>
        <w:tc>
          <w:tcPr>
            <w:tcW w:w="3008" w:type="dxa"/>
            <w:shd w:val="clear" w:color="auto" w:fill="F2F2F2"/>
            <w:tcMar>
              <w:top w:w="80" w:type="dxa"/>
              <w:left w:w="100" w:type="dxa"/>
              <w:bottom w:w="80" w:type="dxa"/>
              <w:right w:w="100" w:type="dxa"/>
            </w:tcMar>
            <w:vAlign w:val="center"/>
          </w:tcPr>
          <w:p w14:paraId="0C5416F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Combine partition-level counts into a single overall total.</w:t>
            </w:r>
          </w:p>
        </w:tc>
      </w:tr>
      <w:tr w14:paraId="7239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5E242E5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take()</w:t>
            </w:r>
          </w:p>
        </w:tc>
        <w:tc>
          <w:tcPr>
            <w:tcW w:w="3008" w:type="dxa"/>
            <w:tcMar>
              <w:top w:w="80" w:type="dxa"/>
              <w:left w:w="100" w:type="dxa"/>
              <w:bottom w:w="80" w:type="dxa"/>
              <w:right w:w="100" w:type="dxa"/>
            </w:tcMar>
            <w:vAlign w:val="center"/>
          </w:tcPr>
          <w:p w14:paraId="4F69562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Action</w:t>
            </w:r>
          </w:p>
        </w:tc>
        <w:tc>
          <w:tcPr>
            <w:tcW w:w="3008" w:type="dxa"/>
            <w:tcMar>
              <w:top w:w="80" w:type="dxa"/>
              <w:left w:w="100" w:type="dxa"/>
              <w:bottom w:w="80" w:type="dxa"/>
              <w:right w:w="100" w:type="dxa"/>
            </w:tcMar>
            <w:vAlign w:val="center"/>
          </w:tcPr>
          <w:p w14:paraId="0E6FF27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Sample a small number of events for quick inspection during debugging.</w:t>
            </w:r>
          </w:p>
        </w:tc>
      </w:tr>
      <w:tr w14:paraId="3EBE4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4199DB4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saveAsTextFile()</w:t>
            </w:r>
          </w:p>
        </w:tc>
        <w:tc>
          <w:tcPr>
            <w:tcW w:w="3008" w:type="dxa"/>
            <w:shd w:val="clear" w:color="auto" w:fill="F2F2F2"/>
            <w:tcMar>
              <w:top w:w="80" w:type="dxa"/>
              <w:left w:w="100" w:type="dxa"/>
              <w:bottom w:w="80" w:type="dxa"/>
              <w:right w:w="100" w:type="dxa"/>
            </w:tcMar>
            <w:vAlign w:val="center"/>
          </w:tcPr>
          <w:p w14:paraId="40FA693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Action</w:t>
            </w:r>
          </w:p>
        </w:tc>
        <w:tc>
          <w:tcPr>
            <w:tcW w:w="3008" w:type="dxa"/>
            <w:shd w:val="clear" w:color="auto" w:fill="F2F2F2"/>
            <w:tcMar>
              <w:top w:w="80" w:type="dxa"/>
              <w:left w:w="100" w:type="dxa"/>
              <w:bottom w:w="80" w:type="dxa"/>
              <w:right w:w="100" w:type="dxa"/>
            </w:tcMar>
            <w:vAlign w:val="center"/>
          </w:tcPr>
          <w:p w14:paraId="2D09D8A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Persist processed threat intelligence results to distributed storage.</w:t>
            </w:r>
          </w:p>
        </w:tc>
      </w:tr>
    </w:tbl>
    <w:p w14:paraId="0A63385D">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9.3 Illustrative PySpark Code Examples</w:t>
      </w:r>
    </w:p>
    <w:p w14:paraId="47B3D68E">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following simplified, educational examples illustrate how PySpark might be used for defensive log analytics. They are conceptual illustrations of the reverse-engineered design and are not derived from any proprietary source.</w:t>
      </w:r>
    </w:p>
    <w:p w14:paraId="0169863F">
      <w:pPr>
        <w:pBdr>
          <w:top w:val="single" w:color="999999" w:sz="4" w:space="0"/>
          <w:left w:val="single" w:color="999999" w:sz="4" w:space="0"/>
          <w:bottom w:val="single" w:color="999999" w:sz="4" w:space="0"/>
          <w:right w:val="single" w:color="999999" w:sz="4" w:space="0"/>
        </w:pBdr>
        <w:shd w:val="clear" w:fill="F5F5F5"/>
        <w:spacing w:before="100" w:after="200"/>
        <w:rPr>
          <w:color w:val="000000" w:themeColor="text1"/>
          <w14:textFill>
            <w14:solidFill>
              <w14:schemeClr w14:val="tx1"/>
            </w14:solidFill>
          </w14:textFill>
        </w:rPr>
      </w:pPr>
      <w:r>
        <w:rPr>
          <w:rFonts w:ascii="Consolas" w:hAnsi="Consolas" w:eastAsia="Consolas" w:cs="Consolas"/>
          <w:color w:val="000000" w:themeColor="text1"/>
          <w:sz w:val="20"/>
          <w:szCs w:val="20"/>
          <w14:textFill>
            <w14:solidFill>
              <w14:schemeClr w14:val="tx1"/>
            </w14:solidFill>
          </w14:textFill>
        </w:rPr>
        <w:t>from pyspark import SparkContext</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sc = SparkContext(appName="ThreatIntelligencePlatform")</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 xml:space="preserve"> </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 Step 1: Read security logs as an RDD (one line per event)</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logs_rdd = sc.textFile("hdfs://cluster/security_logs/*.log")</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 xml:space="preserve"> </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 Step 2: Filter suspicious events (e.g. failed login attempts)</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failed_logins = logs_rdd.filter(lambda line: "FAILED_LOGIN" in line)</w:t>
      </w:r>
    </w:p>
    <w:p w14:paraId="3F9C7D41">
      <w:pPr>
        <w:pBdr>
          <w:top w:val="single" w:color="999999" w:sz="4" w:space="0"/>
          <w:left w:val="single" w:color="999999" w:sz="4" w:space="0"/>
          <w:bottom w:val="single" w:color="999999" w:sz="4" w:space="0"/>
          <w:right w:val="single" w:color="999999" w:sz="4" w:space="0"/>
        </w:pBdr>
        <w:shd w:val="clear" w:fill="F5F5F5"/>
        <w:spacing w:before="100" w:after="200"/>
        <w:rPr>
          <w:color w:val="000000" w:themeColor="text1"/>
          <w14:textFill>
            <w14:solidFill>
              <w14:schemeClr w14:val="tx1"/>
            </w14:solidFill>
          </w14:textFill>
        </w:rPr>
      </w:pPr>
      <w:r>
        <w:rPr>
          <w:rFonts w:ascii="Consolas" w:hAnsi="Consolas" w:eastAsia="Consolas" w:cs="Consolas"/>
          <w:color w:val="000000" w:themeColor="text1"/>
          <w:sz w:val="20"/>
          <w:szCs w:val="20"/>
          <w14:textFill>
            <w14:solidFill>
              <w14:schemeClr w14:val="tx1"/>
            </w14:solidFill>
          </w14:textFill>
        </w:rPr>
        <w:t># Step 3: Extract (source_ip, 1) pairs for counting</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ip_pairs = failed_logins.map(lambda line: (line.split(",")[2], 1))</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 xml:space="preserve"> </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 Step 4: Count failed login attempts per source IP</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ip_counts = ip_pairs.reduceByKey(lambda a, b: a + b)</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 xml:space="preserve"> </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 Step 5: Identify IPs exceeding a suspicious threshold</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suspicious_ips = ip_counts.filter(lambda pair: pair[1] &gt; 20)</w:t>
      </w:r>
      <w:r>
        <w:rPr>
          <w:rFonts w:ascii="Consolas" w:hAnsi="Consolas" w:eastAsia="Consolas" w:cs="Consolas"/>
          <w:color w:val="000000" w:themeColor="text1"/>
          <w:sz w:val="20"/>
          <w:szCs w:val="20"/>
          <w14:textFill>
            <w14:solidFill>
              <w14:schemeClr w14:val="tx1"/>
            </w14:solidFill>
          </w14:textFill>
        </w:rPr>
        <w:br w:type="textWrapping"/>
      </w:r>
      <w:r>
        <w:rPr>
          <w:rFonts w:ascii="Consolas" w:hAnsi="Consolas" w:eastAsia="Consolas" w:cs="Consolas"/>
          <w:color w:val="000000" w:themeColor="text1"/>
          <w:sz w:val="20"/>
          <w:szCs w:val="20"/>
          <w14:textFill>
            <w14:solidFill>
              <w14:schemeClr w14:val="tx1"/>
            </w14:solidFill>
          </w14:textFill>
        </w:rPr>
        <w:t>print(suspicious_ips.collect())</w:t>
      </w:r>
    </w:p>
    <w:p w14:paraId="72B5C5B5">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In this illustrative pipeline, filter() isolates failed login events, map() extracts the source IP address as a key, and reduceByKey() aggregates repeated attempts per IP across the entire distributed dataset. The result — IP addresses exceeding a defined threshold — becomes an input signal for the Threat Detection Engine.</w:t>
      </w:r>
    </w:p>
    <w:p w14:paraId="21CDA277">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10. THREAT DETECTION AND CORRELATION ANALYSIS</w:t>
      </w:r>
    </w:p>
    <w:p w14:paraId="49999247">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platform likely combines several complementary detection techniques rather than relying on any single method, since different attack types are best revealed by different approaches.</w:t>
      </w:r>
    </w:p>
    <w:p w14:paraId="36B41674">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Pattern matching — comparing event sequences against known attack signatures.</w:t>
      </w:r>
    </w:p>
    <w:p w14:paraId="33901750">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Rule-based detection — applying predefined logical rules (e.g. more than N failed logins in M minutes).</w:t>
      </w:r>
    </w:p>
    <w:p w14:paraId="5DB48CC9">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Anomaly detection — flagging behaviour that statistically deviates from an established baseline.</w:t>
      </w:r>
    </w:p>
    <w:p w14:paraId="173449D9">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Event correlation — linking related events across sources and time to reveal coordinated activity.</w:t>
      </w:r>
    </w:p>
    <w:p w14:paraId="53F270B6">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Threat intelligence matching — cross-referencing observed indicators against known malicious IPs, domains, or hashes.</w:t>
      </w:r>
    </w:p>
    <w:p w14:paraId="75734312">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10.1 Conceptual Correlation Example</w:t>
      </w:r>
    </w:p>
    <w:p w14:paraId="6E394E7E">
      <w:pPr>
        <w:pBdr>
          <w:top w:val="single" w:color="1F3864" w:sz="8" w:space="0"/>
          <w:left w:val="single" w:color="1F3864" w:sz="8" w:space="0"/>
          <w:bottom w:val="single" w:color="1F3864" w:sz="8" w:space="0"/>
          <w:right w:val="single" w:color="1F3864" w:sz="8" w:space="0"/>
        </w:pBdr>
        <w:shd w:val="clear" w:fill="FDE9D9"/>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Multiple failed login attempts</w:t>
      </w:r>
    </w:p>
    <w:p w14:paraId="32FD1DD4">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74D0190A">
      <w:pPr>
        <w:pBdr>
          <w:top w:val="single" w:color="1F3864" w:sz="8" w:space="0"/>
          <w:left w:val="single" w:color="1F3864" w:sz="8" w:space="0"/>
          <w:bottom w:val="single" w:color="1F3864" w:sz="8" w:space="0"/>
          <w:right w:val="single" w:color="1F3864" w:sz="8" w:space="0"/>
        </w:pBdr>
        <w:shd w:val="clear" w:fill="FDE9D9"/>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 Login from an unusual location</w:t>
      </w:r>
    </w:p>
    <w:p w14:paraId="4F41313C">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2425D3E7">
      <w:pPr>
        <w:pBdr>
          <w:top w:val="single" w:color="1F3864" w:sz="8" w:space="0"/>
          <w:left w:val="single" w:color="1F3864" w:sz="8" w:space="0"/>
          <w:bottom w:val="single" w:color="1F3864" w:sz="8" w:space="0"/>
          <w:right w:val="single" w:color="1F3864" w:sz="8" w:space="0"/>
        </w:pBdr>
        <w:shd w:val="clear" w:fill="FDE9D9"/>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 Known malicious IP address</w:t>
      </w:r>
    </w:p>
    <w:p w14:paraId="0AA76514">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6801DC8B">
      <w:pPr>
        <w:pBdr>
          <w:top w:val="single" w:color="1F3864" w:sz="8" w:space="0"/>
          <w:left w:val="single" w:color="1F3864" w:sz="8" w:space="0"/>
          <w:bottom w:val="single" w:color="1F3864" w:sz="8" w:space="0"/>
          <w:right w:val="single" w:color="1F3864" w:sz="8" w:space="0"/>
        </w:pBdr>
        <w:shd w:val="clear" w:fill="FDE9D9"/>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Possible Brute Force Attack</w:t>
      </w:r>
    </w:p>
    <w:p w14:paraId="3391F8FB">
      <w:pPr>
        <w:spacing w:before="120" w:after="300"/>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2: Example Correlation Logic Combining Independent Signals</w:t>
      </w:r>
    </w:p>
    <w:p w14:paraId="09281D75">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Individually, each of these signals might be too weak to justify an alert; a single failed login is common and usually harmless. However, when multiple weak signals co-occur for the same account or IP address within a short time window, their combined evidence strongly suggests a coordinated attack, illustrating the core principle of correlation analysis.</w:t>
      </w:r>
    </w:p>
    <w:p w14:paraId="71C17DA4">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10.2 Correlation and Detection Workflow</w:t>
      </w:r>
    </w:p>
    <w:p w14:paraId="15400ED5">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Security Events</w:t>
      </w:r>
    </w:p>
    <w:p w14:paraId="5FD6F01E">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07BFBEB3">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Event Normalisation</w:t>
      </w:r>
    </w:p>
    <w:p w14:paraId="4AD4F94B">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54B9B56F">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Feature Extraction</w:t>
      </w:r>
    </w:p>
    <w:p w14:paraId="14E3ED7A">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01FEE428">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Correlation Analysis</w:t>
      </w:r>
    </w:p>
    <w:p w14:paraId="1E625B7B">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3E2ABA44">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Threat Pattern Detection</w:t>
      </w:r>
    </w:p>
    <w:p w14:paraId="27BA375C">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6F767255">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Threat Score</w:t>
      </w:r>
    </w:p>
    <w:p w14:paraId="40C46443">
      <w:pPr>
        <w:spacing w:before="120" w:after="300"/>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3: Threat Detection and Correlation Workflow</w:t>
      </w:r>
    </w:p>
    <w:p w14:paraId="68E2B7EA">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11. INTELLIGENT AGENT ARCHITECTURE</w:t>
      </w:r>
    </w:p>
    <w:p w14:paraId="797F2527">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An intelligent agent, in this context, is an autonomous software component that perceives data from its environment, reasons over that data according to defined rules or learned models, and acts to fulfil a specific responsibility within the larger system — without requiring constant human instruction. The reverse-engineered platform is organised around five cooperating agents, each responsible for one stage of the intelligence pipeline.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6689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shd w:val="clear" w:color="auto" w:fill="1F3864"/>
            <w:tcMar>
              <w:top w:w="80" w:type="dxa"/>
              <w:left w:w="100" w:type="dxa"/>
              <w:bottom w:w="80" w:type="dxa"/>
              <w:right w:w="100" w:type="dxa"/>
            </w:tcMar>
            <w:vAlign w:val="center"/>
          </w:tcPr>
          <w:p w14:paraId="5FD5CC72">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Intelligent Agent</w:t>
            </w:r>
          </w:p>
        </w:tc>
        <w:tc>
          <w:tcPr>
            <w:tcW w:w="4513" w:type="dxa"/>
            <w:shd w:val="clear" w:color="auto" w:fill="1F3864"/>
            <w:tcMar>
              <w:top w:w="80" w:type="dxa"/>
              <w:left w:w="100" w:type="dxa"/>
              <w:bottom w:w="80" w:type="dxa"/>
              <w:right w:w="100" w:type="dxa"/>
            </w:tcMar>
            <w:vAlign w:val="center"/>
          </w:tcPr>
          <w:p w14:paraId="09DEBCC3">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Main Responsibility</w:t>
            </w:r>
          </w:p>
        </w:tc>
      </w:tr>
      <w:tr w14:paraId="62A4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3BFEB92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Data Collection Agent</w:t>
            </w:r>
          </w:p>
        </w:tc>
        <w:tc>
          <w:tcPr>
            <w:tcW w:w="4513" w:type="dxa"/>
            <w:tcMar>
              <w:top w:w="80" w:type="dxa"/>
              <w:left w:w="100" w:type="dxa"/>
              <w:bottom w:w="80" w:type="dxa"/>
              <w:right w:w="100" w:type="dxa"/>
            </w:tcMar>
            <w:vAlign w:val="center"/>
          </w:tcPr>
          <w:p w14:paraId="176A795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Continuously gathers and forwards security logs and threat feeds from client networks.</w:t>
            </w:r>
          </w:p>
        </w:tc>
      </w:tr>
      <w:tr w14:paraId="4593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F2F2F2"/>
            <w:tcMar>
              <w:top w:w="80" w:type="dxa"/>
              <w:left w:w="100" w:type="dxa"/>
              <w:bottom w:w="80" w:type="dxa"/>
              <w:right w:w="100" w:type="dxa"/>
            </w:tcMar>
            <w:vAlign w:val="center"/>
          </w:tcPr>
          <w:p w14:paraId="0E49319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Threat Detection Agent</w:t>
            </w:r>
          </w:p>
        </w:tc>
        <w:tc>
          <w:tcPr>
            <w:tcW w:w="4513" w:type="dxa"/>
            <w:shd w:val="clear" w:color="auto" w:fill="F2F2F2"/>
            <w:tcMar>
              <w:top w:w="80" w:type="dxa"/>
              <w:left w:w="100" w:type="dxa"/>
              <w:bottom w:w="80" w:type="dxa"/>
              <w:right w:w="100" w:type="dxa"/>
            </w:tcMar>
            <w:vAlign w:val="center"/>
          </w:tcPr>
          <w:p w14:paraId="63F47C7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Applies rules, signatures, and anomaly models to flag suspicious events.</w:t>
            </w:r>
          </w:p>
        </w:tc>
      </w:tr>
      <w:tr w14:paraId="11B1E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52B6B9E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Correlation Analysis Agent</w:t>
            </w:r>
          </w:p>
        </w:tc>
        <w:tc>
          <w:tcPr>
            <w:tcW w:w="4513" w:type="dxa"/>
            <w:tcMar>
              <w:top w:w="80" w:type="dxa"/>
              <w:left w:w="100" w:type="dxa"/>
              <w:bottom w:w="80" w:type="dxa"/>
              <w:right w:w="100" w:type="dxa"/>
            </w:tcMar>
            <w:vAlign w:val="center"/>
          </w:tcPr>
          <w:p w14:paraId="75B699F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Links related events across sources and time to identify coordinated attacks.</w:t>
            </w:r>
          </w:p>
        </w:tc>
      </w:tr>
      <w:tr w14:paraId="211B9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F2F2F2"/>
            <w:tcMar>
              <w:top w:w="80" w:type="dxa"/>
              <w:left w:w="100" w:type="dxa"/>
              <w:bottom w:w="80" w:type="dxa"/>
              <w:right w:w="100" w:type="dxa"/>
            </w:tcMar>
            <w:vAlign w:val="center"/>
          </w:tcPr>
          <w:p w14:paraId="48F34F5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Alert Prioritization Agent</w:t>
            </w:r>
          </w:p>
        </w:tc>
        <w:tc>
          <w:tcPr>
            <w:tcW w:w="4513" w:type="dxa"/>
            <w:shd w:val="clear" w:color="auto" w:fill="F2F2F2"/>
            <w:tcMar>
              <w:top w:w="80" w:type="dxa"/>
              <w:left w:w="100" w:type="dxa"/>
              <w:bottom w:w="80" w:type="dxa"/>
              <w:right w:w="100" w:type="dxa"/>
            </w:tcMar>
            <w:vAlign w:val="center"/>
          </w:tcPr>
          <w:p w14:paraId="79EDD40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Scores and ranks detected threats by severity and business impact.</w:t>
            </w:r>
          </w:p>
        </w:tc>
      </w:tr>
      <w:tr w14:paraId="4D33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7C2D2A6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Automated Response Agent</w:t>
            </w:r>
          </w:p>
        </w:tc>
        <w:tc>
          <w:tcPr>
            <w:tcW w:w="4513" w:type="dxa"/>
            <w:tcMar>
              <w:top w:w="80" w:type="dxa"/>
              <w:left w:w="100" w:type="dxa"/>
              <w:bottom w:w="80" w:type="dxa"/>
              <w:right w:w="100" w:type="dxa"/>
            </w:tcMar>
            <w:vAlign w:val="center"/>
          </w:tcPr>
          <w:p w14:paraId="297DAFB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Executes or recommends defensive actions for high-confidence threats.</w:t>
            </w:r>
          </w:p>
        </w:tc>
      </w:tr>
    </w:tbl>
    <w:p w14:paraId="5BCF2374">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11.1 Agent Coordination Diagram</w:t>
      </w:r>
    </w:p>
    <w:p w14:paraId="7C939D0C">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Data Collection Agent</w:t>
      </w:r>
    </w:p>
    <w:p w14:paraId="7AF50232">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54ACE53C">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Threat Detection Agent</w:t>
      </w:r>
    </w:p>
    <w:p w14:paraId="6D23E630">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040AF09D">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Correlation Analysis Agent</w:t>
      </w:r>
    </w:p>
    <w:p w14:paraId="209ABE66">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432C38AD">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Alert Prioritization Agent</w:t>
      </w:r>
    </w:p>
    <w:p w14:paraId="2CFA9906">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4C0F7D83">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Automated Response Agent</w:t>
      </w:r>
    </w:p>
    <w:p w14:paraId="1A2B76BD">
      <w:pPr>
        <w:spacing w:before="120" w:after="300"/>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4: Intelligent Agent Coordination Diagram (feedback path: Automated Response Agent → Threat Detection Agent, allowing detection models to be refined based on response outcomes)</w:t>
      </w:r>
    </w:p>
    <w:p w14:paraId="6D573954">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Agents communicate through a shared messaging layer, passing structured intermediate results — such as normalised events, correlation clusters, or threat scores — from one stage to the next. A feedback path also runs from the Automated Response Agent back to the Threat Detection Agent, allowing outcomes of past responses (for example, whether a blocked IP subsequently attempted further attacks) to refine future detection sensitivity.</w:t>
      </w:r>
    </w:p>
    <w:p w14:paraId="0AD4563F">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12. ALERT PRIORITIZATION SYSTEM</w:t>
      </w:r>
    </w:p>
    <w:p w14:paraId="00B0E147">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Because large-scale monitoring inevitably produces many alerts, and because not every alert reflects a genuine, high-impact threat, alert prioritisation is essential to prevent alert overload and analyst fatigue. Without prioritisation, SOC analysts risk missing critical incidents while investigating low-value or false-positive alerts.</w:t>
      </w:r>
    </w:p>
    <w:p w14:paraId="6444B168">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12.1 Threat Scoring Model</w:t>
      </w:r>
    </w:p>
    <w:p w14:paraId="79DCDF50">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 logical threat scoring model can combine several weighted factors into a single composite score:</w:t>
      </w:r>
    </w:p>
    <w:p w14:paraId="30F5C07A">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Threat Severity — the potential damage if the threat is realised.</w:t>
      </w:r>
    </w:p>
    <w:p w14:paraId="4E551EE0">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Asset Importance — the criticality of the targeted system to business operations.</w:t>
      </w:r>
    </w:p>
    <w:p w14:paraId="34C21742">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Attack Confidence — the statistical or rule-based confidence that the event is malicious.</w:t>
      </w:r>
    </w:p>
    <w:p w14:paraId="1F1A2684">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Threat Intelligence Match — whether the indicators match known malicious entities.</w:t>
      </w:r>
    </w:p>
    <w:p w14:paraId="5F372B9B">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Number of Affected Systems — the breadth of impact across the client's environment.</w:t>
      </w:r>
    </w:p>
    <w:p w14:paraId="10419CA0">
      <w:pPr>
        <w:pBdr>
          <w:top w:val="single" w:color="1F3864" w:sz="6" w:space="0"/>
          <w:left w:val="single" w:color="1F3864" w:sz="6" w:space="0"/>
          <w:bottom w:val="single" w:color="1F3864" w:sz="6" w:space="0"/>
          <w:right w:val="single" w:color="1F3864" w:sz="6" w:space="0"/>
        </w:pBdr>
        <w:shd w:val="clear" w:fill="DCE6F1"/>
        <w:spacing w:before="120" w:after="200" w:line="360" w:lineRule="auto"/>
        <w:jc w:val="both"/>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Threat Score = Severity + Asset Criticality + Confidence + Threat Intelligence Score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44A6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shd w:val="clear" w:color="auto" w:fill="1F3864"/>
            <w:tcMar>
              <w:top w:w="80" w:type="dxa"/>
              <w:left w:w="100" w:type="dxa"/>
              <w:bottom w:w="80" w:type="dxa"/>
              <w:right w:w="100" w:type="dxa"/>
            </w:tcMar>
            <w:vAlign w:val="center"/>
          </w:tcPr>
          <w:p w14:paraId="2FCBDE85">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Alert Level</w:t>
            </w:r>
          </w:p>
        </w:tc>
        <w:tc>
          <w:tcPr>
            <w:tcW w:w="3008" w:type="dxa"/>
            <w:shd w:val="clear" w:color="auto" w:fill="1F3864"/>
            <w:tcMar>
              <w:top w:w="80" w:type="dxa"/>
              <w:left w:w="100" w:type="dxa"/>
              <w:bottom w:w="80" w:type="dxa"/>
              <w:right w:w="100" w:type="dxa"/>
            </w:tcMar>
            <w:vAlign w:val="center"/>
          </w:tcPr>
          <w:p w14:paraId="53C61669">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Threat Score Range</w:t>
            </w:r>
          </w:p>
        </w:tc>
        <w:tc>
          <w:tcPr>
            <w:tcW w:w="3008" w:type="dxa"/>
            <w:shd w:val="clear" w:color="auto" w:fill="1F3864"/>
            <w:tcMar>
              <w:top w:w="80" w:type="dxa"/>
              <w:left w:w="100" w:type="dxa"/>
              <w:bottom w:w="80" w:type="dxa"/>
              <w:right w:w="100" w:type="dxa"/>
            </w:tcMar>
            <w:vAlign w:val="center"/>
          </w:tcPr>
          <w:p w14:paraId="437142D9">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Recommended Action</w:t>
            </w:r>
          </w:p>
        </w:tc>
      </w:tr>
      <w:tr w14:paraId="3261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72B36D4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Critical</w:t>
            </w:r>
          </w:p>
        </w:tc>
        <w:tc>
          <w:tcPr>
            <w:tcW w:w="3008" w:type="dxa"/>
            <w:tcMar>
              <w:top w:w="80" w:type="dxa"/>
              <w:left w:w="100" w:type="dxa"/>
              <w:bottom w:w="80" w:type="dxa"/>
              <w:right w:w="100" w:type="dxa"/>
            </w:tcMar>
            <w:vAlign w:val="center"/>
          </w:tcPr>
          <w:p w14:paraId="27AB3FA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85 – 100</w:t>
            </w:r>
          </w:p>
        </w:tc>
        <w:tc>
          <w:tcPr>
            <w:tcW w:w="3008" w:type="dxa"/>
            <w:tcMar>
              <w:top w:w="80" w:type="dxa"/>
              <w:left w:w="100" w:type="dxa"/>
              <w:bottom w:w="80" w:type="dxa"/>
              <w:right w:w="100" w:type="dxa"/>
            </w:tcMar>
            <w:vAlign w:val="center"/>
          </w:tcPr>
          <w:p w14:paraId="7447ABA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Immediate automated containment and urgent SOC notification.</w:t>
            </w:r>
          </w:p>
        </w:tc>
      </w:tr>
      <w:tr w14:paraId="1F0C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79B6E8A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High</w:t>
            </w:r>
          </w:p>
        </w:tc>
        <w:tc>
          <w:tcPr>
            <w:tcW w:w="3008" w:type="dxa"/>
            <w:shd w:val="clear" w:color="auto" w:fill="F2F2F2"/>
            <w:tcMar>
              <w:top w:w="80" w:type="dxa"/>
              <w:left w:w="100" w:type="dxa"/>
              <w:bottom w:w="80" w:type="dxa"/>
              <w:right w:w="100" w:type="dxa"/>
            </w:tcMar>
            <w:vAlign w:val="center"/>
          </w:tcPr>
          <w:p w14:paraId="218C577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65 – 84</w:t>
            </w:r>
          </w:p>
        </w:tc>
        <w:tc>
          <w:tcPr>
            <w:tcW w:w="3008" w:type="dxa"/>
            <w:shd w:val="clear" w:color="auto" w:fill="F2F2F2"/>
            <w:tcMar>
              <w:top w:w="80" w:type="dxa"/>
              <w:left w:w="100" w:type="dxa"/>
              <w:bottom w:w="80" w:type="dxa"/>
              <w:right w:w="100" w:type="dxa"/>
            </w:tcMar>
            <w:vAlign w:val="center"/>
          </w:tcPr>
          <w:p w14:paraId="066B48D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Rapid analyst review with automated preliminary containment.</w:t>
            </w:r>
          </w:p>
        </w:tc>
      </w:tr>
      <w:tr w14:paraId="4F24A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09CA0E2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Medium</w:t>
            </w:r>
          </w:p>
        </w:tc>
        <w:tc>
          <w:tcPr>
            <w:tcW w:w="3008" w:type="dxa"/>
            <w:tcMar>
              <w:top w:w="80" w:type="dxa"/>
              <w:left w:w="100" w:type="dxa"/>
              <w:bottom w:w="80" w:type="dxa"/>
              <w:right w:w="100" w:type="dxa"/>
            </w:tcMar>
            <w:vAlign w:val="center"/>
          </w:tcPr>
          <w:p w14:paraId="007FF7C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40 – 64</w:t>
            </w:r>
          </w:p>
        </w:tc>
        <w:tc>
          <w:tcPr>
            <w:tcW w:w="3008" w:type="dxa"/>
            <w:tcMar>
              <w:top w:w="80" w:type="dxa"/>
              <w:left w:w="100" w:type="dxa"/>
              <w:bottom w:w="80" w:type="dxa"/>
              <w:right w:w="100" w:type="dxa"/>
            </w:tcMar>
            <w:vAlign w:val="center"/>
          </w:tcPr>
          <w:p w14:paraId="43EF2D8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Queued for analyst investigation within a defined SLA window.</w:t>
            </w:r>
          </w:p>
        </w:tc>
      </w:tr>
      <w:tr w14:paraId="22EB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21961DD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Low</w:t>
            </w:r>
          </w:p>
        </w:tc>
        <w:tc>
          <w:tcPr>
            <w:tcW w:w="3008" w:type="dxa"/>
            <w:shd w:val="clear" w:color="auto" w:fill="F2F2F2"/>
            <w:tcMar>
              <w:top w:w="80" w:type="dxa"/>
              <w:left w:w="100" w:type="dxa"/>
              <w:bottom w:w="80" w:type="dxa"/>
              <w:right w:w="100" w:type="dxa"/>
            </w:tcMar>
            <w:vAlign w:val="center"/>
          </w:tcPr>
          <w:p w14:paraId="3F9E5F3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 – 39</w:t>
            </w:r>
          </w:p>
        </w:tc>
        <w:tc>
          <w:tcPr>
            <w:tcW w:w="3008" w:type="dxa"/>
            <w:shd w:val="clear" w:color="auto" w:fill="F2F2F2"/>
            <w:tcMar>
              <w:top w:w="80" w:type="dxa"/>
              <w:left w:w="100" w:type="dxa"/>
              <w:bottom w:w="80" w:type="dxa"/>
              <w:right w:w="100" w:type="dxa"/>
            </w:tcMar>
            <w:vAlign w:val="center"/>
          </w:tcPr>
          <w:p w14:paraId="28FB49C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Logged for trend analysis; no immediate action required.</w:t>
            </w:r>
          </w:p>
        </w:tc>
      </w:tr>
    </w:tbl>
    <w:p w14:paraId="5CEC9F7B">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Alert Prioritization Agent applies this scoring model to every detected event, ranking incoming alerts so that SOC analysts and downstream automated systems always address the most severe and highest-confidence threats first.</w:t>
      </w:r>
    </w:p>
    <w:p w14:paraId="3BDFFDCA">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13. AUTOMATED INCIDENT RESPONSE</w:t>
      </w:r>
    </w:p>
    <w:p w14:paraId="12D9562E">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For high-confidence, high-severity threats, the platform can reduce response time by triggering automated defensive actions rather than waiting for full manual analyst review. The Automated Response Agent may perform actions such as:</w:t>
      </w:r>
    </w:p>
    <w:p w14:paraId="0FBD064E">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Block a malicious IP address at the network perimeter.</w:t>
      </w:r>
    </w:p>
    <w:p w14:paraId="5C106A46">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Isolate a compromised endpoint from the rest of the network.</w:t>
      </w:r>
    </w:p>
    <w:p w14:paraId="60C56877">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Disable a suspicious user account pending investigation.</w:t>
      </w:r>
    </w:p>
    <w:p w14:paraId="223253FB">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Generate a structured security alert with supporting evidence.</w:t>
      </w:r>
    </w:p>
    <w:p w14:paraId="0302E1B5">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Notify the Security Operations Center (SOC) for human oversight.</w:t>
      </w:r>
    </w:p>
    <w:p w14:paraId="1631F92C">
      <w:pPr>
        <w:pBdr>
          <w:top w:val="single" w:color="1F3864" w:sz="6" w:space="0"/>
          <w:left w:val="single" w:color="1F3864" w:sz="6" w:space="0"/>
          <w:bottom w:val="single" w:color="1F3864" w:sz="6" w:space="0"/>
          <w:right w:val="single" w:color="1F3864" w:sz="6" w:space="0"/>
        </w:pBdr>
        <w:shd w:val="clear" w:fill="DCE6F1"/>
        <w:spacing w:before="120" w:after="200" w:line="360" w:lineRule="auto"/>
        <w:jc w:val="both"/>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Automated actions should always follow the organisation's established security policies, and actions with significant operational impact should require human approval where required by policy.</w:t>
      </w:r>
    </w:p>
    <w:p w14:paraId="01EBA712">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13.1 Automated Response Workflow</w:t>
      </w:r>
    </w:p>
    <w:p w14:paraId="6E15D4E3">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Threat Detected</w:t>
      </w:r>
    </w:p>
    <w:p w14:paraId="085F704B">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7F81495D">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Threat Verified</w:t>
      </w:r>
    </w:p>
    <w:p w14:paraId="08506525">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42EA4816">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Risk Score Calculated</w:t>
      </w:r>
    </w:p>
    <w:p w14:paraId="1DF4C60A">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7FF87F4B">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Response Decision</w:t>
      </w:r>
    </w:p>
    <w:p w14:paraId="1D5D3DF9">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67F9EAE4">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Automated Defensive Action</w:t>
      </w:r>
    </w:p>
    <w:p w14:paraId="25D0782D">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2C07D0B4">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SOC Notification</w:t>
      </w:r>
    </w:p>
    <w:p w14:paraId="7362871F">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123AD007">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Continuous Monitoring</w:t>
      </w:r>
    </w:p>
    <w:p w14:paraId="749F7997">
      <w:pPr>
        <w:spacing w:before="120" w:after="300"/>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5: Automated Incident Response Workflow</w:t>
      </w:r>
    </w:p>
    <w:p w14:paraId="7F0D1C2B">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14. DATA FLOW AND PROCESSING PIPELINE</w:t>
      </w:r>
    </w:p>
    <w:p w14:paraId="469876AE">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Figure 6 consolidates the complete, end-to-end data flow of the reverse-engineered platform, from initial log generation at a client network through to continuous SOC monitoring.</w:t>
      </w:r>
    </w:p>
    <w:p w14:paraId="13D3B090">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Step 1: Client Network Generates Logs</w:t>
      </w:r>
    </w:p>
    <w:p w14:paraId="79938CD6">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6E57C73F">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Step 2: Data Collection Agent Collects Events</w:t>
      </w:r>
    </w:p>
    <w:p w14:paraId="66FD600A">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36220FCD">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Step 3: Data Is Securely Transmitted</w:t>
      </w:r>
    </w:p>
    <w:p w14:paraId="4D3E5DDF">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04E4177D">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Step 4: Data Aggregation</w:t>
      </w:r>
    </w:p>
    <w:p w14:paraId="51F0B246">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2A26BC54">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Step 5: PySpark Cluster Processing</w:t>
      </w:r>
    </w:p>
    <w:p w14:paraId="08EF1681">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37D869D1">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Step 6: RDD Transformations</w:t>
      </w:r>
    </w:p>
    <w:p w14:paraId="0241613B">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172BCF85">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Step 7: Threat Detection</w:t>
      </w:r>
    </w:p>
    <w:p w14:paraId="24711738">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4B4EA0E6">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Step 8: Correlation Analysis</w:t>
      </w:r>
    </w:p>
    <w:p w14:paraId="4701E6F8">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1A73C92F">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Step 9: Threat Scoring</w:t>
      </w:r>
    </w:p>
    <w:p w14:paraId="4946B927">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68E9BD42">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Step 10: Alert Prioritization</w:t>
      </w:r>
    </w:p>
    <w:p w14:paraId="5D0738BF">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039306F4">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Step 11: Automated Response</w:t>
      </w:r>
    </w:p>
    <w:p w14:paraId="0386F867">
      <w:pPr>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w:t>
      </w:r>
    </w:p>
    <w:p w14:paraId="57BC3FBC">
      <w:pPr>
        <w:pBdr>
          <w:top w:val="single" w:color="1F3864" w:sz="8" w:space="0"/>
          <w:left w:val="single" w:color="1F3864" w:sz="8" w:space="0"/>
          <w:bottom w:val="single" w:color="1F3864" w:sz="8" w:space="0"/>
          <w:right w:val="single" w:color="1F3864" w:sz="8" w:space="0"/>
        </w:pBdr>
        <w:shd w:val="clear" w:fill="DCE6F1"/>
        <w:spacing w:before="40"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Step 12: SOC Monitoring</w:t>
      </w:r>
    </w:p>
    <w:p w14:paraId="641BAA2F">
      <w:pPr>
        <w:spacing w:before="120" w:after="300"/>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6: Data Flow and Processing Pipeline</w:t>
      </w:r>
    </w:p>
    <w:p w14:paraId="253BBFF5">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Each step builds on the output of the previous one: raw logs are transformed into standardised events, then into detected anomalies, then into correlated threat patterns, then into scored and prioritised alerts, and finally into concrete defensive actions — closing the loop with continuous monitoring that feeds new observations back into detection.</w:t>
      </w:r>
    </w:p>
    <w:p w14:paraId="54322392">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15. SCALABILITY AND DISTRIBUTED COMPUTING</w:t>
      </w:r>
    </w:p>
    <w:p w14:paraId="20FEA7EB">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Supporting thousands of client networks and millions of security events requires the platform to scale horizontally — adding more machines to the cluster as demand grows, rather than relying on ever more powerful single machines.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7A339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shd w:val="clear" w:color="auto" w:fill="1F3864"/>
            <w:tcMar>
              <w:top w:w="80" w:type="dxa"/>
              <w:left w:w="100" w:type="dxa"/>
              <w:bottom w:w="80" w:type="dxa"/>
              <w:right w:w="100" w:type="dxa"/>
            </w:tcMar>
            <w:vAlign w:val="center"/>
          </w:tcPr>
          <w:p w14:paraId="07909D84">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Scalability Feature</w:t>
            </w:r>
          </w:p>
        </w:tc>
        <w:tc>
          <w:tcPr>
            <w:tcW w:w="3008" w:type="dxa"/>
            <w:shd w:val="clear" w:color="auto" w:fill="1F3864"/>
            <w:tcMar>
              <w:top w:w="80" w:type="dxa"/>
              <w:left w:w="100" w:type="dxa"/>
              <w:bottom w:w="80" w:type="dxa"/>
              <w:right w:w="100" w:type="dxa"/>
            </w:tcMar>
            <w:vAlign w:val="center"/>
          </w:tcPr>
          <w:p w14:paraId="58C2B244">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Implementation</w:t>
            </w:r>
          </w:p>
        </w:tc>
        <w:tc>
          <w:tcPr>
            <w:tcW w:w="3008" w:type="dxa"/>
            <w:shd w:val="clear" w:color="auto" w:fill="1F3864"/>
            <w:tcMar>
              <w:top w:w="80" w:type="dxa"/>
              <w:left w:w="100" w:type="dxa"/>
              <w:bottom w:w="80" w:type="dxa"/>
              <w:right w:w="100" w:type="dxa"/>
            </w:tcMar>
            <w:vAlign w:val="center"/>
          </w:tcPr>
          <w:p w14:paraId="4E081604">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Benefit</w:t>
            </w:r>
          </w:p>
        </w:tc>
      </w:tr>
      <w:tr w14:paraId="31B3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215D933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Cluster computing</w:t>
            </w:r>
          </w:p>
        </w:tc>
        <w:tc>
          <w:tcPr>
            <w:tcW w:w="3008" w:type="dxa"/>
            <w:tcMar>
              <w:top w:w="80" w:type="dxa"/>
              <w:left w:w="100" w:type="dxa"/>
              <w:bottom w:w="80" w:type="dxa"/>
              <w:right w:w="100" w:type="dxa"/>
            </w:tcMar>
            <w:vAlign w:val="center"/>
          </w:tcPr>
          <w:p w14:paraId="2941283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PySpark cluster spanning many worker nodes</w:t>
            </w:r>
          </w:p>
        </w:tc>
        <w:tc>
          <w:tcPr>
            <w:tcW w:w="3008" w:type="dxa"/>
            <w:tcMar>
              <w:top w:w="80" w:type="dxa"/>
              <w:left w:w="100" w:type="dxa"/>
              <w:bottom w:w="80" w:type="dxa"/>
              <w:right w:w="100" w:type="dxa"/>
            </w:tcMar>
            <w:vAlign w:val="center"/>
          </w:tcPr>
          <w:p w14:paraId="5A266F2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Parallel processing of massive event volumes</w:t>
            </w:r>
          </w:p>
        </w:tc>
      </w:tr>
      <w:tr w14:paraId="026A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77A6428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Data partitioning</w:t>
            </w:r>
          </w:p>
        </w:tc>
        <w:tc>
          <w:tcPr>
            <w:tcW w:w="3008" w:type="dxa"/>
            <w:shd w:val="clear" w:color="auto" w:fill="F2F2F2"/>
            <w:tcMar>
              <w:top w:w="80" w:type="dxa"/>
              <w:left w:w="100" w:type="dxa"/>
              <w:bottom w:w="80" w:type="dxa"/>
              <w:right w:w="100" w:type="dxa"/>
            </w:tcMar>
            <w:vAlign w:val="center"/>
          </w:tcPr>
          <w:p w14:paraId="5A0044E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Events split by client, time window, or type</w:t>
            </w:r>
          </w:p>
        </w:tc>
        <w:tc>
          <w:tcPr>
            <w:tcW w:w="3008" w:type="dxa"/>
            <w:shd w:val="clear" w:color="auto" w:fill="F2F2F2"/>
            <w:tcMar>
              <w:top w:w="80" w:type="dxa"/>
              <w:left w:w="100" w:type="dxa"/>
              <w:bottom w:w="80" w:type="dxa"/>
              <w:right w:w="100" w:type="dxa"/>
            </w:tcMar>
            <w:vAlign w:val="center"/>
          </w:tcPr>
          <w:p w14:paraId="627ECFB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Balanced workload across executors</w:t>
            </w:r>
          </w:p>
        </w:tc>
      </w:tr>
      <w:tr w14:paraId="54BF0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5A8C262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Horizontal scaling</w:t>
            </w:r>
          </w:p>
        </w:tc>
        <w:tc>
          <w:tcPr>
            <w:tcW w:w="3008" w:type="dxa"/>
            <w:tcMar>
              <w:top w:w="80" w:type="dxa"/>
              <w:left w:w="100" w:type="dxa"/>
              <w:bottom w:w="80" w:type="dxa"/>
              <w:right w:w="100" w:type="dxa"/>
            </w:tcMar>
            <w:vAlign w:val="center"/>
          </w:tcPr>
          <w:p w14:paraId="401A1E1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Additional worker nodes added as load increases</w:t>
            </w:r>
          </w:p>
        </w:tc>
        <w:tc>
          <w:tcPr>
            <w:tcW w:w="3008" w:type="dxa"/>
            <w:tcMar>
              <w:top w:w="80" w:type="dxa"/>
              <w:left w:w="100" w:type="dxa"/>
              <w:bottom w:w="80" w:type="dxa"/>
              <w:right w:w="100" w:type="dxa"/>
            </w:tcMar>
            <w:vAlign w:val="center"/>
          </w:tcPr>
          <w:p w14:paraId="3A3B5ED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Elastic capacity without redesigning the system</w:t>
            </w:r>
          </w:p>
        </w:tc>
      </w:tr>
      <w:tr w14:paraId="0FD98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0B32E1D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Load balancing</w:t>
            </w:r>
          </w:p>
        </w:tc>
        <w:tc>
          <w:tcPr>
            <w:tcW w:w="3008" w:type="dxa"/>
            <w:shd w:val="clear" w:color="auto" w:fill="F2F2F2"/>
            <w:tcMar>
              <w:top w:w="80" w:type="dxa"/>
              <w:left w:w="100" w:type="dxa"/>
              <w:bottom w:w="80" w:type="dxa"/>
              <w:right w:w="100" w:type="dxa"/>
            </w:tcMar>
            <w:vAlign w:val="center"/>
          </w:tcPr>
          <w:p w14:paraId="40D3FDE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Cluster manager distributes tasks across nodes</w:t>
            </w:r>
          </w:p>
        </w:tc>
        <w:tc>
          <w:tcPr>
            <w:tcW w:w="3008" w:type="dxa"/>
            <w:shd w:val="clear" w:color="auto" w:fill="F2F2F2"/>
            <w:tcMar>
              <w:top w:w="80" w:type="dxa"/>
              <w:left w:w="100" w:type="dxa"/>
              <w:bottom w:w="80" w:type="dxa"/>
              <w:right w:w="100" w:type="dxa"/>
            </w:tcMar>
            <w:vAlign w:val="center"/>
          </w:tcPr>
          <w:p w14:paraId="63F9D7C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Prevents any single node from becoming a bottleneck</w:t>
            </w:r>
          </w:p>
        </w:tc>
      </w:tr>
      <w:tr w14:paraId="3099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61A42FA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Parallel processing</w:t>
            </w:r>
          </w:p>
        </w:tc>
        <w:tc>
          <w:tcPr>
            <w:tcW w:w="3008" w:type="dxa"/>
            <w:tcMar>
              <w:top w:w="80" w:type="dxa"/>
              <w:left w:w="100" w:type="dxa"/>
              <w:bottom w:w="80" w:type="dxa"/>
              <w:right w:w="100" w:type="dxa"/>
            </w:tcMar>
            <w:vAlign w:val="center"/>
          </w:tcPr>
          <w:p w14:paraId="3DEB5CC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Simultaneous execution of transformations across partitions</w:t>
            </w:r>
          </w:p>
        </w:tc>
        <w:tc>
          <w:tcPr>
            <w:tcW w:w="3008" w:type="dxa"/>
            <w:tcMar>
              <w:top w:w="80" w:type="dxa"/>
              <w:left w:w="100" w:type="dxa"/>
              <w:bottom w:w="80" w:type="dxa"/>
              <w:right w:w="100" w:type="dxa"/>
            </w:tcMar>
            <w:vAlign w:val="center"/>
          </w:tcPr>
          <w:p w14:paraId="6B21DCA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Dramatically reduced processing time</w:t>
            </w:r>
          </w:p>
        </w:tc>
      </w:tr>
    </w:tbl>
    <w:p w14:paraId="04DEB6B2">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16. FAULT TOLERANCE AND RELIABILITY</w:t>
      </w:r>
    </w:p>
    <w:p w14:paraId="341EE891">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 security monitoring platform cannot afford extended downtime, since gaps in monitoring create windows of vulnerability. The reverse-engineered design relies on several complementary fault-tolerance mechanisms.</w:t>
      </w:r>
    </w:p>
    <w:p w14:paraId="6DBD084B">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RDD lineage — enables automatic recomputation of lost data partitions.</w:t>
      </w:r>
    </w:p>
    <w:p w14:paraId="608AE8A9">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Data replication — storing copies of critical data across multiple nodes or storage systems.</w:t>
      </w:r>
    </w:p>
    <w:p w14:paraId="3A25B746">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Executor failure recovery — Spark reschedules failed tasks on healthy executors automatically.</w:t>
      </w:r>
    </w:p>
    <w:p w14:paraId="1BFFE8DB">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Node failure recovery — the cluster manager redistributes work away from failed nodes.</w:t>
      </w:r>
    </w:p>
    <w:p w14:paraId="4D7A93BF">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Distributed storage — data persisted across a distributed file system rather than a single disk.</w:t>
      </w:r>
    </w:p>
    <w:p w14:paraId="63BDC1D9">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Backup systems — periodic snapshots and redundant infrastructure for disaster recovery.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01FB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shd w:val="clear" w:color="auto" w:fill="1F3864"/>
            <w:tcMar>
              <w:top w:w="80" w:type="dxa"/>
              <w:left w:w="100" w:type="dxa"/>
              <w:bottom w:w="80" w:type="dxa"/>
              <w:right w:w="100" w:type="dxa"/>
            </w:tcMar>
            <w:vAlign w:val="center"/>
          </w:tcPr>
          <w:p w14:paraId="66791CCC">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Failure Scenario</w:t>
            </w:r>
          </w:p>
        </w:tc>
        <w:tc>
          <w:tcPr>
            <w:tcW w:w="3008" w:type="dxa"/>
            <w:shd w:val="clear" w:color="auto" w:fill="1F3864"/>
            <w:tcMar>
              <w:top w:w="80" w:type="dxa"/>
              <w:left w:w="100" w:type="dxa"/>
              <w:bottom w:w="80" w:type="dxa"/>
              <w:right w:w="100" w:type="dxa"/>
            </w:tcMar>
            <w:vAlign w:val="center"/>
          </w:tcPr>
          <w:p w14:paraId="12BF33D8">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Impact</w:t>
            </w:r>
          </w:p>
        </w:tc>
        <w:tc>
          <w:tcPr>
            <w:tcW w:w="3008" w:type="dxa"/>
            <w:shd w:val="clear" w:color="auto" w:fill="1F3864"/>
            <w:tcMar>
              <w:top w:w="80" w:type="dxa"/>
              <w:left w:w="100" w:type="dxa"/>
              <w:bottom w:w="80" w:type="dxa"/>
              <w:right w:w="100" w:type="dxa"/>
            </w:tcMar>
            <w:vAlign w:val="center"/>
          </w:tcPr>
          <w:p w14:paraId="499DFAF5">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Recovery Mechanism</w:t>
            </w:r>
          </w:p>
        </w:tc>
      </w:tr>
      <w:tr w14:paraId="3303C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661EF84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Worker node failure</w:t>
            </w:r>
          </w:p>
        </w:tc>
        <w:tc>
          <w:tcPr>
            <w:tcW w:w="3008" w:type="dxa"/>
            <w:tcMar>
              <w:top w:w="80" w:type="dxa"/>
              <w:left w:w="100" w:type="dxa"/>
              <w:bottom w:w="80" w:type="dxa"/>
              <w:right w:w="100" w:type="dxa"/>
            </w:tcMar>
            <w:vAlign w:val="center"/>
          </w:tcPr>
          <w:p w14:paraId="57E2520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Loss of in-progress tasks on that node</w:t>
            </w:r>
          </w:p>
        </w:tc>
        <w:tc>
          <w:tcPr>
            <w:tcW w:w="3008" w:type="dxa"/>
            <w:tcMar>
              <w:top w:w="80" w:type="dxa"/>
              <w:left w:w="100" w:type="dxa"/>
              <w:bottom w:w="80" w:type="dxa"/>
              <w:right w:w="100" w:type="dxa"/>
            </w:tcMar>
            <w:vAlign w:val="center"/>
          </w:tcPr>
          <w:p w14:paraId="204F80F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Tasks rescheduled on other nodes; lost partitions recomputed via lineage</w:t>
            </w:r>
          </w:p>
        </w:tc>
      </w:tr>
      <w:tr w14:paraId="724F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340EE5B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Data processing failure</w:t>
            </w:r>
          </w:p>
        </w:tc>
        <w:tc>
          <w:tcPr>
            <w:tcW w:w="3008" w:type="dxa"/>
            <w:shd w:val="clear" w:color="auto" w:fill="F2F2F2"/>
            <w:tcMar>
              <w:top w:w="80" w:type="dxa"/>
              <w:left w:w="100" w:type="dxa"/>
              <w:bottom w:w="80" w:type="dxa"/>
              <w:right w:w="100" w:type="dxa"/>
            </w:tcMar>
            <w:vAlign w:val="center"/>
          </w:tcPr>
          <w:p w14:paraId="61F85D7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 transformation stage fails or produces errors</w:t>
            </w:r>
          </w:p>
        </w:tc>
        <w:tc>
          <w:tcPr>
            <w:tcW w:w="3008" w:type="dxa"/>
            <w:shd w:val="clear" w:color="auto" w:fill="F2F2F2"/>
            <w:tcMar>
              <w:top w:w="80" w:type="dxa"/>
              <w:left w:w="100" w:type="dxa"/>
              <w:bottom w:w="80" w:type="dxa"/>
              <w:right w:w="100" w:type="dxa"/>
            </w:tcMar>
            <w:vAlign w:val="center"/>
          </w:tcPr>
          <w:p w14:paraId="250244A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Failed stage retried automatically; job resumes from last stable state</w:t>
            </w:r>
          </w:p>
        </w:tc>
      </w:tr>
      <w:tr w14:paraId="11EBE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30F604E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Network interruption</w:t>
            </w:r>
          </w:p>
        </w:tc>
        <w:tc>
          <w:tcPr>
            <w:tcW w:w="3008" w:type="dxa"/>
            <w:tcMar>
              <w:top w:w="80" w:type="dxa"/>
              <w:left w:w="100" w:type="dxa"/>
              <w:bottom w:w="80" w:type="dxa"/>
              <w:right w:w="100" w:type="dxa"/>
            </w:tcMar>
            <w:vAlign w:val="center"/>
          </w:tcPr>
          <w:p w14:paraId="41F451D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Temporary loss of connectivity between nodes or client sites</w:t>
            </w:r>
          </w:p>
        </w:tc>
        <w:tc>
          <w:tcPr>
            <w:tcW w:w="3008" w:type="dxa"/>
            <w:tcMar>
              <w:top w:w="80" w:type="dxa"/>
              <w:left w:w="100" w:type="dxa"/>
              <w:bottom w:w="80" w:type="dxa"/>
              <w:right w:w="100" w:type="dxa"/>
            </w:tcMar>
            <w:vAlign w:val="center"/>
          </w:tcPr>
          <w:p w14:paraId="19F172A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Message queues buffer data until connectivity is restored</w:t>
            </w:r>
          </w:p>
        </w:tc>
      </w:tr>
      <w:tr w14:paraId="1CC39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1F043EB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Data source failure</w:t>
            </w:r>
          </w:p>
        </w:tc>
        <w:tc>
          <w:tcPr>
            <w:tcW w:w="3008" w:type="dxa"/>
            <w:shd w:val="clear" w:color="auto" w:fill="F2F2F2"/>
            <w:tcMar>
              <w:top w:w="80" w:type="dxa"/>
              <w:left w:w="100" w:type="dxa"/>
              <w:bottom w:w="80" w:type="dxa"/>
              <w:right w:w="100" w:type="dxa"/>
            </w:tcMar>
            <w:vAlign w:val="center"/>
          </w:tcPr>
          <w:p w14:paraId="4D0AF91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 client network stops sending logs</w:t>
            </w:r>
          </w:p>
        </w:tc>
        <w:tc>
          <w:tcPr>
            <w:tcW w:w="3008" w:type="dxa"/>
            <w:shd w:val="clear" w:color="auto" w:fill="F2F2F2"/>
            <w:tcMar>
              <w:top w:w="80" w:type="dxa"/>
              <w:left w:w="100" w:type="dxa"/>
              <w:bottom w:w="80" w:type="dxa"/>
              <w:right w:w="100" w:type="dxa"/>
            </w:tcMar>
            <w:vAlign w:val="center"/>
          </w:tcPr>
          <w:p w14:paraId="13F4DC9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Alert generated for missing data; monitoring resumes once source recovers</w:t>
            </w:r>
          </w:p>
        </w:tc>
      </w:tr>
    </w:tbl>
    <w:p w14:paraId="6C5C5CC5">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17. SECURITY AND PRIVACY CONSIDERATIONS</w:t>
      </w:r>
    </w:p>
    <w:p w14:paraId="4AFBA21F">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 cybersecurity platform occupies a uniquely sensitive position: it must protect the very data it is analysing, since that data often includes confidential client network details, user credentials, and personally identifiable information.</w:t>
      </w:r>
    </w:p>
    <w:p w14:paraId="164EDFC9">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Client data privacy — ensuring each client's data is logically isolated and not exposed to other clients.</w:t>
      </w:r>
    </w:p>
    <w:p w14:paraId="51BD72DF">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Encryption — protecting data both in transit (between client and platform) and at rest (in storage).</w:t>
      </w:r>
    </w:p>
    <w:p w14:paraId="287560BC">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Access control — restricting system access to authorised personnel and services only.</w:t>
      </w:r>
    </w:p>
    <w:p w14:paraId="3ADA1F70">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Authentication — verifying the identity of users and services interacting with the platform.</w:t>
      </w:r>
    </w:p>
    <w:p w14:paraId="06CBD223">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Secure communication — using encrypted channels for all inter-component and client communication.</w:t>
      </w:r>
    </w:p>
    <w:p w14:paraId="6849247F">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Data anonymisation — removing or masking unnecessary personally identifiable information where possible.</w:t>
      </w:r>
    </w:p>
    <w:p w14:paraId="520E5173">
      <w:pPr>
        <w:pStyle w:val="19"/>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Role-based access control — granting permissions based on job responsibilities rather than blanket access.</w:t>
      </w:r>
    </w:p>
    <w:p w14:paraId="4CBB4843">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Because the platform aggregates data from thousands of independent clients, a breach of the platform itself could expose sensitive information from all of them simultaneously, making these safeguards especially critical.</w:t>
      </w:r>
    </w:p>
    <w:p w14:paraId="2C7E64C1">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18. PERFORMANCE ANALYSIS</w:t>
      </w:r>
    </w:p>
    <w:p w14:paraId="0FC7590D">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performance of the reverse-engineered system can be evaluated using several standard metrics relevant to real-time security analytics.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12087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shd w:val="clear" w:color="auto" w:fill="1F3864"/>
            <w:tcMar>
              <w:top w:w="80" w:type="dxa"/>
              <w:left w:w="100" w:type="dxa"/>
              <w:bottom w:w="80" w:type="dxa"/>
              <w:right w:w="100" w:type="dxa"/>
            </w:tcMar>
            <w:vAlign w:val="center"/>
          </w:tcPr>
          <w:p w14:paraId="32AEDDA3">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Performance Metric</w:t>
            </w:r>
          </w:p>
        </w:tc>
        <w:tc>
          <w:tcPr>
            <w:tcW w:w="3008" w:type="dxa"/>
            <w:shd w:val="clear" w:color="auto" w:fill="1F3864"/>
            <w:tcMar>
              <w:top w:w="80" w:type="dxa"/>
              <w:left w:w="100" w:type="dxa"/>
              <w:bottom w:w="80" w:type="dxa"/>
              <w:right w:w="100" w:type="dxa"/>
            </w:tcMar>
            <w:vAlign w:val="center"/>
          </w:tcPr>
          <w:p w14:paraId="4B1354F9">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Description</w:t>
            </w:r>
          </w:p>
        </w:tc>
        <w:tc>
          <w:tcPr>
            <w:tcW w:w="3008" w:type="dxa"/>
            <w:shd w:val="clear" w:color="auto" w:fill="1F3864"/>
            <w:tcMar>
              <w:top w:w="80" w:type="dxa"/>
              <w:left w:w="100" w:type="dxa"/>
              <w:bottom w:w="80" w:type="dxa"/>
              <w:right w:w="100" w:type="dxa"/>
            </w:tcMar>
            <w:vAlign w:val="center"/>
          </w:tcPr>
          <w:p w14:paraId="353E3315">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Expected Benefit</w:t>
            </w:r>
          </w:p>
        </w:tc>
      </w:tr>
      <w:tr w14:paraId="3442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1BF5C55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Event Processing Rate</w:t>
            </w:r>
          </w:p>
        </w:tc>
        <w:tc>
          <w:tcPr>
            <w:tcW w:w="3008" w:type="dxa"/>
            <w:tcMar>
              <w:top w:w="80" w:type="dxa"/>
              <w:left w:w="100" w:type="dxa"/>
              <w:bottom w:w="80" w:type="dxa"/>
              <w:right w:w="100" w:type="dxa"/>
            </w:tcMar>
            <w:vAlign w:val="center"/>
          </w:tcPr>
          <w:p w14:paraId="72FB750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Number of security events processed per second</w:t>
            </w:r>
          </w:p>
        </w:tc>
        <w:tc>
          <w:tcPr>
            <w:tcW w:w="3008" w:type="dxa"/>
            <w:tcMar>
              <w:top w:w="80" w:type="dxa"/>
              <w:left w:w="100" w:type="dxa"/>
              <w:bottom w:w="80" w:type="dxa"/>
              <w:right w:w="100" w:type="dxa"/>
            </w:tcMar>
            <w:vAlign w:val="center"/>
          </w:tcPr>
          <w:p w14:paraId="38FDFDB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Confirms the system can keep pace with incoming data volume</w:t>
            </w:r>
          </w:p>
        </w:tc>
      </w:tr>
      <w:tr w14:paraId="75CCC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07D9D18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Detection Latency</w:t>
            </w:r>
          </w:p>
        </w:tc>
        <w:tc>
          <w:tcPr>
            <w:tcW w:w="3008" w:type="dxa"/>
            <w:shd w:val="clear" w:color="auto" w:fill="F2F2F2"/>
            <w:tcMar>
              <w:top w:w="80" w:type="dxa"/>
              <w:left w:w="100" w:type="dxa"/>
              <w:bottom w:w="80" w:type="dxa"/>
              <w:right w:w="100" w:type="dxa"/>
            </w:tcMar>
            <w:vAlign w:val="center"/>
          </w:tcPr>
          <w:p w14:paraId="3F6BB84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Time between event occurrence and threat detection</w:t>
            </w:r>
          </w:p>
        </w:tc>
        <w:tc>
          <w:tcPr>
            <w:tcW w:w="3008" w:type="dxa"/>
            <w:shd w:val="clear" w:color="auto" w:fill="F2F2F2"/>
            <w:tcMar>
              <w:top w:w="80" w:type="dxa"/>
              <w:left w:w="100" w:type="dxa"/>
              <w:bottom w:w="80" w:type="dxa"/>
              <w:right w:w="100" w:type="dxa"/>
            </w:tcMar>
            <w:vAlign w:val="center"/>
          </w:tcPr>
          <w:p w14:paraId="30FB74B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Enables containment before significant damage occurs</w:t>
            </w:r>
          </w:p>
        </w:tc>
      </w:tr>
      <w:tr w14:paraId="1469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0DAF2E8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Alert Accuracy</w:t>
            </w:r>
          </w:p>
        </w:tc>
        <w:tc>
          <w:tcPr>
            <w:tcW w:w="3008" w:type="dxa"/>
            <w:tcMar>
              <w:top w:w="80" w:type="dxa"/>
              <w:left w:w="100" w:type="dxa"/>
              <w:bottom w:w="80" w:type="dxa"/>
              <w:right w:w="100" w:type="dxa"/>
            </w:tcMar>
            <w:vAlign w:val="center"/>
          </w:tcPr>
          <w:p w14:paraId="1539379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Proportion of alerts that represent genuine threats</w:t>
            </w:r>
          </w:p>
        </w:tc>
        <w:tc>
          <w:tcPr>
            <w:tcW w:w="3008" w:type="dxa"/>
            <w:tcMar>
              <w:top w:w="80" w:type="dxa"/>
              <w:left w:w="100" w:type="dxa"/>
              <w:bottom w:w="80" w:type="dxa"/>
              <w:right w:w="100" w:type="dxa"/>
            </w:tcMar>
            <w:vAlign w:val="center"/>
          </w:tcPr>
          <w:p w14:paraId="60A310D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Builds analyst trust and reduces wasted investigation effort</w:t>
            </w:r>
          </w:p>
        </w:tc>
      </w:tr>
      <w:tr w14:paraId="3C80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3854C66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False Positive Rate</w:t>
            </w:r>
          </w:p>
        </w:tc>
        <w:tc>
          <w:tcPr>
            <w:tcW w:w="3008" w:type="dxa"/>
            <w:shd w:val="clear" w:color="auto" w:fill="F2F2F2"/>
            <w:tcMar>
              <w:top w:w="80" w:type="dxa"/>
              <w:left w:w="100" w:type="dxa"/>
              <w:bottom w:w="80" w:type="dxa"/>
              <w:right w:w="100" w:type="dxa"/>
            </w:tcMar>
            <w:vAlign w:val="center"/>
          </w:tcPr>
          <w:p w14:paraId="054C81A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Proportion of alerts incorrectly flagged as threats</w:t>
            </w:r>
          </w:p>
        </w:tc>
        <w:tc>
          <w:tcPr>
            <w:tcW w:w="3008" w:type="dxa"/>
            <w:shd w:val="clear" w:color="auto" w:fill="F2F2F2"/>
            <w:tcMar>
              <w:top w:w="80" w:type="dxa"/>
              <w:left w:w="100" w:type="dxa"/>
              <w:bottom w:w="80" w:type="dxa"/>
              <w:right w:w="100" w:type="dxa"/>
            </w:tcMar>
            <w:vAlign w:val="center"/>
          </w:tcPr>
          <w:p w14:paraId="3A6DAE9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Reduces alert fatigue and improves analyst efficiency</w:t>
            </w:r>
          </w:p>
        </w:tc>
      </w:tr>
      <w:tr w14:paraId="37DC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Mar>
              <w:top w:w="80" w:type="dxa"/>
              <w:left w:w="100" w:type="dxa"/>
              <w:bottom w:w="80" w:type="dxa"/>
              <w:right w:w="100" w:type="dxa"/>
            </w:tcMar>
            <w:vAlign w:val="center"/>
          </w:tcPr>
          <w:p w14:paraId="5EAAEEB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System Availability</w:t>
            </w:r>
          </w:p>
        </w:tc>
        <w:tc>
          <w:tcPr>
            <w:tcW w:w="3008" w:type="dxa"/>
            <w:tcMar>
              <w:top w:w="80" w:type="dxa"/>
              <w:left w:w="100" w:type="dxa"/>
              <w:bottom w:w="80" w:type="dxa"/>
              <w:right w:w="100" w:type="dxa"/>
            </w:tcMar>
            <w:vAlign w:val="center"/>
          </w:tcPr>
          <w:p w14:paraId="0601309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Percentage of uptime for continuous monitoring</w:t>
            </w:r>
          </w:p>
        </w:tc>
        <w:tc>
          <w:tcPr>
            <w:tcW w:w="3008" w:type="dxa"/>
            <w:tcMar>
              <w:top w:w="80" w:type="dxa"/>
              <w:left w:w="100" w:type="dxa"/>
              <w:bottom w:w="80" w:type="dxa"/>
              <w:right w:w="100" w:type="dxa"/>
            </w:tcMar>
            <w:vAlign w:val="center"/>
          </w:tcPr>
          <w:p w14:paraId="7238832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Minimises gaps in security coverage</w:t>
            </w:r>
          </w:p>
        </w:tc>
      </w:tr>
      <w:tr w14:paraId="15F0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shd w:val="clear" w:color="auto" w:fill="F2F2F2"/>
            <w:tcMar>
              <w:top w:w="80" w:type="dxa"/>
              <w:left w:w="100" w:type="dxa"/>
              <w:bottom w:w="80" w:type="dxa"/>
              <w:right w:w="100" w:type="dxa"/>
            </w:tcMar>
            <w:vAlign w:val="center"/>
          </w:tcPr>
          <w:p w14:paraId="3269D30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Scalability</w:t>
            </w:r>
          </w:p>
        </w:tc>
        <w:tc>
          <w:tcPr>
            <w:tcW w:w="3008" w:type="dxa"/>
            <w:shd w:val="clear" w:color="auto" w:fill="F2F2F2"/>
            <w:tcMar>
              <w:top w:w="80" w:type="dxa"/>
              <w:left w:w="100" w:type="dxa"/>
              <w:bottom w:w="80" w:type="dxa"/>
              <w:right w:w="100" w:type="dxa"/>
            </w:tcMar>
            <w:vAlign w:val="center"/>
          </w:tcPr>
          <w:p w14:paraId="269CEBA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Ability to maintain performance as load increases</w:t>
            </w:r>
          </w:p>
        </w:tc>
        <w:tc>
          <w:tcPr>
            <w:tcW w:w="3008" w:type="dxa"/>
            <w:shd w:val="clear" w:color="auto" w:fill="F2F2F2"/>
            <w:tcMar>
              <w:top w:w="80" w:type="dxa"/>
              <w:left w:w="100" w:type="dxa"/>
              <w:bottom w:w="80" w:type="dxa"/>
              <w:right w:w="100" w:type="dxa"/>
            </w:tcMar>
            <w:vAlign w:val="center"/>
          </w:tcPr>
          <w:p w14:paraId="0FB7736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Supports onboarding of additional client networks</w:t>
            </w:r>
          </w:p>
        </w:tc>
      </w:tr>
    </w:tbl>
    <w:p w14:paraId="68D61C30">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Distributed processing directly improves these metrics by allowing the event processing rate to scale with the number of worker nodes, by reducing detection latency through parallel analysis of partitioned data, and by improving availability through automatic fault recovery rather than single points of failure.</w:t>
      </w:r>
    </w:p>
    <w:p w14:paraId="0521685D">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19. INNOVATION AND IMPROVEMENTS</w:t>
      </w:r>
    </w:p>
    <w:p w14:paraId="4E03858E">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19.1 AI-Based Threat Prediction</w:t>
      </w:r>
    </w:p>
    <w:p w14:paraId="14516B6A">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Incorporating predictive models trained on historical attack data could allow the platform to anticipate likely future attack targets or techniques, shifting from purely reactive detection toward proactive defence.</w:t>
      </w:r>
    </w:p>
    <w:p w14:paraId="5C4B943E">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19.2 Adaptive Intelligent Agents</w:t>
      </w:r>
    </w:p>
    <w:p w14:paraId="5B088FF1">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Agents that adjust their own detection thresholds and rules based on observed outcomes could reduce false positives over time without requiring constant manual tuning.</w:t>
      </w:r>
    </w:p>
    <w:p w14:paraId="4B8F6BE5">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19.3 Dynamic Threat Scoring</w:t>
      </w:r>
    </w:p>
    <w:p w14:paraId="270B8D44">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Rather than using fixed weightings, a dynamic scoring model could adjust factor weights based on current threat landscape trends, improving prioritisation accuracy.</w:t>
      </w:r>
    </w:p>
    <w:p w14:paraId="7C022CE4">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19.4 Automated Threat Hunting</w:t>
      </w:r>
    </w:p>
    <w:p w14:paraId="1E7A5235">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Proactive agents could periodically search historical data for subtle indicators of compromise that were not flagged by real-time detection, uncovering stealthy or dormant threats.</w:t>
      </w:r>
    </w:p>
    <w:p w14:paraId="54E6765C">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19.5 Explainable AI for Security Alerts</w:t>
      </w:r>
    </w:p>
    <w:p w14:paraId="65C5A6F4">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Providing analysts with clear explanations of why an event was flagged — rather than an opaque score — would improve trust in automated detection and speed up manual verification.</w:t>
      </w:r>
    </w:p>
    <w:p w14:paraId="45A0CF8C">
      <w:pPr>
        <w:pStyle w:val="3"/>
        <w:spacing w:before="240" w:after="12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19.6 Human-in-the-Loop Approval</w:t>
      </w:r>
    </w:p>
    <w:p w14:paraId="5A12799D">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For high-impact automated response actions, requiring rapid human confirmation before execution would balance the speed of automation with the judgement of experienced analysts.</w:t>
      </w:r>
    </w:p>
    <w:p w14:paraId="04DB2678">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20. CHALLENGES AND LIMITATIONS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35E9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shd w:val="clear" w:color="auto" w:fill="1F3864"/>
            <w:tcMar>
              <w:top w:w="80" w:type="dxa"/>
              <w:left w:w="100" w:type="dxa"/>
              <w:bottom w:w="80" w:type="dxa"/>
              <w:right w:w="100" w:type="dxa"/>
            </w:tcMar>
            <w:vAlign w:val="center"/>
          </w:tcPr>
          <w:p w14:paraId="67427EB3">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Challenge</w:t>
            </w:r>
          </w:p>
        </w:tc>
        <w:tc>
          <w:tcPr>
            <w:tcW w:w="4513" w:type="dxa"/>
            <w:shd w:val="clear" w:color="auto" w:fill="1F3864"/>
            <w:tcMar>
              <w:top w:w="80" w:type="dxa"/>
              <w:left w:w="100" w:type="dxa"/>
              <w:bottom w:w="80" w:type="dxa"/>
              <w:right w:w="100" w:type="dxa"/>
            </w:tcMar>
            <w:vAlign w:val="center"/>
          </w:tcPr>
          <w:p w14:paraId="5F51D3E4">
            <w:pPr>
              <w:jc w:val="left"/>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Practical Solution</w:t>
            </w:r>
          </w:p>
        </w:tc>
      </w:tr>
      <w:tr w14:paraId="185A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39DBC52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Large data volume</w:t>
            </w:r>
          </w:p>
        </w:tc>
        <w:tc>
          <w:tcPr>
            <w:tcW w:w="4513" w:type="dxa"/>
            <w:tcMar>
              <w:top w:w="80" w:type="dxa"/>
              <w:left w:w="100" w:type="dxa"/>
              <w:bottom w:w="80" w:type="dxa"/>
              <w:right w:w="100" w:type="dxa"/>
            </w:tcMar>
            <w:vAlign w:val="center"/>
          </w:tcPr>
          <w:p w14:paraId="69C5FDE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Horizontal scaling of the PySpark cluster and efficient data partitioning.</w:t>
            </w:r>
          </w:p>
        </w:tc>
      </w:tr>
      <w:tr w14:paraId="027DC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F2F2F2"/>
            <w:tcMar>
              <w:top w:w="80" w:type="dxa"/>
              <w:left w:w="100" w:type="dxa"/>
              <w:bottom w:w="80" w:type="dxa"/>
              <w:right w:w="100" w:type="dxa"/>
            </w:tcMar>
            <w:vAlign w:val="center"/>
          </w:tcPr>
          <w:p w14:paraId="32B2388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High infrastructure cost</w:t>
            </w:r>
          </w:p>
        </w:tc>
        <w:tc>
          <w:tcPr>
            <w:tcW w:w="4513" w:type="dxa"/>
            <w:shd w:val="clear" w:color="auto" w:fill="F2F2F2"/>
            <w:tcMar>
              <w:top w:w="80" w:type="dxa"/>
              <w:left w:w="100" w:type="dxa"/>
              <w:bottom w:w="80" w:type="dxa"/>
              <w:right w:w="100" w:type="dxa"/>
            </w:tcMar>
            <w:vAlign w:val="center"/>
          </w:tcPr>
          <w:p w14:paraId="21CE2F0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Elastic cloud resources that scale up only during peak load periods.</w:t>
            </w:r>
          </w:p>
        </w:tc>
      </w:tr>
      <w:tr w14:paraId="284A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789EB27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False positives</w:t>
            </w:r>
          </w:p>
        </w:tc>
        <w:tc>
          <w:tcPr>
            <w:tcW w:w="4513" w:type="dxa"/>
            <w:tcMar>
              <w:top w:w="80" w:type="dxa"/>
              <w:left w:w="100" w:type="dxa"/>
              <w:bottom w:w="80" w:type="dxa"/>
              <w:right w:w="100" w:type="dxa"/>
            </w:tcMar>
            <w:vAlign w:val="center"/>
          </w:tcPr>
          <w:p w14:paraId="063C6E6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Continuous refinement of detection rules and adaptive thresholding.</w:t>
            </w:r>
          </w:p>
        </w:tc>
      </w:tr>
      <w:tr w14:paraId="2E32D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F2F2F2"/>
            <w:tcMar>
              <w:top w:w="80" w:type="dxa"/>
              <w:left w:w="100" w:type="dxa"/>
              <w:bottom w:w="80" w:type="dxa"/>
              <w:right w:w="100" w:type="dxa"/>
            </w:tcMar>
            <w:vAlign w:val="center"/>
          </w:tcPr>
          <w:p w14:paraId="63909C8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Complex attack patterns</w:t>
            </w:r>
          </w:p>
        </w:tc>
        <w:tc>
          <w:tcPr>
            <w:tcW w:w="4513" w:type="dxa"/>
            <w:shd w:val="clear" w:color="auto" w:fill="F2F2F2"/>
            <w:tcMar>
              <w:top w:w="80" w:type="dxa"/>
              <w:left w:w="100" w:type="dxa"/>
              <w:bottom w:w="80" w:type="dxa"/>
              <w:right w:w="100" w:type="dxa"/>
            </w:tcMar>
            <w:vAlign w:val="center"/>
          </w:tcPr>
          <w:p w14:paraId="248086D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Layered detection combining signatures, anomalies, and correlation analysis.</w:t>
            </w:r>
          </w:p>
        </w:tc>
      </w:tr>
      <w:tr w14:paraId="2F05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5A86FC0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Privacy concerns</w:t>
            </w:r>
          </w:p>
        </w:tc>
        <w:tc>
          <w:tcPr>
            <w:tcW w:w="4513" w:type="dxa"/>
            <w:tcMar>
              <w:top w:w="80" w:type="dxa"/>
              <w:left w:w="100" w:type="dxa"/>
              <w:bottom w:w="80" w:type="dxa"/>
              <w:right w:w="100" w:type="dxa"/>
            </w:tcMar>
            <w:vAlign w:val="center"/>
          </w:tcPr>
          <w:p w14:paraId="0518CA0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Strict data isolation, encryption, and anonymisation policies per client.</w:t>
            </w:r>
          </w:p>
        </w:tc>
      </w:tr>
      <w:tr w14:paraId="7C28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F2F2F2"/>
            <w:tcMar>
              <w:top w:w="80" w:type="dxa"/>
              <w:left w:w="100" w:type="dxa"/>
              <w:bottom w:w="80" w:type="dxa"/>
              <w:right w:w="100" w:type="dxa"/>
            </w:tcMar>
            <w:vAlign w:val="center"/>
          </w:tcPr>
          <w:p w14:paraId="08DE0B4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Integration challenges</w:t>
            </w:r>
          </w:p>
        </w:tc>
        <w:tc>
          <w:tcPr>
            <w:tcW w:w="4513" w:type="dxa"/>
            <w:shd w:val="clear" w:color="auto" w:fill="F2F2F2"/>
            <w:tcMar>
              <w:top w:w="80" w:type="dxa"/>
              <w:left w:w="100" w:type="dxa"/>
              <w:bottom w:w="80" w:type="dxa"/>
              <w:right w:w="100" w:type="dxa"/>
            </w:tcMar>
            <w:vAlign w:val="center"/>
          </w:tcPr>
          <w:p w14:paraId="7DDCAC8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Standardised data ingestion APIs and schema normalisation layers.</w:t>
            </w:r>
          </w:p>
        </w:tc>
      </w:tr>
      <w:tr w14:paraId="30BA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00" w:type="dxa"/>
              <w:bottom w:w="80" w:type="dxa"/>
              <w:right w:w="100" w:type="dxa"/>
            </w:tcMar>
            <w:vAlign w:val="center"/>
          </w:tcPr>
          <w:p w14:paraId="6CE6D57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Communication delays</w:t>
            </w:r>
          </w:p>
        </w:tc>
        <w:tc>
          <w:tcPr>
            <w:tcW w:w="4513" w:type="dxa"/>
            <w:tcMar>
              <w:top w:w="80" w:type="dxa"/>
              <w:left w:w="100" w:type="dxa"/>
              <w:bottom w:w="80" w:type="dxa"/>
              <w:right w:w="100" w:type="dxa"/>
            </w:tcMar>
            <w:vAlign w:val="center"/>
          </w:tcPr>
          <w:p w14:paraId="4F71ECD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Message queues and asynchronous processing to decouple components.</w:t>
            </w:r>
          </w:p>
        </w:tc>
      </w:tr>
    </w:tbl>
    <w:p w14:paraId="4A6F7B33">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21. CONCLUSION</w:t>
      </w:r>
    </w:p>
    <w:p w14:paraId="596BEA5A">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This report has presented a reverse-engineered analysis of a plausible cybersecurity threat intelligence platform capable of aggregating and analysing security data from thousands of client networks. Based on the given industry scenario, the following architecture is a logical reverse-engineered interpretation of the platform, built around a PySpark-based distributed processing layer that partitions and parallelises the analysis of large-scale log data, and Resilient Distributed Datasets that provide both the parallel computation and the lineage-based fault tolerance necessary for continuous, reliable operation.</w:t>
      </w:r>
    </w:p>
    <w:p w14:paraId="1EF92265">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Layered above this processing foundation, five coordinated intelligent agents — responsible for data collection, threat detection, correlation analysis, alert prioritisation, and automated response — transform raw, high-volume log data into prioritised, actionable security intelligence. Correlation analysis combines individually weak signals into high-confidence threat indications, while the alert prioritisation model ensures that Security Operations Center analysts focus their attention on the most severe and urgent incidents. Automated response mechanisms, operating within defined policy constraints, further reduce the time between detection and containment.</w:t>
      </w:r>
    </w:p>
    <w:p w14:paraId="73185355">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Taken together, the horizontal scalability of the distributed computing layer and the systematic fault-tolerance mechanisms built into RDD-based processing provide a resilient foundation capable of sustaining continuous monitoring even as client networks and data volumes grow. The proposed reverse-engineered architecture therefore offers a logical, scalable, and defensible approach for detecting emerging cybersecurity threats from thousands of client networks within minutes, while remaining clearly distinguished from any confirmed proprietary implementation.</w:t>
      </w:r>
    </w:p>
    <w:p w14:paraId="3CAB8134">
      <w:pPr>
        <w:pStyle w:val="2"/>
        <w:pageBreakBefore/>
        <w:spacing w:before="200" w:after="2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22. REFERENCES</w:t>
      </w:r>
    </w:p>
    <w:p w14:paraId="253FD0BF">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1. Zaharia, M., Chowdhury, M., Franklin, M. J., Shenker, S., &amp; Stoica, I. (2010). Spark: Cluster Computing with Working Sets. USENIX HotCloud.</w:t>
      </w:r>
    </w:p>
    <w:p w14:paraId="57C7370A">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2. Zaharia, M., et al. (2012). Resilient Distributed Datasets: A Fault-Tolerant Abstraction for In-Memory Cluster Computing. USENIX NSDI.</w:t>
      </w:r>
    </w:p>
    <w:p w14:paraId="4F2377D8">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3. Russell, S., &amp; Norvig, P. (2020). Artificial Intelligence: A Modern Approach (4th ed.). Pearson.</w:t>
      </w:r>
    </w:p>
    <w:p w14:paraId="675C5A67">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4. Sommestad, T., &amp; Hunstad, A. (2013). Intrusion Detection and the Role of the System Administrator. Information Management &amp; Computer Security.</w:t>
      </w:r>
    </w:p>
    <w:p w14:paraId="0C7D76EA">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5. Chio, C., &amp; Freeman, D. (2018). Machine Learning and Security: Protecting Systems with Data and Algorithms. O'Reilly Media.</w:t>
      </w:r>
    </w:p>
    <w:p w14:paraId="7E6B41F8">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6. Bass, T., (2000). Intrusion Detection Systems and Multisensor Data Fusion. Communications of the ACM.</w:t>
      </w:r>
    </w:p>
    <w:p w14:paraId="52B2FDE8">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7. Apache Spark Documentation. Apache Software Foundation. Retrieved from the official Apache Spark project documentation.</w:t>
      </w:r>
    </w:p>
    <w:p w14:paraId="2EC8A9D3">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8. Wooldridge, M. (2009). An Introduction to MultiAgent Systems (2nd ed.). John Wiley &amp; Sons.</w:t>
      </w:r>
    </w:p>
    <w:p w14:paraId="57DC2496">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9. Sadeghi, A., Wachsmann, C., &amp; Waidner, M. (2015). Security and Privacy Challenges in Industrial Internet of Things. ACM/IEEE Design Automation Conference.</w:t>
      </w:r>
    </w:p>
    <w:p w14:paraId="52BFC7CC">
      <w:pPr>
        <w:spacing w:after="16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10. NIST. (2018). Framework for Improving Critical Infrastructure Cybersecurity, Version 1.1. National Institute of Standards and Technology.</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86"/>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B4110">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of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7DE04">
    <w:pPr>
      <w:pBdr>
        <w:bottom w:val="single" w:color="1F3864" w:sz="4" w:space="0"/>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4A8706"/>
    <w:multiLevelType w:val="singleLevel"/>
    <w:tmpl w:val="0F4A8706"/>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2B4837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basedOn w:val="1"/>
    <w:qFormat/>
    <w:uiPriority w:val="0"/>
    <w:pPr>
      <w:spacing w:before="240" w:after="200" w:line="360" w:lineRule="auto"/>
      <w:outlineLvl w:val="0"/>
    </w:pPr>
    <w:rPr>
      <w:rFonts w:ascii="Times New Roman" w:hAnsi="Times New Roman" w:eastAsia="Times New Roman" w:cs="Times New Roman"/>
      <w:b/>
      <w:bCs/>
      <w:color w:val="1F3864"/>
      <w:sz w:val="32"/>
      <w:szCs w:val="32"/>
    </w:rPr>
  </w:style>
  <w:style w:type="paragraph" w:styleId="3">
    <w:name w:val="heading 2"/>
    <w:basedOn w:val="1"/>
    <w:qFormat/>
    <w:uiPriority w:val="0"/>
    <w:pPr>
      <w:spacing w:before="200" w:after="120" w:line="360" w:lineRule="auto"/>
      <w:outlineLvl w:val="1"/>
    </w:pPr>
    <w:rPr>
      <w:rFonts w:ascii="Times New Roman" w:hAnsi="Times New Roman" w:eastAsia="Times New Roman" w:cs="Times New Roman"/>
      <w:b/>
      <w:bCs/>
      <w:color w:val="1F3864"/>
      <w:sz w:val="28"/>
      <w:szCs w:val="28"/>
    </w:rPr>
  </w:style>
  <w:style w:type="paragraph" w:styleId="4">
    <w:name w:val="heading 3"/>
    <w:next w:val="1"/>
    <w:qFormat/>
    <w:uiPriority w:val="0"/>
    <w:pPr>
      <w:spacing w:line="360" w:lineRule="auto"/>
    </w:pPr>
    <w:rPr>
      <w:rFonts w:ascii="Times New Roman" w:hAnsi="Times New Roman" w:eastAsia="Times New Roman" w:cs="Times New Roman"/>
      <w:color w:val="1F4D78"/>
      <w:sz w:val="24"/>
      <w:szCs w:val="24"/>
    </w:rPr>
  </w:style>
  <w:style w:type="paragraph" w:styleId="5">
    <w:name w:val="heading 4"/>
    <w:basedOn w:val="1"/>
    <w:qFormat/>
    <w:uiPriority w:val="0"/>
    <w:pPr>
      <w:spacing w:line="360" w:lineRule="auto"/>
    </w:pPr>
    <w:rPr>
      <w:rFonts w:ascii="Times New Roman" w:hAnsi="Times New Roman" w:eastAsia="Times New Roman" w:cs="Times New Roman"/>
      <w:i/>
      <w:iCs/>
      <w:color w:val="2E74B5"/>
      <w:sz w:val="24"/>
      <w:szCs w:val="24"/>
    </w:rPr>
  </w:style>
  <w:style w:type="paragraph" w:styleId="6">
    <w:name w:val="heading 5"/>
    <w:basedOn w:val="1"/>
    <w:qFormat/>
    <w:uiPriority w:val="0"/>
    <w:pPr>
      <w:spacing w:line="36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360" w:lineRule="auto"/>
    </w:pPr>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0"/>
      <w:szCs w:val="20"/>
      <w:lang w:val="en-US" w:eastAsia="en-US" w:bidi="ar-SA"/>
    </w:rPr>
  </w:style>
  <w:style w:type="character" w:styleId="11">
    <w:name w:val="endnote reference"/>
    <w:semiHidden/>
    <w:unhideWhenUsed/>
    <w:qFormat/>
    <w:uiPriority w:val="99"/>
    <w:rPr>
      <w:vertAlign w:val="superscript"/>
    </w:rPr>
  </w:style>
  <w:style w:type="paragraph" w:styleId="12">
    <w:name w:val="endnote text"/>
    <w:link w:val="21"/>
    <w:semiHidden/>
    <w:unhideWhenUsed/>
    <w:qFormat/>
    <w:uiPriority w:val="99"/>
    <w:pPr>
      <w:spacing w:after="0" w:line="240" w:lineRule="auto"/>
    </w:pPr>
    <w:rPr>
      <w:rFonts w:ascii="Times New Roman" w:hAnsi="Times New Roman" w:eastAsia="Times New Roman" w:cs="Times New Roman"/>
      <w:sz w:val="20"/>
      <w:szCs w:val="20"/>
    </w:rPr>
  </w:style>
  <w:style w:type="paragraph" w:styleId="13">
    <w:name w:val="footer"/>
    <w:basedOn w:val="1"/>
    <w:uiPriority w:val="0"/>
    <w:pPr>
      <w:tabs>
        <w:tab w:val="center" w:pos="4153"/>
        <w:tab w:val="right" w:pos="8306"/>
      </w:tabs>
      <w:snapToGrid w:val="0"/>
      <w:jc w:val="left"/>
    </w:pPr>
    <w:rPr>
      <w:sz w:val="18"/>
      <w:szCs w:val="18"/>
    </w:rPr>
  </w:style>
  <w:style w:type="character" w:styleId="14">
    <w:name w:val="footnote reference"/>
    <w:semiHidden/>
    <w:unhideWhenUsed/>
    <w:qFormat/>
    <w:uiPriority w:val="99"/>
    <w:rPr>
      <w:vertAlign w:val="superscript"/>
    </w:rPr>
  </w:style>
  <w:style w:type="paragraph" w:styleId="15">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6">
    <w:name w:val="header"/>
    <w:basedOn w:val="1"/>
    <w:uiPriority w:val="0"/>
    <w:pPr>
      <w:tabs>
        <w:tab w:val="center" w:pos="4153"/>
        <w:tab w:val="right" w:pos="8306"/>
      </w:tabs>
      <w:snapToGrid w:val="0"/>
    </w:pPr>
    <w:rPr>
      <w:sz w:val="18"/>
      <w:szCs w:val="18"/>
    </w:rPr>
  </w:style>
  <w:style w:type="character" w:styleId="17">
    <w:name w:val="Hyperlink"/>
    <w:unhideWhenUsed/>
    <w:qFormat/>
    <w:uiPriority w:val="99"/>
    <w:rPr>
      <w:color w:val="0563C1"/>
      <w:u w:val="single"/>
    </w:rPr>
  </w:style>
  <w:style w:type="paragraph" w:styleId="18">
    <w:name w:val="Title"/>
    <w:qFormat/>
    <w:uiPriority w:val="0"/>
    <w:pPr>
      <w:spacing w:line="360" w:lineRule="auto"/>
    </w:pPr>
    <w:rPr>
      <w:rFonts w:ascii="Times New Roman" w:hAnsi="Times New Roman" w:eastAsia="Times New Roman" w:cs="Times New Roman"/>
      <w:sz w:val="56"/>
      <w:szCs w:val="56"/>
    </w:rPr>
  </w:style>
  <w:style w:type="paragraph" w:styleId="19">
    <w:name w:val="List Paragraph"/>
    <w:qFormat/>
    <w:uiPriority w:val="0"/>
    <w:pPr>
      <w:spacing w:line="360" w:lineRule="auto"/>
    </w:pPr>
    <w:rPr>
      <w:rFonts w:ascii="Times New Roman" w:hAnsi="Times New Roman" w:eastAsia="Times New Roman" w:cs="Times New Roman"/>
      <w:sz w:val="24"/>
      <w:szCs w:val="24"/>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5192</Words>
  <Characters>32691</Characters>
  <TotalTime>2</TotalTime>
  <ScaleCrop>false</ScaleCrop>
  <LinksUpToDate>false</LinksUpToDate>
  <CharactersWithSpaces>37380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2026-09-06T10:28:00Z</dcterms:created>
  <dc:creator>Un-named</dc:creator>
  <cp:lastModifiedBy>P Vishal</cp:lastModifiedBy>
  <dcterms:modified xsi:type="dcterms:W3CDTF">2026-09-06T10:33:01Z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eyJoZGlkIjoiNWE2YzY3NGVmZDk0MThiZDc5NThhYjEwZDNmY2RjMGYiLCJ1c2VySWQiOiI1Njc2MzU4MTc5NjUifQ==</vt:lpwstr>
  </property>
  <property fmtid="{D5CDD505-2E9C-101B-9397-08002B2CF9AE}" pid="3" name="KSOProductBuildVer">
    <vt:lpwstr>1033-12.1.0.28485</vt:lpwstr>
  </property>
  <property fmtid="{D5CDD505-2E9C-101B-9397-08002B2CF9AE}" pid="4" name="ICV">
    <vt:lpwstr>F8A140B2F1D94B4CA3D86C9B896BACF4_13</vt:lpwstr>
  </property>
</Properties>
</file>