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0C0F4A4">
      <w:pPr>
        <w:pStyle w:val="style0"/>
        <w:spacing w:before="1200"/>
        <w:rPr/>
      </w:pPr>
    </w:p>
    <w:p w14:paraId="551B1B75">
      <w:pPr>
        <w:pStyle w:val="style0"/>
        <w:spacing w:after="300"/>
        <w:jc w:val="center"/>
        <w:rPr/>
      </w:pPr>
      <w:r>
        <w:rPr>
          <w:rFonts w:ascii="Calibri" w:cs="Calibri" w:eastAsia="Calibri" w:hAnsi="Calibri"/>
          <w:b/>
          <w:bCs/>
          <w:sz w:val="32"/>
          <w:szCs w:val="32"/>
        </w:rPr>
        <w:t>Digital Signal Processing – Simulation Assignment</w:t>
      </w:r>
    </w:p>
    <w:p w14:paraId="CDB5AC32">
      <w:pPr>
        <w:pStyle w:val="style0"/>
        <w:spacing w:after="200"/>
        <w:jc w:val="center"/>
        <w:rPr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>IIR Filter Coefficient Quantization</w:t>
      </w:r>
    </w:p>
    <w:p w14:paraId="433C9011">
      <w:pPr>
        <w:pStyle w:val="style0"/>
        <w:spacing w:after="800"/>
        <w:jc w:val="center"/>
        <w:rPr/>
      </w:pPr>
      <w:r>
        <w:rPr>
          <w:rFonts w:ascii="Calibri" w:cs="Calibri" w:eastAsia="Calibri" w:hAnsi="Calibri"/>
          <w:i/>
          <w:iCs/>
          <w:sz w:val="24"/>
          <w:szCs w:val="24"/>
        </w:rPr>
        <w:t>Effect of 10-bit Finite Word Length on a Second-Order Butterworth Low-Pass Filter</w:t>
      </w:r>
    </w:p>
    <w:p w14:paraId="E70C25AE">
      <w:pPr>
        <w:pStyle w:val="style0"/>
        <w:spacing w:after="100"/>
        <w:jc w:val="center"/>
        <w:rPr/>
      </w:pPr>
      <w:r>
        <w:rPr>
          <w:rFonts w:ascii="Calibri" w:cs="Calibri" w:eastAsia="Calibri" w:hAnsi="Calibri"/>
          <w:sz w:val="22"/>
          <w:szCs w:val="22"/>
        </w:rPr>
        <w:t>Simulation Tool: MATLAB (Signal Processing Toolbox)</w:t>
      </w:r>
    </w:p>
    <w:p w14:paraId="B4FD976E">
      <w:pPr>
        <w:pStyle w:val="style0"/>
        <w:spacing w:after="100"/>
        <w:jc w:val="center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>Question 3  |  Marks: 25  |  Bloom's Level: BL4  |  Week: WK4</w:t>
      </w:r>
    </w:p>
    <w:p w14:paraId="AF2C4B34">
      <w:pPr>
        <w:pStyle w:val="style0"/>
        <w:spacing w:after="100"/>
        <w:jc w:val="left"/>
        <w:rPr/>
      </w:pPr>
    </w:p>
    <w:p w14:paraId="1364DEA0">
      <w:pPr>
        <w:pStyle w:val="style0"/>
        <w:spacing w:after="100"/>
        <w:jc w:val="left"/>
        <w:rPr/>
      </w:pPr>
    </w:p>
    <w:p w14:paraId="6C2BDBDA">
      <w:pPr>
        <w:pStyle w:val="style0"/>
        <w:spacing w:after="100"/>
        <w:jc w:val="left"/>
        <w:rPr>
          <w:rFonts w:ascii="Calibri" w:cs="Calibri" w:hAnsi="Calibri"/>
          <w:sz w:val="32"/>
          <w:szCs w:val="32"/>
          <w:lang w:val="en-US"/>
        </w:rPr>
      </w:pPr>
      <w:r>
        <w:rPr>
          <w:rFonts w:ascii="Calibri" w:cs="Calibri" w:hAnsi="Calibri"/>
          <w:sz w:val="32"/>
          <w:szCs w:val="32"/>
          <w:lang w:val="en-US"/>
        </w:rPr>
        <w:t>Name:N.Algipran</w:t>
      </w:r>
    </w:p>
    <w:p w14:paraId="F183B39D">
      <w:pPr>
        <w:pStyle w:val="style0"/>
        <w:spacing w:after="100"/>
        <w:jc w:val="left"/>
        <w:rPr>
          <w:rFonts w:ascii="Calibri" w:cs="Calibri" w:hAnsi="Calibri"/>
          <w:sz w:val="32"/>
          <w:szCs w:val="32"/>
          <w:lang w:val="en-US"/>
        </w:rPr>
      </w:pPr>
      <w:r>
        <w:rPr>
          <w:rFonts w:ascii="Calibri" w:cs="Calibri" w:hAnsi="Calibri"/>
          <w:sz w:val="32"/>
          <w:szCs w:val="32"/>
          <w:lang w:val="en-US"/>
        </w:rPr>
        <w:t>Reg.No:192512494</w:t>
      </w:r>
    </w:p>
    <w:p w14:paraId="6EFFD554">
      <w:pPr>
        <w:pStyle w:val="style0"/>
        <w:spacing w:after="100"/>
        <w:jc w:val="left"/>
        <w:rPr>
          <w:sz w:val="28"/>
          <w:szCs w:val="24"/>
        </w:rPr>
      </w:pPr>
      <w:r>
        <w:rPr>
          <w:rFonts w:ascii="Calibri" w:cs="Calibri" w:hAnsi="Calibri"/>
          <w:sz w:val="32"/>
          <w:szCs w:val="32"/>
          <w:lang w:val="en-US"/>
        </w:rPr>
        <w:t>Course code:ECA0901</w:t>
      </w:r>
    </w:p>
    <w:p w14:paraId="E9B9006A">
      <w:pPr>
        <w:pStyle w:val="style0"/>
        <w:rPr/>
      </w:pPr>
    </w:p>
    <w:p w14:paraId="F4D8B952">
      <w:pPr>
        <w:pStyle w:val="style4097"/>
        <w:spacing w:before="300" w:after="150"/>
        <w:rPr/>
      </w:pPr>
      <w:r>
        <w:t>1. Problem Statement</w:t>
      </w:r>
    </w:p>
    <w:p w14:paraId="B0D352A9">
      <w:pPr>
        <w:pStyle w:val="style0"/>
        <w:spacing w:after="150"/>
        <w:rPr/>
      </w:pPr>
      <w:r>
        <w:rPr>
          <w:rFonts w:ascii="Calibri" w:cs="Calibri" w:eastAsia="Calibri" w:hAnsi="Calibri"/>
          <w:sz w:val="22"/>
          <w:szCs w:val="22"/>
        </w:rPr>
        <w:t>Simulate a second-order Butterworth IIR low-pass filter with 10-bit coefficient quantization and analyze the effects of finite word length on filter performance.</w:t>
      </w:r>
    </w:p>
    <w:p w14:paraId="7DC2C2EB">
      <w:pPr>
        <w:pStyle w:val="style4098"/>
        <w:spacing w:before="300" w:after="150"/>
        <w:rPr/>
      </w:pPr>
      <w:r>
        <w:t>Given Data</w:t>
      </w:r>
    </w:p>
    <w:p w14:paraId="79AE71F7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Filter Type: Butterworth</w:t>
      </w:r>
    </w:p>
    <w:p w14:paraId="81E6E83C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Order: 2</w:t>
      </w:r>
    </w:p>
    <w:p w14:paraId="B5E02136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Cutoff Frequency: 0.3π rad/sample</w:t>
      </w:r>
    </w:p>
    <w:p w14:paraId="8B335FE1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Coefficient Word Length: 10 bits</w:t>
      </w:r>
    </w:p>
    <w:p w14:paraId="28921F67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Sampling Frequency: 10 kHz</w:t>
      </w:r>
    </w:p>
    <w:p w14:paraId="C8B706B0">
      <w:pPr>
        <w:pStyle w:val="style4098"/>
        <w:spacing w:before="300" w:after="150"/>
        <w:rPr/>
      </w:pPr>
      <w:r>
        <w:t>Tasks</w:t>
      </w:r>
    </w:p>
    <w:p w14:paraId="B0F3150F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Design the Butterworth filter</w:t>
      </w:r>
    </w:p>
    <w:p w14:paraId="BDD19997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Determine the floating-point coefficients</w:t>
      </w:r>
    </w:p>
    <w:p w14:paraId="7DAB94CE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Quantize coefficients to 10-bit precision</w:t>
      </w:r>
    </w:p>
    <w:p w14:paraId="AA0ECFF9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Plot pole-zero diagrams before and after quantization</w:t>
      </w:r>
    </w:p>
    <w:p w14:paraId="9F191E28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Analyze stability changes</w:t>
      </w:r>
    </w:p>
    <w:p w14:paraId="93BB2BE8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Compare frequency responses</w:t>
      </w:r>
    </w:p>
    <w:p w14:paraId="C69B9B8A">
      <w:pPr>
        <w:pStyle w:val="style4097"/>
        <w:spacing w:before="300" w:after="150"/>
        <w:rPr/>
      </w:pPr>
      <w:r>
        <w:t>2. Design Methodology</w:t>
      </w:r>
    </w:p>
    <w:p w14:paraId="03B9602B">
      <w:pPr>
        <w:pStyle w:val="style0"/>
        <w:spacing w:after="150"/>
        <w:rPr/>
      </w:pPr>
      <w:r>
        <w:rPr>
          <w:rFonts w:ascii="Calibri" w:cs="Calibri" w:eastAsia="Calibri" w:hAnsi="Calibri"/>
          <w:sz w:val="22"/>
          <w:szCs w:val="22"/>
        </w:rPr>
        <w:t>A 2nd-order Butterworth low-pass IIR filter was designed in MATLAB using the butter() function with a normalized cutoff of 0.3 (1.0 corresponds to the Nyquist frequency, so 0.3π rad/sample = 1500 Hz at Fs = 10 kHz). The resulting floating-point transfer function coefficients were then quantized to 10-bit fixed-point precision using a signed Q-format (1 sign bit, 1 integer bit, 9 fractional bits), since the largest-magnitude coefficient did not exceed 1 in absolute value. Poles/zeros, stability, and frequency response were then compared between the floating-point and quantized realizations.</w:t>
      </w:r>
    </w:p>
    <w:p w14:paraId="BF17D108">
      <w:pPr>
        <w:pStyle w:val="style4097"/>
        <w:spacing w:before="300" w:after="150"/>
        <w:rPr/>
      </w:pPr>
      <w:r>
        <w:t>3. MATLAB Simulation Code</w:t>
      </w:r>
    </w:p>
    <w:p w14:paraId="EE44CB2E">
      <w:pPr>
        <w:pStyle w:val="style0"/>
        <w:spacing w:after="150"/>
        <w:rPr/>
      </w:pPr>
      <w:r>
        <w:rPr>
          <w:rFonts w:ascii="Calibri" w:cs="Calibri" w:eastAsia="Calibri" w:hAnsi="Calibri"/>
          <w:sz w:val="22"/>
          <w:szCs w:val="22"/>
        </w:rPr>
        <w:t>The complete MATLAB script used for this simulation is listed below.</w:t>
      </w:r>
    </w:p>
    <w:p w14:paraId="C160C3DA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%% IIR Filter Coefficient Quantization - Butterworth LPF</w:t>
      </w:r>
    </w:p>
    <w:p w14:paraId="7CE0D1F7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clear; clc; close all;</w:t>
      </w:r>
    </w:p>
    <w:p w14:paraId="5128D6A9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68826AED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%% Design parameters</w:t>
      </w:r>
    </w:p>
    <w:p w14:paraId="6061F44A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order = 2;</w:t>
      </w:r>
    </w:p>
    <w:p w14:paraId="44693CC9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Wn = 0.3;           % normalized cutoff (1 = Nyquist), i.e. 0.3*pi rad/sample</w:t>
      </w:r>
    </w:p>
    <w:p w14:paraId="20BA7D04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Fs = 10000;         % Hz</w:t>
      </w:r>
    </w:p>
    <w:p w14:paraId="71C8A3E3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nbits = 10;         % coefficient word length</w:t>
      </w:r>
    </w:p>
    <w:p w14:paraId="5C0E31A4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E9D4BB79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%% 1. Design floating-point Butterworth filter</w:t>
      </w:r>
    </w:p>
    <w:p w14:paraId="1F66D922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[b, a] = butter(order, Wn, 'low');</w:t>
      </w:r>
    </w:p>
    <w:p w14:paraId="3AB6B3E4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fprintf('Floating-point b = [%s]\n', num2str(b, 8));</w:t>
      </w:r>
    </w:p>
    <w:p w14:paraId="A712D845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fprintf('Floating-point a = [%s]\n', num2str(a, 8));</w:t>
      </w:r>
    </w:p>
    <w:p w14:paraId="2EAC8C81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4BC50B1E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%% 2. Quantize coefficients to 10-bit precision</w:t>
      </w:r>
    </w:p>
    <w:p w14:paraId="AE0F4FCE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maxval = max(abs([b a]));</w:t>
      </w:r>
    </w:p>
    <w:p w14:paraId="D528D2C4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int_bits = max(1, floor(log2(maxval)) + 2);   % sign + integer bits</w:t>
      </w:r>
    </w:p>
    <w:p w14:paraId="277EFD46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frac_bits = nbits - int_bits;</w:t>
      </w:r>
    </w:p>
    <w:p w14:paraId="1B5FC32D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step = 2^(-frac_bits);</w:t>
      </w:r>
    </w:p>
    <w:p w14:paraId="D1CC0C5E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086C68AB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b_q = round(b/step) * step;</w:t>
      </w:r>
    </w:p>
    <w:p w14:paraId="6959EA6F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a_q = round(a/step) * step;</w:t>
      </w:r>
    </w:p>
    <w:p w14:paraId="35E5396E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a_q(1) = 1;   % a0 not quantized (implicit 1 in direct-form implementation)</w:t>
      </w:r>
    </w:p>
    <w:p w14:paraId="A79C5F22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680E9266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fprintf('\nQuantized b_q = [%s]\n', num2str(b_q, 8));</w:t>
      </w:r>
    </w:p>
    <w:p w14:paraId="B0B5759F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fprintf('Quantized a_q = [%s]\n', num2str(a_q, 8));</w:t>
      </w:r>
    </w:p>
    <w:p w14:paraId="A9BF9173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fprintf('Quantization step size = %g (int_bits=%d, frac_bits=%d)\n', step, int_bits, frac_bits);</w:t>
      </w:r>
    </w:p>
    <w:p w14:paraId="7263DEA6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ABEADB0C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%% 3. Poles/zeros before &amp; after quantization</w:t>
      </w:r>
    </w:p>
    <w:p w14:paraId="04007684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[z_fp, p_fp, k_fp] = tf2zpk(b, a);</w:t>
      </w:r>
    </w:p>
    <w:p w14:paraId="BCCA61AA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[z_q,  p_q,  k_q ] = tf2zpk(b_q, a_q);</w:t>
      </w:r>
    </w:p>
    <w:p w14:paraId="EBCD1A46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BC0EBD37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figure('Name','Pole-Zero Comparison');</w:t>
      </w:r>
    </w:p>
    <w:p w14:paraId="CA85436B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subplot(1,2,1);</w:t>
      </w:r>
    </w:p>
    <w:p w14:paraId="7C26518E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zplane(z_fp, p_fp);</w:t>
      </w:r>
    </w:p>
    <w:p w14:paraId="71E2A2FB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title('Floating-Point Pole-Zero Plot');</w:t>
      </w:r>
    </w:p>
    <w:p w14:paraId="A6BF2E79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81838BE0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subplot(1,2,2);</w:t>
      </w:r>
    </w:p>
    <w:p w14:paraId="C7A58BE2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zplane(z_q, p_q);</w:t>
      </w:r>
    </w:p>
    <w:p w14:paraId="6ECA8AC3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title('10-bit Quantized Pole-Zero Plot');</w:t>
      </w:r>
    </w:p>
    <w:p w14:paraId="64383096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9DC6265B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%% 4. Stability check</w:t>
      </w:r>
    </w:p>
    <w:p w14:paraId="C7A925AE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fprintf('\nFloating-point pole magnitudes: %s\n', num2str(abs(p_fp)'));</w:t>
      </w:r>
    </w:p>
    <w:p w14:paraId="A548EE04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fprintf('Quantized pole magnitudes:      %s\n', num2str(abs(p_q)'));</w:t>
      </w:r>
    </w:p>
    <w:p w14:paraId="9F34813E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3F65A5F7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if all(abs(p_fp) &lt; 1)</w:t>
      </w:r>
    </w:p>
    <w:p w14:paraId="B4FD5267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disp('Floating-point filter is STABLE');</w:t>
      </w:r>
    </w:p>
    <w:p w14:paraId="A3BF522B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else</w:t>
      </w:r>
    </w:p>
    <w:p w14:paraId="60E3EBB4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disp('Floating-point filter is UNSTABLE');</w:t>
      </w:r>
    </w:p>
    <w:p w14:paraId="D7EBE80B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end</w:t>
      </w:r>
    </w:p>
    <w:p w14:paraId="0934C91C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9DB3DB2C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if all(abs(p_q) &lt; 1)</w:t>
      </w:r>
    </w:p>
    <w:p w14:paraId="3A1E2DE3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disp('Quantized filter is STABLE');</w:t>
      </w:r>
    </w:p>
    <w:p w14:paraId="FCFBA17C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else</w:t>
      </w:r>
    </w:p>
    <w:p w14:paraId="A923A78B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disp('Quantized filter is UNSTABLE');</w:t>
      </w:r>
    </w:p>
    <w:p w14:paraId="695E958F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end</w:t>
      </w:r>
    </w:p>
    <w:p w14:paraId="8143D538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707FED78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%% 5. Frequency response comparison</w:t>
      </w:r>
    </w:p>
    <w:p w14:paraId="13FAE8C5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[h_fp, w] = freqz(b, a, 1024, Fs);</w:t>
      </w:r>
    </w:p>
    <w:p w14:paraId="1E7D5537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[h_q, ~]  = freqz(b_q, a_q, 1024, Fs);</w:t>
      </w:r>
    </w:p>
    <w:p w14:paraId="67E5B4E6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110EC437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figure('Name','Frequency Response Comparison');</w:t>
      </w:r>
    </w:p>
    <w:p w14:paraId="47FF00CC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subplot(2,1,1);</w:t>
      </w:r>
    </w:p>
    <w:p w14:paraId="93AC0200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plot(w, 20*log10(abs(h_fp)), 'b-', 'LineWidth', 1.5); hold on;</w:t>
      </w:r>
    </w:p>
    <w:p w14:paraId="83C9BAB3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plot(w, 20*log10(abs(h_q)), 'r--', 'LineWidth', 1.5);</w:t>
      </w:r>
    </w:p>
    <w:p w14:paraId="86E19DF9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xline(0.3*Fs/2, 'k:', 'Cutoff');</w:t>
      </w:r>
    </w:p>
    <w:p w14:paraId="38183BA4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xlabel('Frequency (Hz)'); ylabel('Magnitude (dB)');</w:t>
      </w:r>
    </w:p>
    <w:p w14:paraId="6C53B614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title('Magnitude Response: Floating-Point vs 10-bit Quantized');</w:t>
      </w:r>
    </w:p>
    <w:p w14:paraId="628B0292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legend('Floating-point', 'Quantized (10-bit)');</w:t>
      </w:r>
    </w:p>
    <w:p w14:paraId="0A92DE35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grid on;</w:t>
      </w:r>
    </w:p>
    <w:p w14:paraId="9B36C23A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65988B06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subplot(2,1,2);</w:t>
      </w:r>
    </w:p>
    <w:p w14:paraId="6633D44D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plot(w, unwrap(angle(h_fp)), 'b-', 'LineWidth', 1.5); hold on;</w:t>
      </w:r>
    </w:p>
    <w:p w14:paraId="9C094CE3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plot(w, unwrap(angle(h_q)), 'r--', 'LineWidth', 1.5);</w:t>
      </w:r>
    </w:p>
    <w:p w14:paraId="CE9C2DC2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xlabel('Frequency (Hz)'); ylabel('Phase (radians)');</w:t>
      </w:r>
    </w:p>
    <w:p w14:paraId="10189C0B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title('Phase Response');</w:t>
      </w:r>
    </w:p>
    <w:p w14:paraId="BD9E76D6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legend('Floating-point', 'Quantized (10-bit)');</w:t>
      </w:r>
    </w:p>
    <w:p w14:paraId="43925721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grid on;</w:t>
      </w:r>
    </w:p>
    <w:p w14:paraId="C9692847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4BB83CCE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%% 6. Error analysis</w:t>
      </w:r>
    </w:p>
    <w:p w14:paraId="B79062D2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mag_error_db = max(abs(20*log10(abs(h_fp)) - 20*log10(abs(h_q))));</w:t>
      </w:r>
    </w:p>
    <w:p w14:paraId="3E66B387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fprintf('\nMax magnitude error between floating and quantized response: %.4f dB\n', mag_error_db);</w:t>
      </w:r>
    </w:p>
    <w:p w14:paraId="5B0071C8">
      <w:pPr>
        <w:pStyle w:val="style0"/>
        <w:shd w:val="clear" w:color="auto" w:fill="f2f2f2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928F3185">
      <w:pPr>
        <w:pStyle w:val="style0"/>
        <w:spacing w:after="200"/>
        <w:rPr/>
      </w:pPr>
    </w:p>
    <w:p w14:paraId="253172F3">
      <w:pPr>
        <w:pStyle w:val="style0"/>
        <w:rPr/>
      </w:pPr>
      <w:r>
        <w:br w:type="page"/>
      </w:r>
    </w:p>
    <w:p w14:paraId="74DF9E20">
      <w:pPr>
        <w:pStyle w:val="style4097"/>
        <w:spacing w:before="300" w:after="150"/>
        <w:rPr/>
      </w:pPr>
      <w:r>
        <w:t>4. Results</w:t>
      </w:r>
    </w:p>
    <w:p w14:paraId="01B48BE6">
      <w:pPr>
        <w:pStyle w:val="style4098"/>
        <w:spacing w:before="300" w:after="150"/>
        <w:rPr/>
      </w:pPr>
      <w:r>
        <w:t>4.1 Coefficients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54"/>
        <w:gridCol w:w="5307"/>
      </w:tblGrid>
      <w:tr w14:paraId="A8192ABA">
        <w:trPr/>
        <w:tc>
          <w:tcPr>
            <w:tcW w:w="3000" w:type="dxa"/>
            <w:tcBorders/>
            <w:shd w:val="clear" w:color="auto" w:fill="1f4e79"/>
          </w:tcPr>
          <w:p w14:paraId="36B7C6BC"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>Coefficient Set</w:t>
            </w:r>
          </w:p>
        </w:tc>
        <w:tc>
          <w:tcPr>
            <w:tcW w:w="6000" w:type="dxa"/>
            <w:tcBorders/>
            <w:shd w:val="clear" w:color="auto" w:fill="1f4e79"/>
          </w:tcPr>
          <w:p w14:paraId="A1F5BA45"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>Values</w:t>
            </w:r>
          </w:p>
        </w:tc>
      </w:tr>
      <w:tr w14:paraId="31B60FD6">
        <w:tblPrEx/>
        <w:trPr/>
        <w:tc>
          <w:tcPr>
            <w:tcW w:w="2500" w:type="dxa"/>
            <w:tcBorders/>
          </w:tcPr>
          <w:p w14:paraId="8EA8441C"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>b (floating-point)</w:t>
            </w:r>
          </w:p>
        </w:tc>
        <w:tc>
          <w:tcPr>
            <w:tcW w:w="2500" w:type="dxa"/>
            <w:tcBorders/>
          </w:tcPr>
          <w:p w14:paraId="8B57AC2C"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>[0.1311, 0.2622, 0.1311]</w:t>
            </w:r>
          </w:p>
        </w:tc>
      </w:tr>
      <w:tr w14:paraId="ACB01B32">
        <w:tblPrEx/>
        <w:trPr/>
        <w:tc>
          <w:tcPr>
            <w:tcW w:w="2500" w:type="dxa"/>
            <w:tcBorders/>
          </w:tcPr>
          <w:p w14:paraId="DE1C0640"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>a (floating-point)</w:t>
            </w:r>
          </w:p>
        </w:tc>
        <w:tc>
          <w:tcPr>
            <w:tcW w:w="2500" w:type="dxa"/>
            <w:tcBorders/>
          </w:tcPr>
          <w:p w14:paraId="3E1BC305"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>[1.0000, -0.7478, 0.2722]</w:t>
            </w:r>
          </w:p>
        </w:tc>
      </w:tr>
      <w:tr w14:paraId="97C7BA7D">
        <w:tblPrEx/>
        <w:trPr/>
        <w:tc>
          <w:tcPr>
            <w:tcW w:w="2500" w:type="dxa"/>
            <w:tcBorders/>
          </w:tcPr>
          <w:p w14:paraId="12009EE7"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>b_q (10-bit quantized)</w:t>
            </w:r>
          </w:p>
        </w:tc>
        <w:tc>
          <w:tcPr>
            <w:tcW w:w="2500" w:type="dxa"/>
            <w:tcBorders/>
          </w:tcPr>
          <w:p w14:paraId="74028E42"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>[0.1309, 0.2617, 0.1309]</w:t>
            </w:r>
          </w:p>
        </w:tc>
      </w:tr>
      <w:tr w14:paraId="80E8D627">
        <w:tblPrEx/>
        <w:trPr/>
        <w:tc>
          <w:tcPr>
            <w:tcW w:w="2500" w:type="dxa"/>
            <w:tcBorders/>
          </w:tcPr>
          <w:p w14:paraId="46949B76"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>a_q (10-bit quantized)</w:t>
            </w:r>
          </w:p>
        </w:tc>
        <w:tc>
          <w:tcPr>
            <w:tcW w:w="2500" w:type="dxa"/>
            <w:tcBorders/>
          </w:tcPr>
          <w:p w14:paraId="CF2E8A2A"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>[1.0000, -0.7480, 0.2715]</w:t>
            </w:r>
          </w:p>
        </w:tc>
      </w:tr>
      <w:tr w14:paraId="EEC05959">
        <w:tblPrEx/>
        <w:trPr/>
        <w:tc>
          <w:tcPr>
            <w:tcW w:w="2500" w:type="dxa"/>
            <w:tcBorders/>
          </w:tcPr>
          <w:p w14:paraId="B24706DE"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>Quantization step size</w:t>
            </w:r>
          </w:p>
        </w:tc>
        <w:tc>
          <w:tcPr>
            <w:tcW w:w="2500" w:type="dxa"/>
            <w:tcBorders/>
          </w:tcPr>
          <w:p w14:paraId="96B057B7"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>1/512 = 0.001953 (1 sign bit + 1 int bit + 9 frac bits)</w:t>
            </w:r>
          </w:p>
        </w:tc>
      </w:tr>
    </w:tbl>
    <w:p w14:paraId="9EA77BA7">
      <w:pPr>
        <w:pStyle w:val="style0"/>
        <w:spacing w:after="200"/>
        <w:rPr/>
      </w:pPr>
    </w:p>
    <w:p w14:paraId="EC8E7109">
      <w:pPr>
        <w:pStyle w:val="style4098"/>
        <w:spacing w:before="300" w:after="150"/>
        <w:rPr/>
      </w:pPr>
      <w:r>
        <w:t>4.2 Poles and Stability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98"/>
        <w:gridCol w:w="3140"/>
        <w:gridCol w:w="1854"/>
        <w:gridCol w:w="1870"/>
      </w:tblGrid>
      <w:tr w14:paraId="C4D621D7">
        <w:trPr/>
        <w:tc>
          <w:tcPr>
            <w:tcW w:w="3000" w:type="dxa"/>
            <w:tcBorders/>
            <w:shd w:val="clear" w:color="auto" w:fill="1f4e79"/>
          </w:tcPr>
          <w:p w14:paraId="66C6A353"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>Realization</w:t>
            </w:r>
          </w:p>
        </w:tc>
        <w:tc>
          <w:tcPr>
            <w:tcW w:w="4000" w:type="dxa"/>
            <w:tcBorders/>
            <w:shd w:val="clear" w:color="auto" w:fill="1f4e79"/>
          </w:tcPr>
          <w:p w14:paraId="D241E371"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>Poles</w:t>
            </w:r>
          </w:p>
        </w:tc>
        <w:tc>
          <w:tcPr>
            <w:tcW w:w="1000" w:type="dxa"/>
            <w:tcBorders/>
            <w:shd w:val="clear" w:color="auto" w:fill="1f4e79"/>
          </w:tcPr>
          <w:p w14:paraId="2B18E843"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>|Pole|</w:t>
            </w:r>
          </w:p>
        </w:tc>
        <w:tc>
          <w:tcPr>
            <w:tcW w:w="1000" w:type="dxa"/>
            <w:tcBorders/>
            <w:shd w:val="clear" w:color="auto" w:fill="1f4e79"/>
          </w:tcPr>
          <w:p w14:paraId="E7371017"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>Stable?</w:t>
            </w:r>
          </w:p>
        </w:tc>
      </w:tr>
      <w:tr w14:paraId="9E85DEAB">
        <w:tblPrEx/>
        <w:trPr/>
        <w:tc>
          <w:tcPr>
            <w:tcW w:w="2500" w:type="dxa"/>
            <w:tcBorders/>
          </w:tcPr>
          <w:p w14:paraId="1D76586A"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>Floating-point</w:t>
            </w:r>
          </w:p>
        </w:tc>
        <w:tc>
          <w:tcPr>
            <w:tcW w:w="2500" w:type="dxa"/>
            <w:tcBorders/>
          </w:tcPr>
          <w:p w14:paraId="F13EB1DF"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>0.3739 ± 0.3639j</w:t>
            </w:r>
          </w:p>
        </w:tc>
        <w:tc>
          <w:tcPr>
            <w:tcW w:w="2500" w:type="dxa"/>
            <w:tcBorders/>
          </w:tcPr>
          <w:p w14:paraId="613D8E73"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>0.5217</w:t>
            </w:r>
          </w:p>
        </w:tc>
        <w:tc>
          <w:tcPr>
            <w:tcW w:w="2500" w:type="dxa"/>
            <w:tcBorders/>
          </w:tcPr>
          <w:p w14:paraId="4F309F29"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>Yes</w:t>
            </w:r>
          </w:p>
        </w:tc>
      </w:tr>
      <w:tr w14:paraId="7224B83A">
        <w:tblPrEx/>
        <w:trPr/>
        <w:tc>
          <w:tcPr>
            <w:tcW w:w="2500" w:type="dxa"/>
            <w:tcBorders/>
          </w:tcPr>
          <w:p w14:paraId="AF27C16C"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>10-bit Quantized</w:t>
            </w:r>
          </w:p>
        </w:tc>
        <w:tc>
          <w:tcPr>
            <w:tcW w:w="2500" w:type="dxa"/>
            <w:tcBorders/>
          </w:tcPr>
          <w:p w14:paraId="DE896B80"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>0.3740 ± 0.3628j</w:t>
            </w:r>
          </w:p>
        </w:tc>
        <w:tc>
          <w:tcPr>
            <w:tcW w:w="2500" w:type="dxa"/>
            <w:tcBorders/>
          </w:tcPr>
          <w:p w14:paraId="7AD3165A"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>0.5210</w:t>
            </w:r>
          </w:p>
        </w:tc>
        <w:tc>
          <w:tcPr>
            <w:tcW w:w="2500" w:type="dxa"/>
            <w:tcBorders/>
          </w:tcPr>
          <w:p w14:paraId="8A3B730A"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>Yes</w:t>
            </w:r>
          </w:p>
        </w:tc>
      </w:tr>
    </w:tbl>
    <w:p w14:paraId="320E1E59">
      <w:pPr>
        <w:pStyle w:val="style0"/>
        <w:spacing w:after="200"/>
        <w:rPr/>
      </w:pPr>
    </w:p>
    <w:p w14:paraId="2539D1C0">
      <w:pPr>
        <w:pStyle w:val="style0"/>
        <w:spacing w:after="150"/>
        <w:rPr/>
      </w:pPr>
      <w:r>
        <w:rPr>
          <w:rFonts w:ascii="Calibri" w:cs="Calibri" w:eastAsia="Calibri" w:hAnsi="Calibri"/>
          <w:sz w:val="22"/>
          <w:szCs w:val="22"/>
        </w:rPr>
        <w:t>Both pole pairs lie well inside the unit circle (|p| ≈ 0.52 ≪ 1), so the filter remains stable after quantization. Quantization shifts the pole radius by only about 0.0007 and the angle slightly, which is the expected finite-word-length effect. At this filter order and this cutoff (mid-band, away from 0 or π), the shift is small; higher orders or cutoffs very close to 0 or π typically show much larger, potentially destabilizing pole movement for the same word length.</w:t>
      </w:r>
    </w:p>
    <w:p w14:paraId="04BF553C">
      <w:pPr>
        <w:pStyle w:val="style4098"/>
        <w:spacing w:before="300" w:after="150"/>
        <w:rPr/>
      </w:pPr>
      <w:r>
        <w:t>4.3 Pole-Zero Diagrams</w:t>
      </w:r>
    </w:p>
    <w:p w14:paraId="B810F5E3">
      <w:pPr>
        <w:pStyle w:val="style0"/>
        <w:jc w:val="center"/>
        <w:rPr/>
      </w:pPr>
      <w:r>
        <w:rPr/>
        <w:drawing>
          <wp:inline distL="0" distT="0" distB="0" distR="0">
            <wp:extent cx="5524500" cy="2762250"/>
            <wp:effectExtent l="0" t="0" r="0" b="0"/>
            <wp:docPr id="1026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24500" cy="27622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0C30AA">
      <w:pPr>
        <w:pStyle w:val="style0"/>
        <w:spacing w:before="100" w:after="300"/>
        <w:jc w:val="center"/>
        <w:rPr/>
      </w:pPr>
      <w:r>
        <w:rPr>
          <w:rFonts w:ascii="Calibri" w:cs="Calibri" w:eastAsia="Calibri" w:hAnsi="Calibri"/>
          <w:i/>
          <w:iCs/>
          <w:sz w:val="20"/>
          <w:szCs w:val="20"/>
        </w:rPr>
        <w:t>Figure 1: Pole-zero plot — floating-point (left) vs. 10-bit quantized (right)</w:t>
      </w:r>
    </w:p>
    <w:p w14:paraId="F142E8C7">
      <w:pPr>
        <w:pStyle w:val="style4098"/>
        <w:spacing w:before="300" w:after="150"/>
        <w:rPr/>
      </w:pPr>
      <w:r>
        <w:t>4.4 Frequency Response Comparison</w:t>
      </w:r>
    </w:p>
    <w:p w14:paraId="DA759C61">
      <w:pPr>
        <w:pStyle w:val="style0"/>
        <w:jc w:val="center"/>
        <w:rPr/>
      </w:pPr>
      <w:r>
        <w:rPr/>
        <w:drawing>
          <wp:inline distL="114300" distT="0" distB="0" distR="114300">
            <wp:extent cx="5168414" cy="5633678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68414" cy="56336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45D458">
      <w:pPr>
        <w:pStyle w:val="style0"/>
        <w:spacing w:before="100" w:after="300"/>
        <w:jc w:val="center"/>
        <w:rPr/>
      </w:pPr>
      <w:r>
        <w:rPr>
          <w:rFonts w:ascii="Calibri" w:cs="Calibri" w:eastAsia="Calibri" w:hAnsi="Calibri"/>
          <w:i/>
          <w:iCs/>
          <w:sz w:val="20"/>
          <w:szCs w:val="20"/>
        </w:rPr>
        <w:t>Figure 2: Magnitude and phase response — floating-point vs. 10-bit quantized</w:t>
      </w:r>
    </w:p>
    <w:p w14:paraId="F099DEAC">
      <w:pPr>
        <w:pStyle w:val="style0"/>
        <w:spacing w:after="150"/>
        <w:rPr/>
      </w:pPr>
      <w:r>
        <w:rPr>
          <w:rFonts w:ascii="Calibri" w:cs="Calibri" w:eastAsia="Calibri" w:hAnsi="Calibri"/>
          <w:sz w:val="22"/>
          <w:szCs w:val="22"/>
        </w:rPr>
        <w:t>The maximum magnitude deviation between the floating-point and quantized responses is approximately 0.027 dB, which is negligible for this 2nd-order filter. The two magnitude curves are visually indistinguishable, and the phase responses overlap closely across the band.</w:t>
      </w:r>
    </w:p>
    <w:p w14:paraId="C6F935E9">
      <w:pPr>
        <w:pStyle w:val="style4097"/>
        <w:spacing w:before="300" w:after="150"/>
        <w:rPr/>
      </w:pPr>
      <w:r>
        <w:t>5. Analysis and Conclusion</w:t>
      </w:r>
    </w:p>
    <w:p w14:paraId="CC77771E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The Butterworth design and 10-bit quantization were completed in MATLAB using butter(), tf2zpk(), zplane(), and freqz().</w:t>
      </w:r>
    </w:p>
    <w:p w14:paraId="A83AC1E9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Quantizing to 10 bits (1 sign + 1 integer + 9 fractional bits) introduces a coefficient step size of 1/512 ≈ 0.00195.</w:t>
      </w:r>
    </w:p>
    <w:p w14:paraId="2F187E97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Pole locations shift only slightly after quantization; the filter remains stable in both cases since |pole| stays below 1.</w:t>
      </w:r>
    </w:p>
    <w:p w14:paraId="2074788B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Frequency response degradation is minor (~0.03 dB max deviation), confirming that 10 bits is sufficient precision for this specific low-order, mid-band design.</w:t>
      </w:r>
    </w:p>
    <w:p w14:paraId="B7EB55E8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In general, finite word length effects (coefficient quantization, limit cycles, overflow) become more severe for higher-order filters, cascaded sections, and cutoffs near the band edges — where even small coefficient errors can push poles outside the unit circle.</w:t>
      </w:r>
    </w:p>
    <w:p w14:paraId="6BE30397">
      <w:pPr>
        <w:pStyle w:val="style179"/>
        <w:numPr>
          <w:ilvl w:val="0"/>
          <w:numId w:val="0"/>
        </w:numPr>
        <w:spacing w:after="80"/>
        <w:ind w:left="720" w:firstLine="0"/>
        <w:rPr/>
      </w:pPr>
    </w:p>
    <w:sectPr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7a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4fc816f4-d0b9-4062-a3b4-2fdf7adffb2c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870</Words>
  <Characters>5539</Characters>
  <Application>WPS Office</Application>
  <Paragraphs>169</Paragraphs>
  <CharactersWithSpaces>6352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2026-08-20T08:12:33Z</dcterms:created>
  <dc:creator>Un-named</dc:creator>
  <lastModifiedBy>RMX3710</lastModifiedBy>
  <dcterms:modified xsi:type="dcterms:W3CDTF">2026-08-20T09:18:21Z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77d706ec18f541f5b80d19ca410feb82_23</vt:lpwstr>
  </property>
</Properties>
</file>