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mbria" w:cs="Cambria" w:eastAsia="Cambria" w:hAnsi="Cambria"/>
          <w:b/>
          <w:bCs/>
          <w:color w:val="1a3c6e"/>
          <w:sz w:val="40"/>
          <w:szCs w:val="40"/>
        </w:rPr>
        <w:t xml:space="preserve">SIMATS ENGINEERING</w:t>
      </w:r>
    </w:p>
    <w:p>
      <w:pPr>
        <w:spacing w:after="260"/>
        <w:jc w:val="center"/>
      </w:pPr>
      <w:r>
        <w:rPr>
          <w:rFonts w:ascii="Calibri" w:cs="Calibri" w:eastAsia="Calibri" w:hAnsi="Calibri"/>
          <w:i/>
          <w:iCs/>
          <w:color w:val="555555"/>
          <w:sz w:val="20"/>
          <w:szCs w:val="20"/>
        </w:rPr>
        <w:t xml:space="preserve">Saveetha Institute of Medical and Technical Sciences</w:t>
      </w:r>
    </w:p>
    <w:p>
      <w:pPr>
        <w:pBdr>
          <w:bottom w:val="single" w:color="c9a227" w:sz="16" w:space="1"/>
        </w:pBdr>
        <w:spacing w:after="200"/>
      </w:pPr>
    </w:p>
    <w:p>
      <w:pPr>
        <w:spacing w:after="100"/>
        <w:jc w:val="center"/>
      </w:pPr>
      <w:r>
        <w:rPr>
          <w:rFonts w:ascii="Cambria" w:cs="Cambria" w:eastAsia="Cambria" w:hAnsi="Cambria"/>
          <w:b/>
          <w:bCs/>
          <w:i w:val="false"/>
          <w:iCs w:val="false"/>
          <w:color w:val="7a1f2b"/>
          <w:sz w:val="32"/>
          <w:szCs w:val="32"/>
        </w:rPr>
        <w:t xml:space="preserve">ASSESSMENT TOOL 3</w:t>
      </w:r>
    </w:p>
    <w:p>
      <w:pPr>
        <w:spacing w:after="400"/>
        <w:jc w:val="center"/>
      </w:pPr>
      <w:r>
        <w:rPr>
          <w:rFonts w:ascii="Cambria" w:cs="Cambria" w:eastAsia="Cambria" w:hAnsi="Cambria"/>
          <w:b w:val="false"/>
          <w:bCs w:val="false"/>
          <w:i/>
          <w:iCs/>
          <w:color w:val="1a3c6e"/>
          <w:sz w:val="24"/>
          <w:szCs w:val="24"/>
        </w:rPr>
        <w:t xml:space="preserve">Annexure A — Comparative Analysis</w:t>
      </w:r>
    </w:p>
    <w:p>
      <w:pPr>
        <w:spacing w:after="60" w:before="120"/>
        <w:jc w:val="center"/>
      </w:pPr>
      <w:r>
        <w:drawing>
          <wp:inline distT="0" distB="0" distL="0" distR="0">
            <wp:extent cx="2476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1905000"/>
                    </a:xfrm>
                    <a:prstGeom prst="rect">
                      <a:avLst/>
                    </a:prstGeom>
                  </pic:spPr>
                </pic:pic>
              </a:graphicData>
            </a:graphic>
          </wp:inline>
        </w:drawing>
      </w:r>
    </w:p>
    <w:p>
      <w:pPr>
        <w:spacing w:after="150" w:before="300"/>
      </w:pPr>
    </w:p>
    <w:tbl>
      <w:tblPr>
        <w:tblW w:type="dxa" w:w="8800"/>
        <w:tblBorders>
          <w:top w:val="single" w:color="cccccc" w:sz="4"/>
          <w:left w:val="single" w:color="cccccc" w:sz="4"/>
          <w:bottom w:val="single" w:color="cccccc" w:sz="4"/>
          <w:right w:val="single" w:color="cccccc" w:sz="4"/>
          <w:insideH w:val="single" w:color="cccccc" w:sz="4"/>
          <w:insideV w:val="single" w:color="cccccc" w:sz="4"/>
        </w:tblBorders>
      </w:tblPr>
      <w:tblGrid>
        <w:gridCol w:w="3200"/>
        <w:gridCol w:w="5600"/>
      </w:tblGrid>
      <w:tr>
        <w:tc>
          <w:tcPr>
            <w:tcW w:type="dxa" w:w="3200"/>
            <w:shd w:fill="1a3c6e" w:val="clear"/>
            <w:tcMar>
              <w:top w:type="dxa" w:w="100"/>
              <w:left w:type="dxa" w:w="150"/>
              <w:bottom w:type="dxa" w:w="100"/>
              <w:right w:type="dxa" w:w="150"/>
            </w:tcMar>
            <w:vAlign w:val="center"/>
          </w:tcPr>
          <w:p>
            <w:r>
              <w:rPr>
                <w:rFonts w:ascii="Calibri" w:cs="Calibri" w:eastAsia="Calibri" w:hAnsi="Calibri"/>
                <w:b/>
                <w:bCs/>
                <w:color w:val="FFFFFF"/>
                <w:sz w:val="21"/>
                <w:szCs w:val="21"/>
              </w:rPr>
              <w:t xml:space="preserve">Student Name</w:t>
            </w:r>
          </w:p>
        </w:tc>
        <w:tc>
          <w:tcPr>
            <w:tcW w:type="dxa" w:w="5600"/>
            <w:shd w:fill="FFFFFF" w:val="clear"/>
            <w:tcMar>
              <w:top w:type="dxa" w:w="100"/>
              <w:left w:type="dxa" w:w="150"/>
              <w:bottom w:type="dxa" w:w="100"/>
              <w:right w:type="dxa" w:w="150"/>
            </w:tcMar>
            <w:vAlign w:val="center"/>
          </w:tcPr>
          <w:p>
            <w:r>
              <w:rPr>
                <w:rFonts w:ascii="Calibri" w:cs="Calibri" w:eastAsia="Calibri" w:hAnsi="Calibri"/>
                <w:b/>
                <w:bCs/>
                <w:color w:val="1a1a1a"/>
                <w:sz w:val="21"/>
                <w:szCs w:val="21"/>
              </w:rPr>
              <w:t xml:space="preserve">Yuvashree (192511301)</w:t>
            </w:r>
          </w:p>
        </w:tc>
      </w:tr>
      <w:tr>
        <w:tc>
          <w:tcPr>
            <w:tcW w:type="dxa" w:w="3200"/>
            <w:shd w:fill="1a3c6e" w:val="clear"/>
            <w:tcMar>
              <w:top w:type="dxa" w:w="100"/>
              <w:left w:type="dxa" w:w="150"/>
              <w:bottom w:type="dxa" w:w="100"/>
              <w:right w:type="dxa" w:w="150"/>
            </w:tcMar>
            <w:vAlign w:val="center"/>
          </w:tcPr>
          <w:p>
            <w:r>
              <w:rPr>
                <w:rFonts w:ascii="Calibri" w:cs="Calibri" w:eastAsia="Calibri" w:hAnsi="Calibri"/>
                <w:b/>
                <w:bCs/>
                <w:color w:val="FFFFFF"/>
                <w:sz w:val="21"/>
                <w:szCs w:val="21"/>
              </w:rPr>
              <w:t xml:space="preserve">Department</w:t>
            </w:r>
          </w:p>
        </w:tc>
        <w:tc>
          <w:tcPr>
            <w:tcW w:type="dxa" w:w="5600"/>
            <w:shd w:fill="FFFFFF" w:val="clear"/>
            <w:tcMar>
              <w:top w:type="dxa" w:w="100"/>
              <w:left w:type="dxa" w:w="150"/>
              <w:bottom w:type="dxa" w:w="100"/>
              <w:right w:type="dxa" w:w="150"/>
            </w:tcMar>
            <w:vAlign w:val="center"/>
          </w:tcPr>
          <w:p>
            <w:r>
              <w:rPr>
                <w:rFonts w:ascii="Calibri" w:cs="Calibri" w:eastAsia="Calibri" w:hAnsi="Calibri"/>
                <w:b/>
                <w:bCs/>
                <w:color w:val="1a1a1a"/>
                <w:sz w:val="21"/>
                <w:szCs w:val="21"/>
              </w:rPr>
              <w:t xml:space="preserve">BE. CSE</w:t>
            </w:r>
          </w:p>
        </w:tc>
      </w:tr>
      <w:tr>
        <w:tc>
          <w:tcPr>
            <w:tcW w:type="dxa" w:w="3200"/>
            <w:shd w:fill="1a3c6e" w:val="clear"/>
            <w:tcMar>
              <w:top w:type="dxa" w:w="100"/>
              <w:left w:type="dxa" w:w="150"/>
              <w:bottom w:type="dxa" w:w="100"/>
              <w:right w:type="dxa" w:w="150"/>
            </w:tcMar>
            <w:vAlign w:val="center"/>
          </w:tcPr>
          <w:p>
            <w:r>
              <w:rPr>
                <w:rFonts w:ascii="Calibri" w:cs="Calibri" w:eastAsia="Calibri" w:hAnsi="Calibri"/>
                <w:b/>
                <w:bCs/>
                <w:color w:val="FFFFFF"/>
                <w:sz w:val="21"/>
                <w:szCs w:val="21"/>
              </w:rPr>
              <w:t xml:space="preserve">Course Name</w:t>
            </w:r>
          </w:p>
        </w:tc>
        <w:tc>
          <w:tcPr>
            <w:tcW w:type="dxa" w:w="5600"/>
            <w:shd w:fill="FFFFFF" w:val="clear"/>
            <w:tcMar>
              <w:top w:type="dxa" w:w="100"/>
              <w:left w:type="dxa" w:w="150"/>
              <w:bottom w:type="dxa" w:w="100"/>
              <w:right w:type="dxa" w:w="150"/>
            </w:tcMar>
            <w:vAlign w:val="center"/>
          </w:tcPr>
          <w:p>
            <w:r>
              <w:rPr>
                <w:rFonts w:ascii="Calibri" w:cs="Calibri" w:eastAsia="Calibri" w:hAnsi="Calibri"/>
                <w:b w:val="false"/>
                <w:bCs w:val="false"/>
                <w:color w:val="1a1a1a"/>
                <w:sz w:val="21"/>
                <w:szCs w:val="21"/>
              </w:rPr>
              <w:t xml:space="preserve">Computer Networks</w:t>
            </w:r>
          </w:p>
        </w:tc>
      </w:tr>
      <w:tr>
        <w:tc>
          <w:tcPr>
            <w:tcW w:type="dxa" w:w="3200"/>
            <w:shd w:fill="1a3c6e" w:val="clear"/>
            <w:tcMar>
              <w:top w:type="dxa" w:w="100"/>
              <w:left w:type="dxa" w:w="150"/>
              <w:bottom w:type="dxa" w:w="100"/>
              <w:right w:type="dxa" w:w="150"/>
            </w:tcMar>
            <w:vAlign w:val="center"/>
          </w:tcPr>
          <w:p>
            <w:r>
              <w:rPr>
                <w:rFonts w:ascii="Calibri" w:cs="Calibri" w:eastAsia="Calibri" w:hAnsi="Calibri"/>
                <w:b/>
                <w:bCs/>
                <w:color w:val="FFFFFF"/>
                <w:sz w:val="21"/>
                <w:szCs w:val="21"/>
              </w:rPr>
              <w:t xml:space="preserve">Course Code</w:t>
            </w:r>
          </w:p>
        </w:tc>
        <w:tc>
          <w:tcPr>
            <w:tcW w:type="dxa" w:w="5600"/>
            <w:shd w:fill="FFFFFF" w:val="clear"/>
            <w:tcMar>
              <w:top w:type="dxa" w:w="100"/>
              <w:left w:type="dxa" w:w="150"/>
              <w:bottom w:type="dxa" w:w="100"/>
              <w:right w:type="dxa" w:w="150"/>
            </w:tcMar>
            <w:vAlign w:val="center"/>
          </w:tcPr>
          <w:p>
            <w:r>
              <w:rPr>
                <w:rFonts w:ascii="Calibri" w:cs="Calibri" w:eastAsia="Calibri" w:hAnsi="Calibri"/>
                <w:b w:val="false"/>
                <w:bCs w:val="false"/>
                <w:color w:val="1a1a1a"/>
                <w:sz w:val="21"/>
                <w:szCs w:val="21"/>
              </w:rPr>
              <w:t xml:space="preserve">CSA07</w:t>
            </w:r>
          </w:p>
        </w:tc>
      </w:tr>
      <w:tr>
        <w:tc>
          <w:tcPr>
            <w:tcW w:type="dxa" w:w="3200"/>
            <w:shd w:fill="1a3c6e" w:val="clear"/>
            <w:tcMar>
              <w:top w:type="dxa" w:w="100"/>
              <w:left w:type="dxa" w:w="150"/>
              <w:bottom w:type="dxa" w:w="100"/>
              <w:right w:type="dxa" w:w="150"/>
            </w:tcMar>
            <w:vAlign w:val="center"/>
          </w:tcPr>
          <w:p>
            <w:r>
              <w:rPr>
                <w:rFonts w:ascii="Calibri" w:cs="Calibri" w:eastAsia="Calibri" w:hAnsi="Calibri"/>
                <w:b/>
                <w:bCs/>
                <w:color w:val="FFFFFF"/>
                <w:sz w:val="21"/>
                <w:szCs w:val="21"/>
              </w:rPr>
              <w:t xml:space="preserve">Course Outcome</w:t>
            </w:r>
          </w:p>
        </w:tc>
        <w:tc>
          <w:tcPr>
            <w:tcW w:type="dxa" w:w="5600"/>
            <w:shd w:fill="FFFFFF" w:val="clear"/>
            <w:tcMar>
              <w:top w:type="dxa" w:w="100"/>
              <w:left w:type="dxa" w:w="150"/>
              <w:bottom w:type="dxa" w:w="100"/>
              <w:right w:type="dxa" w:w="150"/>
            </w:tcMar>
            <w:vAlign w:val="center"/>
          </w:tcPr>
          <w:p>
            <w:r>
              <w:rPr>
                <w:rFonts w:ascii="Calibri" w:cs="Calibri" w:eastAsia="Calibri" w:hAnsi="Calibri"/>
                <w:b w:val="false"/>
                <w:bCs w:val="false"/>
                <w:color w:val="1a1a1a"/>
                <w:sz w:val="21"/>
                <w:szCs w:val="21"/>
              </w:rPr>
              <w:t xml:space="preserve">CO4 (BL2, BL6)</w:t>
            </w:r>
          </w:p>
        </w:tc>
      </w:tr>
      <w:tr>
        <w:tc>
          <w:tcPr>
            <w:tcW w:type="dxa" w:w="3200"/>
            <w:shd w:fill="1a3c6e" w:val="clear"/>
            <w:tcMar>
              <w:top w:type="dxa" w:w="100"/>
              <w:left w:type="dxa" w:w="150"/>
              <w:bottom w:type="dxa" w:w="100"/>
              <w:right w:type="dxa" w:w="150"/>
            </w:tcMar>
            <w:vAlign w:val="center"/>
          </w:tcPr>
          <w:p>
            <w:r>
              <w:rPr>
                <w:rFonts w:ascii="Calibri" w:cs="Calibri" w:eastAsia="Calibri" w:hAnsi="Calibri"/>
                <w:b/>
                <w:bCs/>
                <w:color w:val="FFFFFF"/>
                <w:sz w:val="21"/>
                <w:szCs w:val="21"/>
              </w:rPr>
              <w:t xml:space="preserve">Assessment Tool</w:t>
            </w:r>
          </w:p>
        </w:tc>
        <w:tc>
          <w:tcPr>
            <w:tcW w:type="dxa" w:w="5600"/>
            <w:shd w:fill="FFFFFF" w:val="clear"/>
            <w:tcMar>
              <w:top w:type="dxa" w:w="100"/>
              <w:left w:type="dxa" w:w="150"/>
              <w:bottom w:type="dxa" w:w="100"/>
              <w:right w:type="dxa" w:w="150"/>
            </w:tcMar>
            <w:vAlign w:val="center"/>
          </w:tcPr>
          <w:p>
            <w:r>
              <w:rPr>
                <w:rFonts w:ascii="Calibri" w:cs="Calibri" w:eastAsia="Calibri" w:hAnsi="Calibri"/>
                <w:b w:val="false"/>
                <w:bCs w:val="false"/>
                <w:color w:val="1a1a1a"/>
                <w:sz w:val="21"/>
                <w:szCs w:val="21"/>
              </w:rPr>
              <w:t xml:space="preserve">Assessment Tool 3 — Annexure A: Comparative Analysis</w:t>
            </w:r>
          </w:p>
        </w:tc>
      </w:tr>
      <w:tr>
        <w:tc>
          <w:tcPr>
            <w:tcW w:type="dxa" w:w="3200"/>
            <w:shd w:fill="1a3c6e" w:val="clear"/>
            <w:tcMar>
              <w:top w:type="dxa" w:w="100"/>
              <w:left w:type="dxa" w:w="150"/>
              <w:bottom w:type="dxa" w:w="100"/>
              <w:right w:type="dxa" w:w="150"/>
            </w:tcMar>
            <w:vAlign w:val="center"/>
          </w:tcPr>
          <w:p>
            <w:r>
              <w:rPr>
                <w:rFonts w:ascii="Calibri" w:cs="Calibri" w:eastAsia="Calibri" w:hAnsi="Calibri"/>
                <w:b/>
                <w:bCs/>
                <w:color w:val="FFFFFF"/>
                <w:sz w:val="21"/>
                <w:szCs w:val="21"/>
              </w:rPr>
              <w:t xml:space="preserve">Weightage</w:t>
            </w:r>
          </w:p>
        </w:tc>
        <w:tc>
          <w:tcPr>
            <w:tcW w:type="dxa" w:w="5600"/>
            <w:shd w:fill="FFFFFF" w:val="clear"/>
            <w:tcMar>
              <w:top w:type="dxa" w:w="100"/>
              <w:left w:type="dxa" w:w="150"/>
              <w:bottom w:type="dxa" w:w="100"/>
              <w:right w:type="dxa" w:w="150"/>
            </w:tcMar>
            <w:vAlign w:val="center"/>
          </w:tcPr>
          <w:p>
            <w:r>
              <w:rPr>
                <w:rFonts w:ascii="Calibri" w:cs="Calibri" w:eastAsia="Calibri" w:hAnsi="Calibri"/>
                <w:b w:val="false"/>
                <w:bCs w:val="false"/>
                <w:color w:val="1a1a1a"/>
                <w:sz w:val="21"/>
                <w:szCs w:val="21"/>
              </w:rPr>
              <w:t xml:space="preserve">30%</w:t>
            </w:r>
          </w:p>
        </w:tc>
      </w:tr>
      <w:tr>
        <w:tc>
          <w:tcPr>
            <w:tcW w:type="dxa" w:w="3200"/>
            <w:shd w:fill="1a3c6e" w:val="clear"/>
            <w:tcMar>
              <w:top w:type="dxa" w:w="100"/>
              <w:left w:type="dxa" w:w="150"/>
              <w:bottom w:type="dxa" w:w="100"/>
              <w:right w:type="dxa" w:w="150"/>
            </w:tcMar>
            <w:vAlign w:val="center"/>
          </w:tcPr>
          <w:p>
            <w:r>
              <w:rPr>
                <w:rFonts w:ascii="Calibri" w:cs="Calibri" w:eastAsia="Calibri" w:hAnsi="Calibri"/>
                <w:b/>
                <w:bCs/>
                <w:color w:val="FFFFFF"/>
                <w:sz w:val="21"/>
                <w:szCs w:val="21"/>
              </w:rPr>
              <w:t xml:space="preserve">Total Marks</w:t>
            </w:r>
          </w:p>
        </w:tc>
        <w:tc>
          <w:tcPr>
            <w:tcW w:type="dxa" w:w="5600"/>
            <w:shd w:fill="FFFFFF" w:val="clear"/>
            <w:tcMar>
              <w:top w:type="dxa" w:w="100"/>
              <w:left w:type="dxa" w:w="150"/>
              <w:bottom w:type="dxa" w:w="100"/>
              <w:right w:type="dxa" w:w="150"/>
            </w:tcMar>
            <w:vAlign w:val="center"/>
          </w:tcPr>
          <w:p>
            <w:r>
              <w:rPr>
                <w:rFonts w:ascii="Calibri" w:cs="Calibri" w:eastAsia="Calibri" w:hAnsi="Calibri"/>
                <w:b w:val="false"/>
                <w:bCs w:val="false"/>
                <w:color w:val="1a1a1a"/>
                <w:sz w:val="21"/>
                <w:szCs w:val="21"/>
              </w:rPr>
              <w:t xml:space="preserve">25</w:t>
            </w:r>
          </w:p>
        </w:tc>
      </w:tr>
    </w:tbl>
    <w:p>
      <w:pPr>
        <w:spacing w:before="400"/>
      </w:pPr>
    </w:p>
    <w:p>
      <w:pPr>
        <w:pBdr>
          <w:bottom w:val="single" w:color="c9a227" w:sz="10" w:space="1"/>
        </w:pBdr>
        <w:spacing w:after="200"/>
      </w:pPr>
    </w:p>
    <w:p>
      <w:pPr>
        <w:spacing w:after="60"/>
        <w:jc w:val="center"/>
      </w:pPr>
      <w:r>
        <w:rPr>
          <w:rFonts w:ascii="Cambria" w:cs="Cambria" w:eastAsia="Cambria" w:hAnsi="Cambria"/>
          <w:b w:val="false"/>
          <w:bCs w:val="false"/>
          <w:i w:val="false"/>
          <w:iCs w:val="false"/>
          <w:color w:val="333333"/>
          <w:sz w:val="20"/>
          <w:szCs w:val="20"/>
        </w:rPr>
        <w:t xml:space="preserve">Course Outcome (CO4): Design network topologies — star, mesh, bus, and hybrid — using networking devices, transmission media, and cabling standards.</w:t>
      </w:r>
    </w:p>
    <w:p>
      <w:pPr>
        <w:spacing w:after="120"/>
        <w:jc w:val="center"/>
      </w:pPr>
      <w:r>
        <w:rPr>
          <w:rFonts w:ascii="Cambria" w:cs="Cambria" w:eastAsia="Cambria" w:hAnsi="Cambria"/>
          <w:b w:val="false"/>
          <w:bCs w:val="false"/>
          <w:i/>
          <w:iCs/>
          <w:color w:val="555555"/>
          <w:sz w:val="18"/>
          <w:szCs w:val="18"/>
        </w:rPr>
        <w:t xml:space="preserve">(Bloom's Levels: BL2, BL6)</w:t>
      </w:r>
    </w:p>
    <w:p>
      <w:r>
        <w:br w:type="page"/>
      </w:r>
    </w:p>
    <w:p>
      <w:pPr>
        <w:pStyle w:val="Heading1"/>
        <w:pBdr>
          <w:bottom w:val="single" w:color="7a1f2b" w:sz="6" w:space="4"/>
        </w:pBdr>
        <w:spacing w:after="160" w:before="320"/>
      </w:pPr>
      <w:r>
        <w:rPr>
          <w:rFonts w:ascii="Cambria" w:cs="Cambria" w:eastAsia="Cambria" w:hAnsi="Cambria"/>
          <w:b/>
          <w:bCs/>
          <w:color w:val="1a3c6e"/>
        </w:rPr>
        <w:t xml:space="preserve">Annexure A: Comparative Analysis</w:t>
      </w:r>
    </w:p>
    <w:p>
      <w:pPr>
        <w:spacing w:after="200"/>
      </w:pPr>
      <w:r>
        <w:rPr>
          <w:rFonts w:ascii="Calibri" w:cs="Calibri" w:eastAsia="Calibri" w:hAnsi="Calibri"/>
          <w:i/>
          <w:iCs/>
          <w:color w:val="555555"/>
          <w:sz w:val="21"/>
          <w:szCs w:val="21"/>
        </w:rPr>
        <w:t xml:space="preserve">This annexure presents a comparative analysis of the star, bus, mesh, and hybrid network topologies covered under Course Outcome CO4, evaluated against parameters such as cost, reliability, performance, fault tolerance, installation complexity, scalability, and maintenance.</w:t>
      </w:r>
    </w:p>
    <w:p>
      <w:pPr>
        <w:shd w:fill="eef2f7" w:val="clear"/>
        <w:spacing w:after="100" w:before="260"/>
      </w:pPr>
      <w:r>
        <w:rPr>
          <w:rFonts w:ascii="Calibri" w:cs="Calibri" w:eastAsia="Calibri" w:hAnsi="Calibri"/>
          <w:b/>
          <w:bCs/>
          <w:color w:val="7a1f2b"/>
          <w:sz w:val="23"/>
          <w:szCs w:val="23"/>
        </w:rPr>
        <w:t xml:space="preserve">Question 1: </w:t>
      </w:r>
      <w:r>
        <w:rPr>
          <w:rFonts w:ascii="Calibri" w:cs="Calibri" w:eastAsia="Calibri" w:hAnsi="Calibri"/>
          <w:b/>
          <w:bCs/>
          <w:color w:val="1a1a1a"/>
          <w:sz w:val="23"/>
          <w:szCs w:val="23"/>
        </w:rPr>
        <w:t xml:space="preserve">Compare Star topology and Bus topology in terms of cost, reliability, and performance.</w:t>
      </w:r>
    </w:p>
    <w:p>
      <w:pPr>
        <w:spacing w:after="60" w:before="100"/>
      </w:pPr>
      <w:r>
        <w:rPr>
          <w:rFonts w:ascii="Calibri" w:cs="Calibri" w:eastAsia="Calibri" w:hAnsi="Calibri"/>
          <w:b/>
          <w:bCs/>
          <w:i/>
          <w:iCs/>
          <w:color w:val="1a3c6e"/>
          <w:sz w:val="22"/>
          <w:szCs w:val="22"/>
        </w:rPr>
        <w:t xml:space="preserve">Answer:</w:t>
      </w:r>
    </w:p>
    <w:p>
      <w:pPr>
        <w:spacing w:after="200" w:line="300"/>
        <w:jc w:val="both"/>
      </w:pPr>
      <w:r>
        <w:rPr>
          <w:rFonts w:ascii="Calibri" w:cs="Calibri" w:eastAsia="Calibri" w:hAnsi="Calibri"/>
          <w:color w:val="1a1a1a"/>
          <w:sz w:val="22"/>
          <w:szCs w:val="22"/>
        </w:rPr>
        <w:t xml:space="preserve">Star topology is generally more expensive than bus topology because it requires a central device such as a switch or hub and more cabling to connect each node individually. In contrast, bus topology uses a single backbone cable, making it low-cost and easier to install. However, in terms of reliability, star topology is superior because failure of one node does not affect others, whereas a failure in the main bus cable can bring down the entire network. Performance is also better in star topology since data transmission is managed through a central device, reducing collisions, while bus topology suffers from performance degradation as more devices are added due to increased data traffic on the shared medium.</w:t>
      </w:r>
    </w:p>
    <w:p>
      <w:pPr>
        <w:spacing w:after="60" w:before="120"/>
        <w:jc w:val="center"/>
      </w:pPr>
      <w:r>
        <w:drawing>
          <wp:inline distT="0" distB="0" distL="0" distR="0">
            <wp:extent cx="3619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71462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 1 — Star Topology: nodes individually cabled to a central switch/hub</w:t>
      </w:r>
    </w:p>
    <w:p>
      <w:pPr>
        <w:shd w:fill="eef2f7" w:val="clear"/>
        <w:spacing w:after="100" w:before="260"/>
      </w:pPr>
      <w:r>
        <w:rPr>
          <w:rFonts w:ascii="Calibri" w:cs="Calibri" w:eastAsia="Calibri" w:hAnsi="Calibri"/>
          <w:b/>
          <w:bCs/>
          <w:color w:val="7a1f2b"/>
          <w:sz w:val="23"/>
          <w:szCs w:val="23"/>
        </w:rPr>
        <w:t xml:space="preserve">Question 2: </w:t>
      </w:r>
      <w:r>
        <w:rPr>
          <w:rFonts w:ascii="Calibri" w:cs="Calibri" w:eastAsia="Calibri" w:hAnsi="Calibri"/>
          <w:b/>
          <w:bCs/>
          <w:color w:val="1a1a1a"/>
          <w:sz w:val="23"/>
          <w:szCs w:val="23"/>
        </w:rPr>
        <w:t xml:space="preserve">Compare Mesh topology and Star topology in terms of fault tolerance and reliability.</w:t>
      </w:r>
    </w:p>
    <w:p>
      <w:pPr>
        <w:spacing w:after="60" w:before="100"/>
      </w:pPr>
      <w:r>
        <w:rPr>
          <w:rFonts w:ascii="Calibri" w:cs="Calibri" w:eastAsia="Calibri" w:hAnsi="Calibri"/>
          <w:b/>
          <w:bCs/>
          <w:i/>
          <w:iCs/>
          <w:color w:val="1a3c6e"/>
          <w:sz w:val="22"/>
          <w:szCs w:val="22"/>
        </w:rPr>
        <w:t xml:space="preserve">Answer:</w:t>
      </w:r>
    </w:p>
    <w:p>
      <w:pPr>
        <w:spacing w:after="200" w:line="300"/>
        <w:jc w:val="both"/>
      </w:pPr>
      <w:r>
        <w:rPr>
          <w:rFonts w:ascii="Calibri" w:cs="Calibri" w:eastAsia="Calibri" w:hAnsi="Calibri"/>
          <w:color w:val="1a1a1a"/>
          <w:sz w:val="22"/>
          <w:szCs w:val="22"/>
        </w:rPr>
        <w:t xml:space="preserve">Mesh topology offers very high fault tolerance because every node is connected to multiple other nodes, providing multiple paths for data transmission. If one link fails, data can still be routed through alternate paths without disrupting communication. In contrast, star topology has moderate fault tolerance; while failure of individual nodes does not affect the network, failure of the central hub or switch can cause the entire network to stop functioning. Therefore, mesh topology is more robust and reliable in critical environments compared to star topology.</w:t>
      </w:r>
    </w:p>
    <w:p>
      <w:pPr>
        <w:spacing w:after="60" w:before="120"/>
        <w:jc w:val="center"/>
      </w:pPr>
      <w:r>
        <w:drawing>
          <wp:inline distT="0" distB="0" distL="0" distR="0">
            <wp:extent cx="3619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71462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 2 — Mesh Topology: every node interconnected, providing multiple alternate paths</w:t>
      </w:r>
    </w:p>
    <w:p>
      <w:pPr>
        <w:shd w:fill="eef2f7" w:val="clear"/>
        <w:spacing w:after="100" w:before="260"/>
      </w:pPr>
      <w:r>
        <w:rPr>
          <w:rFonts w:ascii="Calibri" w:cs="Calibri" w:eastAsia="Calibri" w:hAnsi="Calibri"/>
          <w:b/>
          <w:bCs/>
          <w:color w:val="7a1f2b"/>
          <w:sz w:val="23"/>
          <w:szCs w:val="23"/>
        </w:rPr>
        <w:t xml:space="preserve">Question 3: </w:t>
      </w:r>
      <w:r>
        <w:rPr>
          <w:rFonts w:ascii="Calibri" w:cs="Calibri" w:eastAsia="Calibri" w:hAnsi="Calibri"/>
          <w:b/>
          <w:bCs/>
          <w:color w:val="1a1a1a"/>
          <w:sz w:val="23"/>
          <w:szCs w:val="23"/>
        </w:rPr>
        <w:t xml:space="preserve">Compare Bus topology and Mesh topology in terms of installation complexity.</w:t>
      </w:r>
    </w:p>
    <w:p>
      <w:pPr>
        <w:spacing w:after="60" w:before="100"/>
      </w:pPr>
      <w:r>
        <w:rPr>
          <w:rFonts w:ascii="Calibri" w:cs="Calibri" w:eastAsia="Calibri" w:hAnsi="Calibri"/>
          <w:b/>
          <w:bCs/>
          <w:i/>
          <w:iCs/>
          <w:color w:val="1a3c6e"/>
          <w:sz w:val="22"/>
          <w:szCs w:val="22"/>
        </w:rPr>
        <w:t xml:space="preserve">Answer:</w:t>
      </w:r>
    </w:p>
    <w:p>
      <w:pPr>
        <w:spacing w:after="200" w:line="300"/>
        <w:jc w:val="both"/>
      </w:pPr>
      <w:r>
        <w:rPr>
          <w:rFonts w:ascii="Calibri" w:cs="Calibri" w:eastAsia="Calibri" w:hAnsi="Calibri"/>
          <w:color w:val="1a1a1a"/>
          <w:sz w:val="22"/>
          <w:szCs w:val="22"/>
        </w:rPr>
        <w:t xml:space="preserve">Bus topology is simple and easy to install because it uses a single backbone cable with minimal connections, making it suitable for small networks. On the other hand, mesh topology is highly complex to install as each node must be connected to every other node, requiring a large number of cables and ports. This complexity increases significantly as the number of devices grows, making mesh topology time-consuming and costly to implement compared to the straightforward setup of bus topology.</w:t>
      </w:r>
    </w:p>
    <w:p>
      <w:pPr>
        <w:spacing w:after="60" w:before="120"/>
        <w:jc w:val="center"/>
      </w:pPr>
      <w:r>
        <w:drawing>
          <wp:inline distT="0" distB="0" distL="0" distR="0">
            <wp:extent cx="361950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157162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 3 — Bus Topology: single shared backbone cable with terminators at each end</w:t>
      </w:r>
    </w:p>
    <w:p>
      <w:pPr>
        <w:shd w:fill="eef2f7" w:val="clear"/>
        <w:spacing w:after="100" w:before="260"/>
      </w:pPr>
      <w:r>
        <w:rPr>
          <w:rFonts w:ascii="Calibri" w:cs="Calibri" w:eastAsia="Calibri" w:hAnsi="Calibri"/>
          <w:b/>
          <w:bCs/>
          <w:color w:val="7a1f2b"/>
          <w:sz w:val="23"/>
          <w:szCs w:val="23"/>
        </w:rPr>
        <w:t xml:space="preserve">Question 4: </w:t>
      </w:r>
      <w:r>
        <w:rPr>
          <w:rFonts w:ascii="Calibri" w:cs="Calibri" w:eastAsia="Calibri" w:hAnsi="Calibri"/>
          <w:b/>
          <w:bCs/>
          <w:color w:val="1a1a1a"/>
          <w:sz w:val="23"/>
          <w:szCs w:val="23"/>
        </w:rPr>
        <w:t xml:space="preserve">Compare Hybrid topology and Star topology in terms of scalability.</w:t>
      </w:r>
    </w:p>
    <w:p>
      <w:pPr>
        <w:spacing w:after="60" w:before="100"/>
      </w:pPr>
      <w:r>
        <w:rPr>
          <w:rFonts w:ascii="Calibri" w:cs="Calibri" w:eastAsia="Calibri" w:hAnsi="Calibri"/>
          <w:b/>
          <w:bCs/>
          <w:i/>
          <w:iCs/>
          <w:color w:val="1a3c6e"/>
          <w:sz w:val="22"/>
          <w:szCs w:val="22"/>
        </w:rPr>
        <w:t xml:space="preserve">Answer:</w:t>
      </w:r>
    </w:p>
    <w:p>
      <w:pPr>
        <w:spacing w:after="200" w:line="300"/>
        <w:jc w:val="both"/>
      </w:pPr>
      <w:r>
        <w:rPr>
          <w:rFonts w:ascii="Calibri" w:cs="Calibri" w:eastAsia="Calibri" w:hAnsi="Calibri"/>
          <w:color w:val="1a1a1a"/>
          <w:sz w:val="22"/>
          <w:szCs w:val="22"/>
        </w:rPr>
        <w:t xml:space="preserve">Hybrid topology is highly scalable because it combines two or more different topologies (such as star, mesh, or bus), allowing the network to expand flexibly according to organizational needs. New segments can be added without affecting the existing network structure. In comparison, star topology is also scalable but to a limited extent, as it depends on the capacity of the central device (switch or hub). Once the central device reaches its port limit, expansion requires additional hardware. Thus, hybrid topology provides greater scalability than star topology.</w:t>
      </w:r>
    </w:p>
    <w:p>
      <w:pPr>
        <w:spacing w:after="60" w:before="120"/>
        <w:jc w:val="center"/>
      </w:pPr>
      <w:r>
        <w:drawing>
          <wp:inline distT="0" distB="0" distL="0" distR="0">
            <wp:extent cx="3619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271462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 4 — Hybrid Topology: a combination of star, bus, and mesh segments</w:t>
      </w:r>
    </w:p>
    <w:p>
      <w:pPr>
        <w:shd w:fill="eef2f7" w:val="clear"/>
        <w:spacing w:after="100" w:before="260"/>
      </w:pPr>
      <w:r>
        <w:rPr>
          <w:rFonts w:ascii="Calibri" w:cs="Calibri" w:eastAsia="Calibri" w:hAnsi="Calibri"/>
          <w:b/>
          <w:bCs/>
          <w:color w:val="7a1f2b"/>
          <w:sz w:val="23"/>
          <w:szCs w:val="23"/>
        </w:rPr>
        <w:t xml:space="preserve">Question 5: </w:t>
      </w:r>
      <w:r>
        <w:rPr>
          <w:rFonts w:ascii="Calibri" w:cs="Calibri" w:eastAsia="Calibri" w:hAnsi="Calibri"/>
          <w:b/>
          <w:bCs/>
          <w:color w:val="1a1a1a"/>
          <w:sz w:val="23"/>
          <w:szCs w:val="23"/>
        </w:rPr>
        <w:t xml:space="preserve">Compare Star, Mesh, Bus, and Hybrid topologies in terms of maintenance.</w:t>
      </w:r>
    </w:p>
    <w:p>
      <w:pPr>
        <w:spacing w:after="60" w:before="100"/>
      </w:pPr>
      <w:r>
        <w:rPr>
          <w:rFonts w:ascii="Calibri" w:cs="Calibri" w:eastAsia="Calibri" w:hAnsi="Calibri"/>
          <w:b/>
          <w:bCs/>
          <w:i/>
          <w:iCs/>
          <w:color w:val="1a3c6e"/>
          <w:sz w:val="22"/>
          <w:szCs w:val="22"/>
        </w:rPr>
        <w:t xml:space="preserve">Answer:</w:t>
      </w:r>
    </w:p>
    <w:p>
      <w:pPr>
        <w:spacing w:after="200" w:line="300"/>
        <w:jc w:val="both"/>
      </w:pPr>
      <w:r>
        <w:rPr>
          <w:rFonts w:ascii="Calibri" w:cs="Calibri" w:eastAsia="Calibri" w:hAnsi="Calibri"/>
          <w:color w:val="1a1a1a"/>
          <w:sz w:val="22"/>
          <w:szCs w:val="22"/>
        </w:rPr>
        <w:t xml:space="preserve">In terms of maintenance, star topology is relatively easy to manage because issues can be quickly identified and isolated to a specific node or cable. Mesh topology, while highly reliable, is difficult to maintain due to its complex structure and large number of connections, making troubleshooting time-consuming. Bus topology is harder to maintain than star because faults in the backbone cable can disrupt the entire network and are difficult to locate. Hybrid topology has moderate maintenance complexity; while it benefits from flexibility, managing multiple combined topologies requires careful monitoring and skilled administration.</w:t>
      </w:r>
    </w:p>
    <w:p>
      <w:r>
        <w:br w:type="page"/>
      </w:r>
    </w:p>
    <w:p>
      <w:pPr>
        <w:pStyle w:val="Heading1"/>
        <w:pBdr>
          <w:bottom w:val="single" w:color="7a1f2b" w:sz="6" w:space="4"/>
        </w:pBdr>
        <w:spacing w:after="160" w:before="320"/>
      </w:pPr>
      <w:r>
        <w:rPr>
          <w:rFonts w:ascii="Cambria" w:cs="Cambria" w:eastAsia="Cambria" w:hAnsi="Cambria"/>
          <w:b/>
          <w:bCs/>
          <w:color w:val="1a3c6e"/>
        </w:rPr>
        <w:t xml:space="preserve">Rubrics for Calculation</w:t>
      </w:r>
    </w:p>
    <w:p>
      <w:pPr>
        <w:spacing w:after="200"/>
      </w:pPr>
      <w:r>
        <w:rPr>
          <w:rFonts w:ascii="Calibri" w:cs="Calibri" w:eastAsia="Calibri" w:hAnsi="Calibri"/>
          <w:color w:val="1a1a1a"/>
          <w:sz w:val="21"/>
          <w:szCs w:val="21"/>
        </w:rPr>
        <w:t xml:space="preserve">The comparative analysis will be evaluated based on the following rubric criteria and weightage.</w:t>
      </w:r>
    </w:p>
    <w:tbl>
      <w:tblPr>
        <w:tblW w:type="dxa" w:w="8400"/>
        <w:tblBorders>
          <w:top w:val="single" w:color="999999" w:sz="4"/>
          <w:left w:val="single" w:color="999999" w:sz="4"/>
          <w:bottom w:val="single" w:color="999999" w:sz="4"/>
          <w:right w:val="single" w:color="999999" w:sz="4"/>
          <w:insideH w:val="single" w:color="999999" w:sz="4"/>
          <w:insideV w:val="single" w:color="999999" w:sz="4"/>
        </w:tblBorders>
        <w:tblLayout w:type="fixed"/>
      </w:tblPr>
      <w:tblGrid>
        <w:gridCol w:w="1500"/>
        <w:gridCol w:w="900"/>
        <w:gridCol w:w="1500"/>
        <w:gridCol w:w="1500"/>
        <w:gridCol w:w="1500"/>
        <w:gridCol w:w="1500"/>
      </w:tblGrid>
      <w:tr>
        <w:trPr>
          <w:tblHeader/>
        </w:trPr>
        <w:tc>
          <w:tcPr>
            <w:tcW w:type="dxa" w:w="1500"/>
            <w:shd w:fill="7a1f2b" w:val="clear"/>
            <w:tcMar>
              <w:top w:type="dxa" w:w="80"/>
              <w:left w:type="dxa" w:w="90"/>
              <w:bottom w:type="dxa" w:w="80"/>
              <w:right w:type="dxa" w:w="90"/>
            </w:tcMar>
            <w:vAlign w:val="center"/>
          </w:tcPr>
          <w:p>
            <w:pPr>
              <w:jc w:val="center"/>
            </w:pPr>
            <w:r>
              <w:rPr>
                <w:rFonts w:ascii="Calibri" w:cs="Calibri" w:eastAsia="Calibri" w:hAnsi="Calibri"/>
                <w:b/>
                <w:bCs/>
                <w:color w:val="FFFFFF"/>
                <w:sz w:val="18"/>
                <w:szCs w:val="18"/>
              </w:rPr>
              <w:t xml:space="preserve">Criteria</w:t>
            </w:r>
          </w:p>
        </w:tc>
        <w:tc>
          <w:tcPr>
            <w:tcW w:type="dxa" w:w="900"/>
            <w:shd w:fill="7a1f2b" w:val="clear"/>
            <w:tcMar>
              <w:top w:type="dxa" w:w="80"/>
              <w:left w:type="dxa" w:w="90"/>
              <w:bottom w:type="dxa" w:w="80"/>
              <w:right w:type="dxa" w:w="90"/>
            </w:tcMar>
            <w:vAlign w:val="center"/>
          </w:tcPr>
          <w:p>
            <w:pPr>
              <w:jc w:val="center"/>
            </w:pPr>
            <w:r>
              <w:rPr>
                <w:rFonts w:ascii="Calibri" w:cs="Calibri" w:eastAsia="Calibri" w:hAnsi="Calibri"/>
                <w:b/>
                <w:bCs/>
                <w:color w:val="FFFFFF"/>
                <w:sz w:val="18"/>
                <w:szCs w:val="18"/>
              </w:rPr>
              <w:t xml:space="preserve">Weight</w:t>
            </w:r>
          </w:p>
        </w:tc>
        <w:tc>
          <w:tcPr>
            <w:tcW w:type="dxa" w:w="1500"/>
            <w:shd w:fill="7a1f2b" w:val="clear"/>
            <w:tcMar>
              <w:top w:type="dxa" w:w="80"/>
              <w:left w:type="dxa" w:w="90"/>
              <w:bottom w:type="dxa" w:w="80"/>
              <w:right w:type="dxa" w:w="90"/>
            </w:tcMar>
            <w:vAlign w:val="center"/>
          </w:tcPr>
          <w:p>
            <w:pPr>
              <w:jc w:val="center"/>
            </w:pPr>
            <w:r>
              <w:rPr>
                <w:rFonts w:ascii="Calibri" w:cs="Calibri" w:eastAsia="Calibri" w:hAnsi="Calibri"/>
                <w:b/>
                <w:bCs/>
                <w:color w:val="FFFFFF"/>
                <w:sz w:val="18"/>
                <w:szCs w:val="18"/>
              </w:rPr>
              <w:t xml:space="preserve">Exemplary (4)</w:t>
            </w:r>
          </w:p>
        </w:tc>
        <w:tc>
          <w:tcPr>
            <w:tcW w:type="dxa" w:w="1500"/>
            <w:shd w:fill="7a1f2b" w:val="clear"/>
            <w:tcMar>
              <w:top w:type="dxa" w:w="80"/>
              <w:left w:type="dxa" w:w="90"/>
              <w:bottom w:type="dxa" w:w="80"/>
              <w:right w:type="dxa" w:w="90"/>
            </w:tcMar>
            <w:vAlign w:val="center"/>
          </w:tcPr>
          <w:p>
            <w:pPr>
              <w:jc w:val="center"/>
            </w:pPr>
            <w:r>
              <w:rPr>
                <w:rFonts w:ascii="Calibri" w:cs="Calibri" w:eastAsia="Calibri" w:hAnsi="Calibri"/>
                <w:b/>
                <w:bCs/>
                <w:color w:val="FFFFFF"/>
                <w:sz w:val="18"/>
                <w:szCs w:val="18"/>
              </w:rPr>
              <w:t xml:space="preserve">Proficient (3)</w:t>
            </w:r>
          </w:p>
        </w:tc>
        <w:tc>
          <w:tcPr>
            <w:tcW w:type="dxa" w:w="1500"/>
            <w:shd w:fill="7a1f2b" w:val="clear"/>
            <w:tcMar>
              <w:top w:type="dxa" w:w="80"/>
              <w:left w:type="dxa" w:w="90"/>
              <w:bottom w:type="dxa" w:w="80"/>
              <w:right w:type="dxa" w:w="90"/>
            </w:tcMar>
            <w:vAlign w:val="center"/>
          </w:tcPr>
          <w:p>
            <w:pPr>
              <w:jc w:val="center"/>
            </w:pPr>
            <w:r>
              <w:rPr>
                <w:rFonts w:ascii="Calibri" w:cs="Calibri" w:eastAsia="Calibri" w:hAnsi="Calibri"/>
                <w:b/>
                <w:bCs/>
                <w:color w:val="FFFFFF"/>
                <w:sz w:val="18"/>
                <w:szCs w:val="18"/>
              </w:rPr>
              <w:t xml:space="preserve">Developing (2)</w:t>
            </w:r>
          </w:p>
        </w:tc>
        <w:tc>
          <w:tcPr>
            <w:tcW w:type="dxa" w:w="1500"/>
            <w:shd w:fill="7a1f2b" w:val="clear"/>
            <w:tcMar>
              <w:top w:type="dxa" w:w="80"/>
              <w:left w:type="dxa" w:w="90"/>
              <w:bottom w:type="dxa" w:w="80"/>
              <w:right w:type="dxa" w:w="90"/>
            </w:tcMar>
            <w:vAlign w:val="center"/>
          </w:tcPr>
          <w:p>
            <w:pPr>
              <w:jc w:val="center"/>
            </w:pPr>
            <w:r>
              <w:rPr>
                <w:rFonts w:ascii="Calibri" w:cs="Calibri" w:eastAsia="Calibri" w:hAnsi="Calibri"/>
                <w:b/>
                <w:bCs/>
                <w:color w:val="FFFFFF"/>
                <w:sz w:val="18"/>
                <w:szCs w:val="18"/>
              </w:rPr>
              <w:t xml:space="preserve">Beginning (1)</w:t>
            </w:r>
          </w:p>
        </w:tc>
      </w:tr>
      <w:tr>
        <w:tc>
          <w:tcPr>
            <w:tcW w:type="dxa" w:w="1500"/>
            <w:shd w:fill="FFFFFF" w:val="clear"/>
            <w:tcMar>
              <w:top w:type="dxa" w:w="70"/>
              <w:left w:type="dxa" w:w="90"/>
              <w:bottom w:type="dxa" w:w="70"/>
              <w:right w:type="dxa" w:w="90"/>
            </w:tcMar>
            <w:vAlign w:val="center"/>
          </w:tcPr>
          <w:p>
            <w:pPr>
              <w:jc w:val="left"/>
            </w:pPr>
            <w:r>
              <w:rPr>
                <w:rFonts w:ascii="Calibri" w:cs="Calibri" w:eastAsia="Calibri" w:hAnsi="Calibri"/>
                <w:b/>
                <w:bCs/>
                <w:color w:val="1a3c6e"/>
                <w:sz w:val="17"/>
                <w:szCs w:val="17"/>
              </w:rPr>
              <w:t xml:space="preserve">Understanding of Concepts</w:t>
            </w:r>
          </w:p>
        </w:tc>
        <w:tc>
          <w:tcPr>
            <w:tcW w:type="dxa" w:w="900"/>
            <w:shd w:fill="FFFFFF" w:val="clear"/>
            <w:tcMar>
              <w:top w:type="dxa" w:w="70"/>
              <w:left w:type="dxa" w:w="90"/>
              <w:bottom w:type="dxa" w:w="70"/>
              <w:right w:type="dxa" w:w="90"/>
            </w:tcMar>
            <w:vAlign w:val="center"/>
          </w:tcPr>
          <w:p>
            <w:pPr>
              <w:jc w:val="center"/>
            </w:pPr>
            <w:r>
              <w:rPr>
                <w:rFonts w:ascii="Calibri" w:cs="Calibri" w:eastAsia="Calibri" w:hAnsi="Calibri"/>
                <w:b w:val="false"/>
                <w:bCs w:val="false"/>
                <w:color w:val="1a1a1a"/>
                <w:sz w:val="17"/>
                <w:szCs w:val="17"/>
              </w:rPr>
              <w:t xml:space="preserve">15%</w:t>
            </w:r>
          </w:p>
        </w:tc>
        <w:tc>
          <w:tcPr>
            <w:tcW w:type="dxa" w:w="1500"/>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Demonstrates complete and in-depth understanding of all concepts being compared</w:t>
            </w:r>
          </w:p>
        </w:tc>
        <w:tc>
          <w:tcPr>
            <w:tcW w:type="dxa" w:w="1500"/>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Good understanding with minor gaps</w:t>
            </w:r>
          </w:p>
        </w:tc>
        <w:tc>
          <w:tcPr>
            <w:tcW w:type="dxa" w:w="1500"/>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Basic understanding; some concepts unclear</w:t>
            </w:r>
          </w:p>
        </w:tc>
        <w:tc>
          <w:tcPr>
            <w:tcW w:type="dxa" w:w="1500"/>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Poor understanding of concepts</w:t>
            </w:r>
          </w:p>
        </w:tc>
      </w:tr>
      <w:tr>
        <w:tc>
          <w:tcPr>
            <w:tcW w:type="dxa" w:w="1500"/>
            <w:shd w:fill="eef2f7" w:val="clear"/>
            <w:tcMar>
              <w:top w:type="dxa" w:w="70"/>
              <w:left w:type="dxa" w:w="90"/>
              <w:bottom w:type="dxa" w:w="70"/>
              <w:right w:type="dxa" w:w="90"/>
            </w:tcMar>
            <w:vAlign w:val="center"/>
          </w:tcPr>
          <w:p>
            <w:pPr>
              <w:jc w:val="left"/>
            </w:pPr>
            <w:r>
              <w:rPr>
                <w:rFonts w:ascii="Calibri" w:cs="Calibri" w:eastAsia="Calibri" w:hAnsi="Calibri"/>
                <w:b/>
                <w:bCs/>
                <w:color w:val="1a3c6e"/>
                <w:sz w:val="17"/>
                <w:szCs w:val="17"/>
              </w:rPr>
              <w:t xml:space="preserve">Comparison Depth</w:t>
            </w:r>
          </w:p>
        </w:tc>
        <w:tc>
          <w:tcPr>
            <w:tcW w:type="dxa" w:w="900"/>
            <w:shd w:fill="eef2f7" w:val="clear"/>
            <w:tcMar>
              <w:top w:type="dxa" w:w="70"/>
              <w:left w:type="dxa" w:w="90"/>
              <w:bottom w:type="dxa" w:w="70"/>
              <w:right w:type="dxa" w:w="90"/>
            </w:tcMar>
            <w:vAlign w:val="center"/>
          </w:tcPr>
          <w:p>
            <w:pPr>
              <w:jc w:val="center"/>
            </w:pPr>
            <w:r>
              <w:rPr>
                <w:rFonts w:ascii="Calibri" w:cs="Calibri" w:eastAsia="Calibri" w:hAnsi="Calibri"/>
                <w:b w:val="false"/>
                <w:bCs w:val="false"/>
                <w:color w:val="1a1a1a"/>
                <w:sz w:val="17"/>
                <w:szCs w:val="17"/>
              </w:rPr>
              <w:t xml:space="preserve">20%</w:t>
            </w:r>
          </w:p>
        </w:tc>
        <w:tc>
          <w:tcPr>
            <w:tcW w:type="dxa" w:w="1500"/>
            <w:shd w:fill="eef2f7"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Provides detailed, insightful, and meaningful comparisons across multiple aspects</w:t>
            </w:r>
          </w:p>
        </w:tc>
        <w:tc>
          <w:tcPr>
            <w:tcW w:type="dxa" w:w="1500"/>
            <w:shd w:fill="eef2f7"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Adequate comparison with relevant points</w:t>
            </w:r>
          </w:p>
        </w:tc>
        <w:tc>
          <w:tcPr>
            <w:tcW w:type="dxa" w:w="1500"/>
            <w:shd w:fill="eef2f7"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Limited comparison; lacks depth</w:t>
            </w:r>
          </w:p>
        </w:tc>
        <w:tc>
          <w:tcPr>
            <w:tcW w:type="dxa" w:w="1500"/>
            <w:shd w:fill="eef2f7"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Minimal or incorrect comparison</w:t>
            </w:r>
          </w:p>
        </w:tc>
      </w:tr>
      <w:tr>
        <w:tc>
          <w:tcPr>
            <w:tcW w:type="dxa" w:w="1500"/>
            <w:shd w:fill="FFFFFF" w:val="clear"/>
            <w:tcMar>
              <w:top w:type="dxa" w:w="70"/>
              <w:left w:type="dxa" w:w="90"/>
              <w:bottom w:type="dxa" w:w="70"/>
              <w:right w:type="dxa" w:w="90"/>
            </w:tcMar>
            <w:vAlign w:val="center"/>
          </w:tcPr>
          <w:p>
            <w:pPr>
              <w:jc w:val="left"/>
            </w:pPr>
            <w:r>
              <w:rPr>
                <w:rFonts w:ascii="Calibri" w:cs="Calibri" w:eastAsia="Calibri" w:hAnsi="Calibri"/>
                <w:b/>
                <w:bCs/>
                <w:color w:val="1a3c6e"/>
                <w:sz w:val="17"/>
                <w:szCs w:val="17"/>
              </w:rPr>
              <w:t xml:space="preserve">Criteria Selection</w:t>
            </w:r>
          </w:p>
        </w:tc>
        <w:tc>
          <w:tcPr>
            <w:tcW w:type="dxa" w:w="900"/>
            <w:shd w:fill="FFFFFF" w:val="clear"/>
            <w:tcMar>
              <w:top w:type="dxa" w:w="70"/>
              <w:left w:type="dxa" w:w="90"/>
              <w:bottom w:type="dxa" w:w="70"/>
              <w:right w:type="dxa" w:w="90"/>
            </w:tcMar>
            <w:vAlign w:val="center"/>
          </w:tcPr>
          <w:p>
            <w:pPr>
              <w:jc w:val="center"/>
            </w:pPr>
            <w:r>
              <w:rPr>
                <w:rFonts w:ascii="Calibri" w:cs="Calibri" w:eastAsia="Calibri" w:hAnsi="Calibri"/>
                <w:b w:val="false"/>
                <w:bCs w:val="false"/>
                <w:color w:val="1a1a1a"/>
                <w:sz w:val="17"/>
                <w:szCs w:val="17"/>
              </w:rPr>
              <w:t xml:space="preserve">10%</w:t>
            </w:r>
          </w:p>
        </w:tc>
        <w:tc>
          <w:tcPr>
            <w:tcW w:type="dxa" w:w="1500"/>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Selects highly relevant and appropriate comparison parameters</w:t>
            </w:r>
          </w:p>
        </w:tc>
        <w:tc>
          <w:tcPr>
            <w:tcW w:type="dxa" w:w="1500"/>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Mostly relevant criteria</w:t>
            </w:r>
          </w:p>
        </w:tc>
        <w:tc>
          <w:tcPr>
            <w:tcW w:type="dxa" w:w="1500"/>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Some irrelevant or missing criteria</w:t>
            </w:r>
          </w:p>
        </w:tc>
        <w:tc>
          <w:tcPr>
            <w:tcW w:type="dxa" w:w="1500"/>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Poor or no criteria selection</w:t>
            </w:r>
          </w:p>
        </w:tc>
      </w:tr>
      <w:tr>
        <w:tc>
          <w:tcPr>
            <w:tcW w:type="dxa" w:w="1500"/>
            <w:shd w:fill="eef2f7" w:val="clear"/>
            <w:tcMar>
              <w:top w:type="dxa" w:w="70"/>
              <w:left w:type="dxa" w:w="90"/>
              <w:bottom w:type="dxa" w:w="70"/>
              <w:right w:type="dxa" w:w="90"/>
            </w:tcMar>
            <w:vAlign w:val="center"/>
          </w:tcPr>
          <w:p>
            <w:pPr>
              <w:jc w:val="left"/>
            </w:pPr>
            <w:r>
              <w:rPr>
                <w:rFonts w:ascii="Calibri" w:cs="Calibri" w:eastAsia="Calibri" w:hAnsi="Calibri"/>
                <w:b/>
                <w:bCs/>
                <w:color w:val="1a3c6e"/>
                <w:sz w:val="17"/>
                <w:szCs w:val="17"/>
              </w:rPr>
              <w:t xml:space="preserve">Analytical Skills</w:t>
            </w:r>
          </w:p>
        </w:tc>
        <w:tc>
          <w:tcPr>
            <w:tcW w:type="dxa" w:w="900"/>
            <w:shd w:fill="eef2f7" w:val="clear"/>
            <w:tcMar>
              <w:top w:type="dxa" w:w="70"/>
              <w:left w:type="dxa" w:w="90"/>
              <w:bottom w:type="dxa" w:w="70"/>
              <w:right w:type="dxa" w:w="90"/>
            </w:tcMar>
            <w:vAlign w:val="center"/>
          </w:tcPr>
          <w:p>
            <w:pPr>
              <w:jc w:val="center"/>
            </w:pPr>
            <w:r>
              <w:rPr>
                <w:rFonts w:ascii="Calibri" w:cs="Calibri" w:eastAsia="Calibri" w:hAnsi="Calibri"/>
                <w:b w:val="false"/>
                <w:bCs w:val="false"/>
                <w:color w:val="1a1a1a"/>
                <w:sz w:val="17"/>
                <w:szCs w:val="17"/>
              </w:rPr>
              <w:t xml:space="preserve">15%</w:t>
            </w:r>
          </w:p>
        </w:tc>
        <w:tc>
          <w:tcPr>
            <w:tcW w:type="dxa" w:w="1500"/>
            <w:shd w:fill="eef2f7"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Strong analysis with logical reasoning and clear justification</w:t>
            </w:r>
          </w:p>
        </w:tc>
        <w:tc>
          <w:tcPr>
            <w:tcW w:type="dxa" w:w="1500"/>
            <w:shd w:fill="eef2f7"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Good analysis with some justification</w:t>
            </w:r>
          </w:p>
        </w:tc>
        <w:tc>
          <w:tcPr>
            <w:tcW w:type="dxa" w:w="1500"/>
            <w:shd w:fill="eef2f7"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Basic analysis with weak reasoning</w:t>
            </w:r>
          </w:p>
        </w:tc>
        <w:tc>
          <w:tcPr>
            <w:tcW w:type="dxa" w:w="1500"/>
            <w:shd w:fill="eef2f7"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No clear analysis</w:t>
            </w:r>
          </w:p>
        </w:tc>
      </w:tr>
      <w:tr>
        <w:tc>
          <w:tcPr>
            <w:tcW w:type="dxa" w:w="1500"/>
            <w:shd w:fill="FFFFFF" w:val="clear"/>
            <w:tcMar>
              <w:top w:type="dxa" w:w="70"/>
              <w:left w:type="dxa" w:w="90"/>
              <w:bottom w:type="dxa" w:w="70"/>
              <w:right w:type="dxa" w:w="90"/>
            </w:tcMar>
            <w:vAlign w:val="center"/>
          </w:tcPr>
          <w:p>
            <w:pPr>
              <w:jc w:val="left"/>
            </w:pPr>
            <w:r>
              <w:rPr>
                <w:rFonts w:ascii="Calibri" w:cs="Calibri" w:eastAsia="Calibri" w:hAnsi="Calibri"/>
                <w:b/>
                <w:bCs/>
                <w:color w:val="1a3c6e"/>
                <w:sz w:val="17"/>
                <w:szCs w:val="17"/>
              </w:rPr>
              <w:t xml:space="preserve">Organization &amp; Structure</w:t>
            </w:r>
          </w:p>
        </w:tc>
        <w:tc>
          <w:tcPr>
            <w:tcW w:type="dxa" w:w="900"/>
            <w:shd w:fill="FFFFFF" w:val="clear"/>
            <w:tcMar>
              <w:top w:type="dxa" w:w="70"/>
              <w:left w:type="dxa" w:w="90"/>
              <w:bottom w:type="dxa" w:w="70"/>
              <w:right w:type="dxa" w:w="90"/>
            </w:tcMar>
            <w:vAlign w:val="center"/>
          </w:tcPr>
          <w:p>
            <w:pPr>
              <w:jc w:val="center"/>
            </w:pPr>
            <w:r>
              <w:rPr>
                <w:rFonts w:ascii="Calibri" w:cs="Calibri" w:eastAsia="Calibri" w:hAnsi="Calibri"/>
                <w:b w:val="false"/>
                <w:bCs w:val="false"/>
                <w:color w:val="1a1a1a"/>
                <w:sz w:val="17"/>
                <w:szCs w:val="17"/>
              </w:rPr>
              <w:t xml:space="preserve">10%</w:t>
            </w:r>
          </w:p>
        </w:tc>
        <w:tc>
          <w:tcPr>
            <w:tcW w:type="dxa" w:w="1500"/>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Well-organized, clear, and logically structured</w:t>
            </w:r>
          </w:p>
        </w:tc>
        <w:tc>
          <w:tcPr>
            <w:tcW w:type="dxa" w:w="1500"/>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Generally organized</w:t>
            </w:r>
          </w:p>
        </w:tc>
        <w:tc>
          <w:tcPr>
            <w:tcW w:type="dxa" w:w="1500"/>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Somewhat disorganized</w:t>
            </w:r>
          </w:p>
        </w:tc>
        <w:tc>
          <w:tcPr>
            <w:tcW w:type="dxa" w:w="1500"/>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Poorly structured</w:t>
            </w:r>
          </w:p>
        </w:tc>
      </w:tr>
      <w:tr>
        <w:tc>
          <w:tcPr>
            <w:tcW w:type="dxa" w:w="1500"/>
            <w:shd w:fill="eef2f7" w:val="clear"/>
            <w:tcMar>
              <w:top w:type="dxa" w:w="70"/>
              <w:left w:type="dxa" w:w="90"/>
              <w:bottom w:type="dxa" w:w="70"/>
              <w:right w:type="dxa" w:w="90"/>
            </w:tcMar>
            <w:vAlign w:val="center"/>
          </w:tcPr>
          <w:p>
            <w:pPr>
              <w:jc w:val="left"/>
            </w:pPr>
            <w:r>
              <w:rPr>
                <w:rFonts w:ascii="Calibri" w:cs="Calibri" w:eastAsia="Calibri" w:hAnsi="Calibri"/>
                <w:b/>
                <w:bCs/>
                <w:color w:val="1a3c6e"/>
                <w:sz w:val="17"/>
                <w:szCs w:val="17"/>
              </w:rPr>
              <w:t xml:space="preserve">Use of Examples / Evidence</w:t>
            </w:r>
          </w:p>
        </w:tc>
        <w:tc>
          <w:tcPr>
            <w:tcW w:type="dxa" w:w="900"/>
            <w:shd w:fill="eef2f7" w:val="clear"/>
            <w:tcMar>
              <w:top w:type="dxa" w:w="70"/>
              <w:left w:type="dxa" w:w="90"/>
              <w:bottom w:type="dxa" w:w="70"/>
              <w:right w:type="dxa" w:w="90"/>
            </w:tcMar>
            <w:vAlign w:val="center"/>
          </w:tcPr>
          <w:p>
            <w:pPr>
              <w:jc w:val="center"/>
            </w:pPr>
            <w:r>
              <w:rPr>
                <w:rFonts w:ascii="Calibri" w:cs="Calibri" w:eastAsia="Calibri" w:hAnsi="Calibri"/>
                <w:b w:val="false"/>
                <w:bCs w:val="false"/>
                <w:color w:val="1a1a1a"/>
                <w:sz w:val="17"/>
                <w:szCs w:val="17"/>
              </w:rPr>
              <w:t xml:space="preserve">10%</w:t>
            </w:r>
          </w:p>
        </w:tc>
        <w:tc>
          <w:tcPr>
            <w:tcW w:type="dxa" w:w="1500"/>
            <w:shd w:fill="eef2f7"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Uses strong, relevant examples or data to support comparison</w:t>
            </w:r>
          </w:p>
        </w:tc>
        <w:tc>
          <w:tcPr>
            <w:tcW w:type="dxa" w:w="1500"/>
            <w:shd w:fill="eef2f7"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Uses some examples</w:t>
            </w:r>
          </w:p>
        </w:tc>
        <w:tc>
          <w:tcPr>
            <w:tcW w:type="dxa" w:w="1500"/>
            <w:shd w:fill="eef2f7"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Limited examples</w:t>
            </w:r>
          </w:p>
        </w:tc>
        <w:tc>
          <w:tcPr>
            <w:tcW w:type="dxa" w:w="1500"/>
            <w:shd w:fill="eef2f7"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No supporting examples</w:t>
            </w:r>
          </w:p>
        </w:tc>
      </w:tr>
      <w:tr>
        <w:tc>
          <w:tcPr>
            <w:tcW w:type="dxa" w:w="1500"/>
            <w:shd w:fill="FFFFFF" w:val="clear"/>
            <w:tcMar>
              <w:top w:type="dxa" w:w="70"/>
              <w:left w:type="dxa" w:w="90"/>
              <w:bottom w:type="dxa" w:w="70"/>
              <w:right w:type="dxa" w:w="90"/>
            </w:tcMar>
            <w:vAlign w:val="center"/>
          </w:tcPr>
          <w:p>
            <w:pPr>
              <w:jc w:val="left"/>
            </w:pPr>
            <w:r>
              <w:rPr>
                <w:rFonts w:ascii="Calibri" w:cs="Calibri" w:eastAsia="Calibri" w:hAnsi="Calibri"/>
                <w:b/>
                <w:bCs/>
                <w:color w:val="1a3c6e"/>
                <w:sz w:val="17"/>
                <w:szCs w:val="17"/>
              </w:rPr>
              <w:t xml:space="preserve">Clarity of Presentation</w:t>
            </w:r>
          </w:p>
        </w:tc>
        <w:tc>
          <w:tcPr>
            <w:tcW w:type="dxa" w:w="900"/>
            <w:shd w:fill="FFFFFF" w:val="clear"/>
            <w:tcMar>
              <w:top w:type="dxa" w:w="70"/>
              <w:left w:type="dxa" w:w="90"/>
              <w:bottom w:type="dxa" w:w="70"/>
              <w:right w:type="dxa" w:w="90"/>
            </w:tcMar>
            <w:vAlign w:val="center"/>
          </w:tcPr>
          <w:p>
            <w:pPr>
              <w:jc w:val="center"/>
            </w:pPr>
            <w:r>
              <w:rPr>
                <w:rFonts w:ascii="Calibri" w:cs="Calibri" w:eastAsia="Calibri" w:hAnsi="Calibri"/>
                <w:b w:val="false"/>
                <w:bCs w:val="false"/>
                <w:color w:val="1a1a1a"/>
                <w:sz w:val="17"/>
                <w:szCs w:val="17"/>
              </w:rPr>
              <w:t xml:space="preserve">10%</w:t>
            </w:r>
          </w:p>
        </w:tc>
        <w:tc>
          <w:tcPr>
            <w:tcW w:type="dxa" w:w="1500"/>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Very clear, concise, and easy to understand</w:t>
            </w:r>
          </w:p>
        </w:tc>
        <w:tc>
          <w:tcPr>
            <w:tcW w:type="dxa" w:w="1500"/>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Mostly clear</w:t>
            </w:r>
          </w:p>
        </w:tc>
        <w:tc>
          <w:tcPr>
            <w:tcW w:type="dxa" w:w="1500"/>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Somewhat unclear</w:t>
            </w:r>
          </w:p>
        </w:tc>
        <w:tc>
          <w:tcPr>
            <w:tcW w:type="dxa" w:w="1500"/>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Difficult to understand</w:t>
            </w:r>
          </w:p>
        </w:tc>
      </w:tr>
      <w:tr>
        <w:tc>
          <w:tcPr>
            <w:tcW w:type="dxa" w:w="1500"/>
            <w:shd w:fill="eef2f7" w:val="clear"/>
            <w:tcMar>
              <w:top w:type="dxa" w:w="70"/>
              <w:left w:type="dxa" w:w="90"/>
              <w:bottom w:type="dxa" w:w="70"/>
              <w:right w:type="dxa" w:w="90"/>
            </w:tcMar>
            <w:vAlign w:val="center"/>
          </w:tcPr>
          <w:p>
            <w:pPr>
              <w:jc w:val="left"/>
            </w:pPr>
            <w:r>
              <w:rPr>
                <w:rFonts w:ascii="Calibri" w:cs="Calibri" w:eastAsia="Calibri" w:hAnsi="Calibri"/>
                <w:b/>
                <w:bCs/>
                <w:color w:val="1a3c6e"/>
                <w:sz w:val="17"/>
                <w:szCs w:val="17"/>
              </w:rPr>
              <w:t xml:space="preserve">Conclusion &amp; Insights</w:t>
            </w:r>
          </w:p>
        </w:tc>
        <w:tc>
          <w:tcPr>
            <w:tcW w:type="dxa" w:w="900"/>
            <w:shd w:fill="eef2f7" w:val="clear"/>
            <w:tcMar>
              <w:top w:type="dxa" w:w="70"/>
              <w:left w:type="dxa" w:w="90"/>
              <w:bottom w:type="dxa" w:w="70"/>
              <w:right w:type="dxa" w:w="90"/>
            </w:tcMar>
            <w:vAlign w:val="center"/>
          </w:tcPr>
          <w:p>
            <w:pPr>
              <w:jc w:val="center"/>
            </w:pPr>
            <w:r>
              <w:rPr>
                <w:rFonts w:ascii="Calibri" w:cs="Calibri" w:eastAsia="Calibri" w:hAnsi="Calibri"/>
                <w:b w:val="false"/>
                <w:bCs w:val="false"/>
                <w:color w:val="1a1a1a"/>
                <w:sz w:val="17"/>
                <w:szCs w:val="17"/>
              </w:rPr>
              <w:t xml:space="preserve">10%</w:t>
            </w:r>
          </w:p>
        </w:tc>
        <w:tc>
          <w:tcPr>
            <w:tcW w:type="dxa" w:w="1500"/>
            <w:shd w:fill="eef2f7"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Insightful conclusion with strong justification</w:t>
            </w:r>
          </w:p>
        </w:tc>
        <w:tc>
          <w:tcPr>
            <w:tcW w:type="dxa" w:w="1500"/>
            <w:shd w:fill="eef2f7"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Clear conclusion</w:t>
            </w:r>
          </w:p>
        </w:tc>
        <w:tc>
          <w:tcPr>
            <w:tcW w:type="dxa" w:w="1500"/>
            <w:shd w:fill="eef2f7"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Basic conclusion</w:t>
            </w:r>
          </w:p>
        </w:tc>
        <w:tc>
          <w:tcPr>
            <w:tcW w:type="dxa" w:w="1500"/>
            <w:shd w:fill="eef2f7"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No or weak conclusion</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6"/>
        <w:szCs w:val="16"/>
      </w:rPr>
      <w:t xml:space="preserve">Page </w:t>
    </w:r>
    <w:r>
      <w:rPr>
        <w:rFonts w:ascii="Calibri" w:cs="Calibri" w:eastAsia="Calibri" w:hAnsi="Calibri"/>
        <w:color w:val="555555"/>
        <w:sz w:val="16"/>
        <w:szCs w:val="16"/>
      </w:rPr>
      <w:fldChar w:fldCharType="begin"/>
      <w:instrText xml:space="preserve">PAGE</w:instrText>
      <w:fldChar w:fldCharType="separate"/>
      <w:fldChar w:fldCharType="end"/>
    </w:r>
    <w:r>
      <w:rPr>
        <w:rFonts w:ascii="Calibri" w:cs="Calibri" w:eastAsia="Calibri" w:hAnsi="Calibri"/>
        <w:color w:val="555555"/>
        <w:sz w:val="16"/>
        <w:szCs w:val="16"/>
      </w:rPr>
      <w:t xml:space="preserve"> of </w:t>
    </w:r>
    <w:r>
      <w:rPr>
        <w:rFonts w:ascii="Calibri" w:cs="Calibri" w:eastAsia="Calibri" w:hAnsi="Calibri"/>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color w:val="555555"/>
        <w:sz w:val="16"/>
        <w:szCs w:val="16"/>
      </w:rPr>
      <w:t xml:space="preserve">CSA07 — Computer Networks | Assessment Tool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149f3eb25601478d48c9e6a8bcb0f8f1c3a9901.png"/><Relationship Id="rId10" Type="http://schemas.openxmlformats.org/officeDocument/2006/relationships/image" Target="media/6f66b851d4cc928dc1dd02fd31fa4d5fcff8aaa8.png"/><Relationship Id="rId11" Type="http://schemas.openxmlformats.org/officeDocument/2006/relationships/image" Target="media/eddc70f362341dfbe7f9f406d5fb8d960bd35e7a.png"/><Relationship Id="rId12" Type="http://schemas.openxmlformats.org/officeDocument/2006/relationships/image" Target="media/e8e56192e3062afd7946448b412ee30f2adcf7d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2026-08-21T09:13:38.544Z</dcterms:created>
  <dcterms:modified xsi:type="dcterms:W3CDTF">2026-08-21T09:13:38.544Z</dcterms:modified>
</cp:coreProperties>
</file>

<file path=docProps/custom.xml><?xml version="1.0" encoding="utf-8"?>
<Properties xmlns="http://schemas.openxmlformats.org/officeDocument/2006/custom-properties" xmlns:vt="http://schemas.openxmlformats.org/officeDocument/2006/docPropsVTypes"/>
</file>