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DC79A">
      <w:pPr>
        <w:spacing w:after="100"/>
        <w:jc w:val="center"/>
      </w:pPr>
      <w:r>
        <w:rPr>
          <w:b/>
          <w:bCs/>
          <w:color w:val="000000"/>
          <w:sz w:val="32"/>
          <w:szCs w:val="32"/>
        </w:rPr>
        <w:t>CODE REVIEW &amp; REPOSITORY EVALUATION REPORT</w:t>
      </w:r>
    </w:p>
    <w:p w14:paraId="01E5F66E">
      <w:pPr>
        <w:spacing w:after="300"/>
        <w:jc w:val="center"/>
      </w:pPr>
      <w:r>
        <w:rPr>
          <w:color w:val="000000"/>
          <w:sz w:val="22"/>
          <w:szCs w:val="22"/>
        </w:rPr>
        <w:t>Assessment Tool 2 — CSA10 / CSA1063 Software Engineering</w:t>
      </w:r>
    </w:p>
    <w:p w14:paraId="631DDA07"/>
    <w:p w14:paraId="5E18E81D">
      <w:pPr>
        <w:pStyle w:val="2"/>
        <w:spacing w:before="300" w:after="150"/>
        <w:jc w:val="both"/>
      </w:pPr>
      <w:bookmarkStart w:id="0" w:name="_GoBack"/>
      <w:r>
        <w:rPr>
          <w:b/>
          <w:bCs/>
          <w:color w:val="000000"/>
          <w:sz w:val="28"/>
          <w:szCs w:val="28"/>
        </w:rPr>
        <w:t>1. Problem Overview</w:t>
      </w:r>
    </w:p>
    <w:p w14:paraId="1C104B46">
      <w:pPr>
        <w:pStyle w:val="3"/>
        <w:spacing w:before="220" w:after="120"/>
        <w:jc w:val="both"/>
      </w:pPr>
      <w:r>
        <w:rPr>
          <w:b/>
          <w:bCs/>
          <w:color w:val="000000"/>
          <w:sz w:val="24"/>
          <w:szCs w:val="24"/>
        </w:rPr>
        <w:t>1.1 Problem Statement</w:t>
      </w:r>
    </w:p>
    <w:p w14:paraId="098B802A">
      <w:pPr>
        <w:spacing w:after="140"/>
        <w:jc w:val="both"/>
      </w:pPr>
      <w:r>
        <w:rPr>
          <w:b w:val="0"/>
          <w:bCs w:val="0"/>
          <w:i w:val="0"/>
          <w:iCs w:val="0"/>
          <w:color w:val="000000"/>
          <w:sz w:val="22"/>
          <w:szCs w:val="22"/>
        </w:rPr>
        <w:t>The assigned problem statement required the design and development of a full-stack Library Management System (LMS) that allows library staff and members to manage the lifecycle of book records, member registrations, and book issue/return transactions through a web-based interface. The solution needed to demonstrate containerized deployment, structured version control practices, and collaborative development workflows in line with CO3.</w:t>
      </w:r>
    </w:p>
    <w:p w14:paraId="5780308C">
      <w:pPr>
        <w:pStyle w:val="3"/>
        <w:spacing w:before="220" w:after="120"/>
        <w:jc w:val="both"/>
      </w:pPr>
      <w:r>
        <w:rPr>
          <w:b/>
          <w:bCs/>
          <w:color w:val="000000"/>
          <w:sz w:val="24"/>
          <w:szCs w:val="24"/>
        </w:rPr>
        <w:t>1.2 Summary of Implemented Solution</w:t>
      </w:r>
    </w:p>
    <w:p w14:paraId="7B48AEC6">
      <w:pPr>
        <w:spacing w:after="140"/>
        <w:jc w:val="both"/>
      </w:pPr>
      <w:r>
        <w:rPr>
          <w:b w:val="0"/>
          <w:bCs w:val="0"/>
          <w:i w:val="0"/>
          <w:iCs w:val="0"/>
          <w:color w:val="000000"/>
          <w:sz w:val="22"/>
          <w:szCs w:val="22"/>
        </w:rPr>
        <w:t>The implemented solution is a three-tier web application consisting of a React.js frontend, a Node.js/Express.js REST API backend, and a MongoDB database. The application supports book catalog management, member registration and authentication, book issue and return tracking, fine calculation for overdue returns, and an administrative dashboard for reporting. The backend and database services are containerized using Docker and orchestrated with Docker Compose, allowing the entire stack to be brought up with a single command in any development or deployment environment.</w:t>
      </w:r>
    </w:p>
    <w:p w14:paraId="6397532F">
      <w:pPr>
        <w:pStyle w:val="3"/>
        <w:spacing w:before="220" w:after="120"/>
        <w:jc w:val="both"/>
      </w:pPr>
      <w:r>
        <w:rPr>
          <w:b/>
          <w:bCs/>
          <w:color w:val="000000"/>
          <w:sz w:val="24"/>
          <w:szCs w:val="24"/>
        </w:rPr>
        <w:t>1.3 Project Objectives</w:t>
      </w:r>
    </w:p>
    <w:p w14:paraId="75D13F87">
      <w:pPr>
        <w:pStyle w:val="16"/>
        <w:numPr>
          <w:ilvl w:val="0"/>
          <w:numId w:val="1"/>
        </w:numPr>
        <w:spacing w:after="80"/>
        <w:jc w:val="both"/>
      </w:pPr>
      <w:r>
        <w:rPr>
          <w:color w:val="000000"/>
          <w:sz w:val="22"/>
          <w:szCs w:val="22"/>
        </w:rPr>
        <w:t>Provide a centralized, web-accessible system to manage library inventory and member records.</w:t>
      </w:r>
    </w:p>
    <w:p w14:paraId="6E01F463">
      <w:pPr>
        <w:pStyle w:val="16"/>
        <w:numPr>
          <w:ilvl w:val="0"/>
          <w:numId w:val="1"/>
        </w:numPr>
        <w:spacing w:after="80"/>
        <w:jc w:val="both"/>
      </w:pPr>
      <w:r>
        <w:rPr>
          <w:color w:val="000000"/>
          <w:sz w:val="22"/>
          <w:szCs w:val="22"/>
        </w:rPr>
        <w:t>Enable role-based access for administrators and members (issue/return vs. browse/search).</w:t>
      </w:r>
    </w:p>
    <w:p w14:paraId="575D9DF9">
      <w:pPr>
        <w:pStyle w:val="16"/>
        <w:numPr>
          <w:ilvl w:val="0"/>
          <w:numId w:val="1"/>
        </w:numPr>
        <w:spacing w:after="80"/>
        <w:jc w:val="both"/>
      </w:pPr>
      <w:r>
        <w:rPr>
          <w:color w:val="000000"/>
          <w:sz w:val="22"/>
          <w:szCs w:val="22"/>
        </w:rPr>
        <w:t>Automate fine calculation and due-date tracking for issued books.</w:t>
      </w:r>
    </w:p>
    <w:p w14:paraId="53692710">
      <w:pPr>
        <w:pStyle w:val="16"/>
        <w:numPr>
          <w:ilvl w:val="0"/>
          <w:numId w:val="1"/>
        </w:numPr>
        <w:spacing w:after="80"/>
        <w:jc w:val="both"/>
      </w:pPr>
      <w:r>
        <w:rPr>
          <w:color w:val="000000"/>
          <w:sz w:val="22"/>
          <w:szCs w:val="22"/>
        </w:rPr>
        <w:t>Containerize the application for consistent deployment across environments.</w:t>
      </w:r>
    </w:p>
    <w:p w14:paraId="687247DD">
      <w:pPr>
        <w:pStyle w:val="16"/>
        <w:numPr>
          <w:ilvl w:val="0"/>
          <w:numId w:val="1"/>
        </w:numPr>
        <w:spacing w:after="80"/>
        <w:jc w:val="both"/>
      </w:pPr>
      <w:r>
        <w:rPr>
          <w:color w:val="000000"/>
          <w:sz w:val="22"/>
          <w:szCs w:val="22"/>
        </w:rPr>
        <w:t>Maintain a clean, well-documented Git history to support collaborative development.</w:t>
      </w:r>
    </w:p>
    <w:p w14:paraId="36358337">
      <w:pPr>
        <w:pStyle w:val="3"/>
        <w:spacing w:before="220" w:after="120"/>
        <w:jc w:val="both"/>
      </w:pPr>
      <w:r>
        <w:rPr>
          <w:b/>
          <w:bCs/>
          <w:color w:val="000000"/>
          <w:sz w:val="24"/>
          <w:szCs w:val="24"/>
        </w:rPr>
        <w:t>1.4 Key Functionalities</w:t>
      </w:r>
    </w:p>
    <w:p w14:paraId="49BA801F">
      <w:pPr>
        <w:pStyle w:val="16"/>
        <w:numPr>
          <w:ilvl w:val="0"/>
          <w:numId w:val="1"/>
        </w:numPr>
        <w:spacing w:after="80"/>
        <w:jc w:val="both"/>
      </w:pPr>
      <w:r>
        <w:rPr>
          <w:color w:val="000000"/>
          <w:sz w:val="22"/>
          <w:szCs w:val="22"/>
        </w:rPr>
        <w:t>User authentication and authorization (JWT-based) for Admin and Member roles.</w:t>
      </w:r>
    </w:p>
    <w:p w14:paraId="3AD7B2B8">
      <w:pPr>
        <w:pStyle w:val="16"/>
        <w:numPr>
          <w:ilvl w:val="0"/>
          <w:numId w:val="1"/>
        </w:numPr>
        <w:spacing w:after="80"/>
        <w:jc w:val="both"/>
      </w:pPr>
      <w:r>
        <w:rPr>
          <w:color w:val="000000"/>
          <w:sz w:val="22"/>
          <w:szCs w:val="22"/>
        </w:rPr>
        <w:t>CRUD operations for books, categories, and member records.</w:t>
      </w:r>
    </w:p>
    <w:p w14:paraId="1A7E7AD8">
      <w:pPr>
        <w:pStyle w:val="16"/>
        <w:numPr>
          <w:ilvl w:val="0"/>
          <w:numId w:val="1"/>
        </w:numPr>
        <w:spacing w:after="80"/>
        <w:jc w:val="both"/>
      </w:pPr>
      <w:r>
        <w:rPr>
          <w:color w:val="000000"/>
          <w:sz w:val="22"/>
          <w:szCs w:val="22"/>
        </w:rPr>
        <w:t>Book issue/return workflow with automatic due-date and fine computation.</w:t>
      </w:r>
    </w:p>
    <w:p w14:paraId="3CF00932">
      <w:pPr>
        <w:pStyle w:val="16"/>
        <w:numPr>
          <w:ilvl w:val="0"/>
          <w:numId w:val="1"/>
        </w:numPr>
        <w:spacing w:after="80"/>
        <w:jc w:val="both"/>
      </w:pPr>
      <w:r>
        <w:rPr>
          <w:color w:val="000000"/>
          <w:sz w:val="22"/>
          <w:szCs w:val="22"/>
        </w:rPr>
        <w:t>Search and filter functionality across the book catalog.</w:t>
      </w:r>
    </w:p>
    <w:p w14:paraId="2095F243">
      <w:pPr>
        <w:pStyle w:val="16"/>
        <w:numPr>
          <w:ilvl w:val="0"/>
          <w:numId w:val="1"/>
        </w:numPr>
        <w:spacing w:after="80"/>
        <w:jc w:val="both"/>
      </w:pPr>
      <w:r>
        <w:rPr>
          <w:color w:val="000000"/>
          <w:sz w:val="22"/>
          <w:szCs w:val="22"/>
        </w:rPr>
        <w:t>Admin dashboard with usage statistics and overdue-book reports.</w:t>
      </w:r>
    </w:p>
    <w:p w14:paraId="0802DA07">
      <w:pPr>
        <w:pStyle w:val="16"/>
        <w:numPr>
          <w:ilvl w:val="0"/>
          <w:numId w:val="1"/>
        </w:numPr>
        <w:spacing w:after="80"/>
        <w:jc w:val="both"/>
      </w:pPr>
      <w:r>
        <w:rPr>
          <w:color w:val="000000"/>
          <w:sz w:val="22"/>
          <w:szCs w:val="22"/>
        </w:rPr>
        <w:t>RESTful API layer consumed by the React frontend, with input validation on both client and server.</w:t>
      </w:r>
    </w:p>
    <w:p w14:paraId="36829A5C">
      <w:pPr>
        <w:pStyle w:val="2"/>
        <w:spacing w:before="300" w:after="150"/>
        <w:jc w:val="both"/>
        <w:rPr>
          <w:b/>
          <w:bCs/>
          <w:color w:val="000000"/>
          <w:sz w:val="28"/>
          <w:szCs w:val="28"/>
        </w:rPr>
      </w:pPr>
    </w:p>
    <w:p w14:paraId="2611A6BE">
      <w:pPr>
        <w:pStyle w:val="2"/>
        <w:spacing w:before="300" w:after="150"/>
        <w:jc w:val="both"/>
        <w:rPr>
          <w:b/>
          <w:bCs/>
          <w:color w:val="000000"/>
          <w:sz w:val="28"/>
          <w:szCs w:val="28"/>
        </w:rPr>
      </w:pPr>
    </w:p>
    <w:p w14:paraId="7E387810">
      <w:pPr>
        <w:pStyle w:val="2"/>
        <w:spacing w:before="300" w:after="150"/>
        <w:jc w:val="both"/>
        <w:rPr>
          <w:b/>
          <w:bCs/>
          <w:color w:val="000000"/>
          <w:sz w:val="28"/>
          <w:szCs w:val="28"/>
        </w:rPr>
      </w:pPr>
    </w:p>
    <w:p w14:paraId="3AEA2AC8">
      <w:pPr>
        <w:pStyle w:val="2"/>
        <w:spacing w:before="300" w:after="150"/>
        <w:jc w:val="both"/>
      </w:pPr>
      <w:r>
        <w:rPr>
          <w:b/>
          <w:bCs/>
          <w:color w:val="000000"/>
          <w:sz w:val="28"/>
          <w:szCs w:val="28"/>
        </w:rPr>
        <w:t>2. Repository Organization</w:t>
      </w:r>
    </w:p>
    <w:p w14:paraId="0C7589B9">
      <w:pPr>
        <w:pStyle w:val="3"/>
        <w:spacing w:before="220" w:after="120"/>
        <w:jc w:val="both"/>
      </w:pPr>
      <w:r>
        <w:rPr>
          <w:b/>
          <w:bCs/>
          <w:color w:val="000000"/>
          <w:sz w:val="24"/>
          <w:szCs w:val="24"/>
        </w:rPr>
        <w:t>2.1 Repository Structure</w:t>
      </w:r>
    </w:p>
    <w:p w14:paraId="2C941C84">
      <w:pPr>
        <w:spacing w:after="140"/>
        <w:jc w:val="both"/>
      </w:pPr>
      <w:r>
        <w:rPr>
          <w:b w:val="0"/>
          <w:bCs w:val="0"/>
          <w:i w:val="0"/>
          <w:iCs w:val="0"/>
          <w:color w:val="000000"/>
          <w:sz w:val="22"/>
          <w:szCs w:val="22"/>
        </w:rPr>
        <w:t>The repository follows a monorepo layout with clearly separated client and server directories, each maintaining its own dependency manifest. The top-level structure is summarized below.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50"/>
      </w:tblGrid>
      <w:tr w14:paraId="78B1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21472996">
            <w:pPr>
              <w:jc w:val="both"/>
            </w:pPr>
            <w:r>
              <w:rPr>
                <w:b/>
                <w:bCs/>
                <w:color w:val="000000"/>
                <w:sz w:val="20"/>
                <w:szCs w:val="20"/>
              </w:rPr>
              <w:t>Path</w:t>
            </w:r>
          </w:p>
        </w:tc>
        <w:tc>
          <w:tcPr>
            <w:tcW w:w="5850" w:type="dxa"/>
            <w:tcBorders>
              <w:top w:val="single" w:color="000000" w:sz="4" w:space="0"/>
              <w:left w:val="single" w:color="000000" w:sz="4" w:space="0"/>
              <w:bottom w:val="single" w:color="000000" w:sz="4" w:space="0"/>
              <w:right w:val="single" w:color="000000" w:sz="4" w:space="0"/>
            </w:tcBorders>
          </w:tcPr>
          <w:p w14:paraId="640F93CB">
            <w:pPr>
              <w:jc w:val="both"/>
            </w:pPr>
            <w:r>
              <w:rPr>
                <w:b/>
                <w:bCs/>
                <w:color w:val="000000"/>
                <w:sz w:val="20"/>
                <w:szCs w:val="20"/>
              </w:rPr>
              <w:t>Purpose</w:t>
            </w:r>
          </w:p>
        </w:tc>
      </w:tr>
      <w:tr w14:paraId="434F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5EDB72D0">
            <w:pPr>
              <w:jc w:val="both"/>
            </w:pPr>
            <w:r>
              <w:rPr>
                <w:b w:val="0"/>
                <w:bCs w:val="0"/>
                <w:color w:val="000000"/>
                <w:sz w:val="20"/>
                <w:szCs w:val="20"/>
              </w:rPr>
              <w:t>/client</w:t>
            </w:r>
          </w:p>
        </w:tc>
        <w:tc>
          <w:tcPr>
            <w:tcW w:w="5850" w:type="dxa"/>
            <w:tcBorders>
              <w:top w:val="single" w:color="000000" w:sz="4" w:space="0"/>
              <w:left w:val="single" w:color="000000" w:sz="4" w:space="0"/>
              <w:bottom w:val="single" w:color="000000" w:sz="4" w:space="0"/>
              <w:right w:val="single" w:color="000000" w:sz="4" w:space="0"/>
            </w:tcBorders>
          </w:tcPr>
          <w:p w14:paraId="0A8ADBFD">
            <w:pPr>
              <w:jc w:val="both"/>
            </w:pPr>
            <w:r>
              <w:rPr>
                <w:b w:val="0"/>
                <w:bCs w:val="0"/>
                <w:color w:val="000000"/>
                <w:sz w:val="20"/>
                <w:szCs w:val="20"/>
              </w:rPr>
              <w:t>React frontend application (components, pages, hooks, services)</w:t>
            </w:r>
          </w:p>
        </w:tc>
      </w:tr>
      <w:tr w14:paraId="7F31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6042CF40">
            <w:pPr>
              <w:jc w:val="both"/>
            </w:pPr>
            <w:r>
              <w:rPr>
                <w:b w:val="0"/>
                <w:bCs w:val="0"/>
                <w:color w:val="000000"/>
                <w:sz w:val="20"/>
                <w:szCs w:val="20"/>
              </w:rPr>
              <w:t>/server</w:t>
            </w:r>
          </w:p>
        </w:tc>
        <w:tc>
          <w:tcPr>
            <w:tcW w:w="5850" w:type="dxa"/>
            <w:tcBorders>
              <w:top w:val="single" w:color="000000" w:sz="4" w:space="0"/>
              <w:left w:val="single" w:color="000000" w:sz="4" w:space="0"/>
              <w:bottom w:val="single" w:color="000000" w:sz="4" w:space="0"/>
              <w:right w:val="single" w:color="000000" w:sz="4" w:space="0"/>
            </w:tcBorders>
          </w:tcPr>
          <w:p w14:paraId="00D52998">
            <w:pPr>
              <w:jc w:val="both"/>
            </w:pPr>
            <w:r>
              <w:rPr>
                <w:b w:val="0"/>
                <w:bCs w:val="0"/>
                <w:color w:val="000000"/>
                <w:sz w:val="20"/>
                <w:szCs w:val="20"/>
              </w:rPr>
              <w:t>Express backend (routes, controllers, models, middleware, config)</w:t>
            </w:r>
          </w:p>
        </w:tc>
      </w:tr>
      <w:tr w14:paraId="331A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378CECBD">
            <w:pPr>
              <w:jc w:val="both"/>
            </w:pPr>
            <w:r>
              <w:rPr>
                <w:b w:val="0"/>
                <w:bCs w:val="0"/>
                <w:color w:val="000000"/>
                <w:sz w:val="20"/>
                <w:szCs w:val="20"/>
              </w:rPr>
              <w:t>/server/tests</w:t>
            </w:r>
          </w:p>
        </w:tc>
        <w:tc>
          <w:tcPr>
            <w:tcW w:w="5850" w:type="dxa"/>
            <w:tcBorders>
              <w:top w:val="single" w:color="000000" w:sz="4" w:space="0"/>
              <w:left w:val="single" w:color="000000" w:sz="4" w:space="0"/>
              <w:bottom w:val="single" w:color="000000" w:sz="4" w:space="0"/>
              <w:right w:val="single" w:color="000000" w:sz="4" w:space="0"/>
            </w:tcBorders>
          </w:tcPr>
          <w:p w14:paraId="696BAA14">
            <w:pPr>
              <w:jc w:val="both"/>
            </w:pPr>
            <w:r>
              <w:rPr>
                <w:b w:val="0"/>
                <w:bCs w:val="0"/>
                <w:color w:val="000000"/>
                <w:sz w:val="20"/>
                <w:szCs w:val="20"/>
              </w:rPr>
              <w:t>Unit and integration test suites (Jest / Supertest)</w:t>
            </w:r>
          </w:p>
        </w:tc>
      </w:tr>
      <w:tr w14:paraId="10F0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37B55ACD">
            <w:pPr>
              <w:jc w:val="both"/>
            </w:pPr>
            <w:r>
              <w:rPr>
                <w:b w:val="0"/>
                <w:bCs w:val="0"/>
                <w:color w:val="000000"/>
                <w:sz w:val="20"/>
                <w:szCs w:val="20"/>
              </w:rPr>
              <w:t>/docs</w:t>
            </w:r>
          </w:p>
        </w:tc>
        <w:tc>
          <w:tcPr>
            <w:tcW w:w="5850" w:type="dxa"/>
            <w:tcBorders>
              <w:top w:val="single" w:color="000000" w:sz="4" w:space="0"/>
              <w:left w:val="single" w:color="000000" w:sz="4" w:space="0"/>
              <w:bottom w:val="single" w:color="000000" w:sz="4" w:space="0"/>
              <w:right w:val="single" w:color="000000" w:sz="4" w:space="0"/>
            </w:tcBorders>
          </w:tcPr>
          <w:p w14:paraId="6601580F">
            <w:pPr>
              <w:jc w:val="both"/>
            </w:pPr>
            <w:r>
              <w:rPr>
                <w:b w:val="0"/>
                <w:bCs w:val="0"/>
                <w:color w:val="000000"/>
                <w:sz w:val="20"/>
                <w:szCs w:val="20"/>
              </w:rPr>
              <w:t>API documentation, ER diagrams, setup guides</w:t>
            </w:r>
          </w:p>
        </w:tc>
      </w:tr>
      <w:tr w14:paraId="4250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3C1B4308">
            <w:pPr>
              <w:jc w:val="both"/>
            </w:pPr>
            <w:r>
              <w:rPr>
                <w:b w:val="0"/>
                <w:bCs w:val="0"/>
                <w:color w:val="000000"/>
                <w:sz w:val="20"/>
                <w:szCs w:val="20"/>
              </w:rPr>
              <w:t>docker-compose.yml</w:t>
            </w:r>
          </w:p>
        </w:tc>
        <w:tc>
          <w:tcPr>
            <w:tcW w:w="5850" w:type="dxa"/>
            <w:tcBorders>
              <w:top w:val="single" w:color="000000" w:sz="4" w:space="0"/>
              <w:left w:val="single" w:color="000000" w:sz="4" w:space="0"/>
              <w:bottom w:val="single" w:color="000000" w:sz="4" w:space="0"/>
              <w:right w:val="single" w:color="000000" w:sz="4" w:space="0"/>
            </w:tcBorders>
          </w:tcPr>
          <w:p w14:paraId="67E2007A">
            <w:pPr>
              <w:jc w:val="both"/>
            </w:pPr>
            <w:r>
              <w:rPr>
                <w:b w:val="0"/>
                <w:bCs w:val="0"/>
                <w:color w:val="000000"/>
                <w:sz w:val="20"/>
                <w:szCs w:val="20"/>
              </w:rPr>
              <w:t>Multi-container orchestration (client, server, MongoDB)</w:t>
            </w:r>
          </w:p>
        </w:tc>
      </w:tr>
      <w:tr w14:paraId="6A3D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63750C05">
            <w:pPr>
              <w:jc w:val="both"/>
            </w:pPr>
            <w:r>
              <w:rPr>
                <w:b w:val="0"/>
                <w:bCs w:val="0"/>
                <w:color w:val="000000"/>
                <w:sz w:val="20"/>
                <w:szCs w:val="20"/>
              </w:rPr>
              <w:t>.github/workflows</w:t>
            </w:r>
          </w:p>
        </w:tc>
        <w:tc>
          <w:tcPr>
            <w:tcW w:w="5850" w:type="dxa"/>
            <w:tcBorders>
              <w:top w:val="single" w:color="000000" w:sz="4" w:space="0"/>
              <w:left w:val="single" w:color="000000" w:sz="4" w:space="0"/>
              <w:bottom w:val="single" w:color="000000" w:sz="4" w:space="0"/>
              <w:right w:val="single" w:color="000000" w:sz="4" w:space="0"/>
            </w:tcBorders>
          </w:tcPr>
          <w:p w14:paraId="3BEDF3CB">
            <w:pPr>
              <w:jc w:val="both"/>
            </w:pPr>
            <w:r>
              <w:rPr>
                <w:b w:val="0"/>
                <w:bCs w:val="0"/>
                <w:color w:val="000000"/>
                <w:sz w:val="20"/>
                <w:szCs w:val="20"/>
              </w:rPr>
              <w:t>CI pipeline configuration (lint, test on push/PR)</w:t>
            </w:r>
          </w:p>
        </w:tc>
      </w:tr>
      <w:tr w14:paraId="6E75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34D8A7FB">
            <w:pPr>
              <w:jc w:val="both"/>
            </w:pPr>
            <w:r>
              <w:rPr>
                <w:b w:val="0"/>
                <w:bCs w:val="0"/>
                <w:color w:val="000000"/>
                <w:sz w:val="20"/>
                <w:szCs w:val="20"/>
              </w:rPr>
              <w:t>README.md</w:t>
            </w:r>
          </w:p>
        </w:tc>
        <w:tc>
          <w:tcPr>
            <w:tcW w:w="5850" w:type="dxa"/>
            <w:tcBorders>
              <w:top w:val="single" w:color="000000" w:sz="4" w:space="0"/>
              <w:left w:val="single" w:color="000000" w:sz="4" w:space="0"/>
              <w:bottom w:val="single" w:color="000000" w:sz="4" w:space="0"/>
              <w:right w:val="single" w:color="000000" w:sz="4" w:space="0"/>
            </w:tcBorders>
          </w:tcPr>
          <w:p w14:paraId="082F4AB0">
            <w:pPr>
              <w:jc w:val="both"/>
            </w:pPr>
            <w:r>
              <w:rPr>
                <w:b w:val="0"/>
                <w:bCs w:val="0"/>
                <w:color w:val="000000"/>
                <w:sz w:val="20"/>
                <w:szCs w:val="20"/>
              </w:rPr>
              <w:t>Project overview, setup, and usage instructions</w:t>
            </w:r>
          </w:p>
        </w:tc>
      </w:tr>
    </w:tbl>
    <w:p w14:paraId="5D2C5DB3">
      <w:pPr>
        <w:pStyle w:val="3"/>
        <w:spacing w:before="220" w:after="120"/>
        <w:jc w:val="both"/>
      </w:pPr>
      <w:r>
        <w:rPr>
          <w:b/>
          <w:bCs/>
          <w:color w:val="000000"/>
          <w:sz w:val="24"/>
          <w:szCs w:val="24"/>
        </w:rPr>
        <w:t>2.2 Folder Organization and Naming Conventions</w:t>
      </w:r>
    </w:p>
    <w:p w14:paraId="1EC1BACB">
      <w:pPr>
        <w:spacing w:after="140"/>
        <w:jc w:val="both"/>
      </w:pPr>
      <w:r>
        <w:rPr>
          <w:b w:val="0"/>
          <w:bCs w:val="0"/>
          <w:i w:val="0"/>
          <w:iCs w:val="0"/>
          <w:color w:val="000000"/>
          <w:sz w:val="22"/>
          <w:szCs w:val="22"/>
        </w:rPr>
        <w:t>Within /client, components follow a feature-based structure (components/books, components/members, components/auth) rather than a type-based structure, which keeps related files close together and reduces cross-folder navigation. File names use PascalCase for React components (BookCard.jsx, IssueForm.jsx) and camelCase for utility and service files (apiClient.js, authHelper.js). On the backend, /server follows the standard MVC-style separation: models/, routes/, controllers/, and middleware/, with each file named after the resource it manages (bookController.js, memberRoutes.js).</w:t>
      </w:r>
    </w:p>
    <w:p w14:paraId="537DA5B3">
      <w:pPr>
        <w:pStyle w:val="3"/>
        <w:spacing w:before="220" w:after="120"/>
        <w:jc w:val="both"/>
      </w:pPr>
      <w:r>
        <w:rPr>
          <w:b/>
          <w:bCs/>
          <w:color w:val="000000"/>
          <w:sz w:val="24"/>
          <w:szCs w:val="24"/>
        </w:rPr>
        <w:t>2.3 Justification for Maintainability and Collaboration</w:t>
      </w:r>
    </w:p>
    <w:p w14:paraId="0D4B5720">
      <w:pPr>
        <w:spacing w:after="140"/>
        <w:jc w:val="both"/>
      </w:pPr>
      <w:r>
        <w:rPr>
          <w:b w:val="0"/>
          <w:bCs w:val="0"/>
          <w:i w:val="0"/>
          <w:iCs w:val="0"/>
          <w:color w:val="000000"/>
          <w:sz w:val="22"/>
          <w:szCs w:val="22"/>
        </w:rPr>
        <w:t>This structure supports maintainability because a developer working on a single feature (for example, book issuing) only needs to touch a small, predictable set of files across client and server. The consistent naming convention reduces onboarding time for new contributors and makes the codebase searchable. Separating tests into their own directory, and keeping CI configuration under .github/workflows, means quality gates run automatically on every pull request, which supports safe collaborative development without requiring manual verification from every contributor.</w:t>
      </w:r>
    </w:p>
    <w:p w14:paraId="3C3C7473">
      <w:pPr>
        <w:pStyle w:val="2"/>
        <w:spacing w:before="300" w:after="150"/>
        <w:jc w:val="both"/>
      </w:pPr>
      <w:r>
        <w:rPr>
          <w:b/>
          <w:bCs/>
          <w:color w:val="000000"/>
          <w:sz w:val="28"/>
          <w:szCs w:val="28"/>
        </w:rPr>
        <w:t>3. Code Quality Review</w:t>
      </w:r>
    </w:p>
    <w:p w14:paraId="7EDF8FB9">
      <w:pPr>
        <w:pStyle w:val="3"/>
        <w:spacing w:before="220" w:after="120"/>
        <w:jc w:val="both"/>
      </w:pPr>
      <w:r>
        <w:rPr>
          <w:b/>
          <w:bCs/>
          <w:color w:val="000000"/>
          <w:sz w:val="24"/>
          <w:szCs w:val="24"/>
        </w:rPr>
        <w:t>3.1 Readability</w:t>
      </w:r>
    </w:p>
    <w:p w14:paraId="033C507F">
      <w:pPr>
        <w:spacing w:after="140"/>
        <w:jc w:val="both"/>
      </w:pPr>
      <w:r>
        <w:rPr>
          <w:b w:val="0"/>
          <w:bCs w:val="0"/>
          <w:i w:val="0"/>
          <w:iCs w:val="0"/>
          <w:color w:val="000000"/>
          <w:sz w:val="22"/>
          <w:szCs w:val="22"/>
        </w:rPr>
        <w:t>Overall code readability is good. Variable and function names are descriptive (calculateFine, getOverdueBooks) and consistently follow camelCase. Most functions are kept short and single-purpose, particularly in the controller layer. A minority of files, notably the dashboard aggregation logic, mix multiple responsibilities within one function and would benefit from being broken down further.</w:t>
      </w:r>
    </w:p>
    <w:p w14:paraId="4F55C8E3">
      <w:pPr>
        <w:pStyle w:val="3"/>
        <w:spacing w:before="220" w:after="120"/>
        <w:jc w:val="both"/>
      </w:pPr>
      <w:r>
        <w:rPr>
          <w:b/>
          <w:bCs/>
          <w:color w:val="000000"/>
          <w:sz w:val="24"/>
          <w:szCs w:val="24"/>
        </w:rPr>
        <w:t>3.2 Modularity</w:t>
      </w:r>
    </w:p>
    <w:p w14:paraId="369272AA">
      <w:pPr>
        <w:spacing w:after="140"/>
        <w:jc w:val="both"/>
      </w:pPr>
      <w:r>
        <w:rPr>
          <w:b w:val="0"/>
          <w:bCs w:val="0"/>
          <w:i w:val="0"/>
          <w:iCs w:val="0"/>
          <w:color w:val="000000"/>
          <w:sz w:val="22"/>
          <w:szCs w:val="22"/>
        </w:rPr>
        <w:t>The backend demonstrates reasonable modularity through its layered architecture (routes -&gt; controllers -&gt; models), which isolates HTTP handling from business logic and database access. On the frontend, reusable UI elements (buttons, form inputs, modal dialogs) are extracted into a shared components/common directory, reducing duplication. Some business logic, however, still lives directly inside React components rather than being extracted into custom hooks or service modules, which slightly reduces reusability and testability.</w:t>
      </w:r>
    </w:p>
    <w:p w14:paraId="25F7E451">
      <w:pPr>
        <w:pStyle w:val="3"/>
        <w:spacing w:before="220" w:after="120"/>
        <w:jc w:val="both"/>
      </w:pPr>
      <w:r>
        <w:rPr>
          <w:b/>
          <w:bCs/>
          <w:color w:val="000000"/>
          <w:sz w:val="24"/>
          <w:szCs w:val="24"/>
        </w:rPr>
        <w:t>3.3 Coding Standards</w:t>
      </w:r>
    </w:p>
    <w:p w14:paraId="6FC1D4FD">
      <w:pPr>
        <w:spacing w:after="140"/>
        <w:jc w:val="both"/>
      </w:pPr>
      <w:r>
        <w:rPr>
          <w:b w:val="0"/>
          <w:bCs w:val="0"/>
          <w:i w:val="0"/>
          <w:iCs w:val="0"/>
          <w:color w:val="000000"/>
          <w:sz w:val="22"/>
          <w:szCs w:val="22"/>
        </w:rPr>
        <w:t>ESLint and Prettier configurations are present in both client and server, and the majority of the codebase adheres to them. Indentation, spacing, and import ordering are consistent throughout most files. A small number of files (primarily older ones from early commits) show inconsistent quote styles and unused imports, suggesting the lint configuration was introduced partway through development rather than from the outset.</w:t>
      </w:r>
    </w:p>
    <w:p w14:paraId="4B34030F">
      <w:pPr>
        <w:pStyle w:val="3"/>
        <w:spacing w:before="220" w:after="120"/>
        <w:jc w:val="both"/>
      </w:pPr>
      <w:r>
        <w:rPr>
          <w:b/>
          <w:bCs/>
          <w:color w:val="000000"/>
          <w:sz w:val="24"/>
          <w:szCs w:val="24"/>
        </w:rPr>
        <w:t>3.4 Documentation (Inline)</w:t>
      </w:r>
    </w:p>
    <w:p w14:paraId="307C73E1">
      <w:pPr>
        <w:spacing w:after="140"/>
        <w:jc w:val="both"/>
      </w:pPr>
      <w:r>
        <w:rPr>
          <w:b w:val="0"/>
          <w:bCs w:val="0"/>
          <w:i w:val="0"/>
          <w:iCs w:val="0"/>
          <w:color w:val="000000"/>
          <w:sz w:val="22"/>
          <w:szCs w:val="22"/>
        </w:rPr>
        <w:t>Inline documentation is present but uneven. Complex functions such as fine calculation and JWT middleware include clear comments explaining intent, while simpler CRUD handlers are largely uncommented, which is acceptable given their self-explanatory nature. JSDoc-style comments are used inconsistently across the API layer; standardizing this would improve IDE-assisted development for new contributors.</w:t>
      </w:r>
    </w:p>
    <w:p w14:paraId="20B23B8B">
      <w:pPr>
        <w:pStyle w:val="3"/>
        <w:spacing w:before="220" w:after="120"/>
        <w:jc w:val="both"/>
      </w:pPr>
      <w:r>
        <w:rPr>
          <w:b/>
          <w:bCs/>
          <w:color w:val="000000"/>
          <w:sz w:val="24"/>
          <w:szCs w:val="24"/>
        </w:rPr>
        <w:t>3.5 Strengths</w:t>
      </w:r>
    </w:p>
    <w:p w14:paraId="76A76F8F">
      <w:pPr>
        <w:pStyle w:val="16"/>
        <w:numPr>
          <w:ilvl w:val="0"/>
          <w:numId w:val="1"/>
        </w:numPr>
        <w:spacing w:after="80"/>
        <w:jc w:val="both"/>
      </w:pPr>
      <w:r>
        <w:rPr>
          <w:color w:val="000000"/>
          <w:sz w:val="22"/>
          <w:szCs w:val="22"/>
        </w:rPr>
        <w:t>Clear separation of concerns between routing, business logic, and data access layers.</w:t>
      </w:r>
    </w:p>
    <w:p w14:paraId="53F8B83B">
      <w:pPr>
        <w:pStyle w:val="16"/>
        <w:numPr>
          <w:ilvl w:val="0"/>
          <w:numId w:val="1"/>
        </w:numPr>
        <w:spacing w:after="80"/>
        <w:jc w:val="both"/>
      </w:pPr>
      <w:r>
        <w:rPr>
          <w:color w:val="000000"/>
          <w:sz w:val="22"/>
          <w:szCs w:val="22"/>
        </w:rPr>
        <w:t>Consistent naming conventions across both frontend and backend.</w:t>
      </w:r>
    </w:p>
    <w:p w14:paraId="52450E8D">
      <w:pPr>
        <w:pStyle w:val="16"/>
        <w:numPr>
          <w:ilvl w:val="0"/>
          <w:numId w:val="1"/>
        </w:numPr>
        <w:spacing w:after="80"/>
        <w:jc w:val="both"/>
      </w:pPr>
      <w:r>
        <w:rPr>
          <w:color w:val="000000"/>
          <w:sz w:val="22"/>
          <w:szCs w:val="22"/>
        </w:rPr>
        <w:t>Reusable component library on the frontend reduces UI code duplication.</w:t>
      </w:r>
    </w:p>
    <w:p w14:paraId="3712E7E1">
      <w:pPr>
        <w:pStyle w:val="16"/>
        <w:numPr>
          <w:ilvl w:val="0"/>
          <w:numId w:val="1"/>
        </w:numPr>
        <w:spacing w:after="80"/>
        <w:jc w:val="both"/>
      </w:pPr>
      <w:r>
        <w:rPr>
          <w:color w:val="000000"/>
          <w:sz w:val="22"/>
          <w:szCs w:val="22"/>
        </w:rPr>
        <w:t>Centralized error-handling middleware avoids repeated try-catch boilerplate in controllers.</w:t>
      </w:r>
    </w:p>
    <w:p w14:paraId="21F7FEB0">
      <w:pPr>
        <w:pStyle w:val="3"/>
        <w:spacing w:before="220" w:after="120"/>
        <w:jc w:val="both"/>
      </w:pPr>
      <w:r>
        <w:rPr>
          <w:b/>
          <w:bCs/>
          <w:color w:val="000000"/>
          <w:sz w:val="24"/>
          <w:szCs w:val="24"/>
        </w:rPr>
        <w:t>3.6 Areas for Improvement</w:t>
      </w:r>
    </w:p>
    <w:p w14:paraId="34AD770A">
      <w:pPr>
        <w:pStyle w:val="16"/>
        <w:numPr>
          <w:ilvl w:val="0"/>
          <w:numId w:val="1"/>
        </w:numPr>
        <w:spacing w:after="80"/>
        <w:jc w:val="both"/>
      </w:pPr>
      <w:r>
        <w:rPr>
          <w:color w:val="000000"/>
          <w:sz w:val="22"/>
          <w:szCs w:val="22"/>
        </w:rPr>
        <w:t>Extract embedded business logic from React components into custom hooks or service files.</w:t>
      </w:r>
    </w:p>
    <w:p w14:paraId="4949167F">
      <w:pPr>
        <w:pStyle w:val="16"/>
        <w:numPr>
          <w:ilvl w:val="0"/>
          <w:numId w:val="1"/>
        </w:numPr>
        <w:spacing w:after="80"/>
        <w:jc w:val="both"/>
      </w:pPr>
      <w:r>
        <w:rPr>
          <w:color w:val="000000"/>
          <w:sz w:val="22"/>
          <w:szCs w:val="22"/>
        </w:rPr>
        <w:t>Apply linting retroactively to older files to remove inconsistent formatting.</w:t>
      </w:r>
    </w:p>
    <w:p w14:paraId="5C6BCE6C">
      <w:pPr>
        <w:pStyle w:val="16"/>
        <w:numPr>
          <w:ilvl w:val="0"/>
          <w:numId w:val="1"/>
        </w:numPr>
        <w:spacing w:after="80"/>
        <w:jc w:val="both"/>
      </w:pPr>
      <w:r>
        <w:rPr>
          <w:color w:val="000000"/>
          <w:sz w:val="22"/>
          <w:szCs w:val="22"/>
        </w:rPr>
        <w:t>Standardize inline documentation (JSDoc) across all controller and service functions.</w:t>
      </w:r>
    </w:p>
    <w:p w14:paraId="7986EB21">
      <w:pPr>
        <w:pStyle w:val="16"/>
        <w:numPr>
          <w:ilvl w:val="0"/>
          <w:numId w:val="1"/>
        </w:numPr>
        <w:spacing w:after="80"/>
        <w:jc w:val="both"/>
      </w:pPr>
      <w:r>
        <w:rPr>
          <w:color w:val="000000"/>
          <w:sz w:val="22"/>
          <w:szCs w:val="22"/>
        </w:rPr>
        <w:t>Break down the dashboard aggregation function into smaller, independently testable units.</w:t>
      </w:r>
    </w:p>
    <w:p w14:paraId="10B0EFE1">
      <w:pPr>
        <w:pStyle w:val="2"/>
        <w:spacing w:before="300" w:after="150"/>
        <w:jc w:val="both"/>
      </w:pPr>
      <w:r>
        <w:rPr>
          <w:b/>
          <w:bCs/>
          <w:color w:val="000000"/>
          <w:sz w:val="28"/>
          <w:szCs w:val="28"/>
        </w:rPr>
        <w:t>4. Version Control Evaluation</w:t>
      </w:r>
    </w:p>
    <w:p w14:paraId="594F21E0">
      <w:pPr>
        <w:pStyle w:val="3"/>
        <w:spacing w:before="220" w:after="120"/>
        <w:jc w:val="both"/>
      </w:pPr>
      <w:r>
        <w:rPr>
          <w:b/>
          <w:bCs/>
          <w:color w:val="000000"/>
          <w:sz w:val="24"/>
          <w:szCs w:val="24"/>
        </w:rPr>
        <w:t>4.1 Commit History Analysis</w:t>
      </w:r>
    </w:p>
    <w:p w14:paraId="22845644">
      <w:pPr>
        <w:spacing w:after="140"/>
        <w:jc w:val="both"/>
      </w:pPr>
      <w:r>
        <w:rPr>
          <w:b w:val="0"/>
          <w:bCs w:val="0"/>
          <w:i w:val="0"/>
          <w:iCs w:val="0"/>
          <w:color w:val="000000"/>
          <w:sz w:val="22"/>
          <w:szCs w:val="22"/>
        </w:rPr>
        <w:t>The repository contains a steady commit history spanning the development period, with commits generally scoped to a single feature or fix rather than large, mixed-purpose changes. Commit frequency increased noticeably in the final week before submission, indicating a degree of late-stage consolidation typical of academic project timelines.</w:t>
      </w:r>
    </w:p>
    <w:p w14:paraId="4090792D">
      <w:pPr>
        <w:pStyle w:val="3"/>
        <w:spacing w:before="220" w:after="120"/>
        <w:jc w:val="both"/>
      </w:pPr>
      <w:r>
        <w:rPr>
          <w:b/>
          <w:bCs/>
          <w:color w:val="000000"/>
          <w:sz w:val="24"/>
          <w:szCs w:val="24"/>
        </w:rPr>
        <w:t>4.2 Commit Message Quality</w:t>
      </w:r>
    </w:p>
    <w:p w14:paraId="7C3110E8">
      <w:pPr>
        <w:spacing w:after="140"/>
        <w:jc w:val="both"/>
      </w:pPr>
      <w:r>
        <w:rPr>
          <w:b w:val="0"/>
          <w:bCs w:val="0"/>
          <w:i w:val="0"/>
          <w:iCs w:val="0"/>
          <w:color w:val="000000"/>
          <w:sz w:val="22"/>
          <w:szCs w:val="22"/>
        </w:rPr>
        <w:t>The majority of commit messages follow a conventional, descriptive style (e.g., "add fine calculation logic to issue controller", "fix member validation on registration form"), which makes the history easy to scan. A subset of early commits use vague messages such as "update" or "fix bug", which reduces traceability for those specific changes.</w:t>
      </w:r>
    </w:p>
    <w:p w14:paraId="743728EE">
      <w:pPr>
        <w:pStyle w:val="3"/>
        <w:spacing w:before="220" w:after="120"/>
        <w:jc w:val="both"/>
      </w:pPr>
      <w:r>
        <w:rPr>
          <w:b/>
          <w:bCs/>
          <w:color w:val="000000"/>
          <w:sz w:val="24"/>
          <w:szCs w:val="24"/>
        </w:rPr>
        <w:t>4.3 Branching Strategy</w:t>
      </w:r>
    </w:p>
    <w:p w14:paraId="77F115EC">
      <w:pPr>
        <w:spacing w:after="140"/>
        <w:jc w:val="both"/>
      </w:pPr>
      <w:r>
        <w:rPr>
          <w:b w:val="0"/>
          <w:bCs w:val="0"/>
          <w:i w:val="0"/>
          <w:iCs w:val="0"/>
          <w:color w:val="000000"/>
          <w:sz w:val="22"/>
          <w:szCs w:val="22"/>
        </w:rPr>
        <w:t>The project follows a simplified feature-branch workflow: a protected main branch holds stable, deployable code, while feature branches (feature/auth, feature/book-crud, feature/dashboard) are used for active development and merged via pull requests. This branching model is appropriate for a small team and academic timeline, though the absence of a dedicated develop/staging branch means main occasionally received direct hotfix commits.</w:t>
      </w:r>
    </w:p>
    <w:p w14:paraId="001AC9B9">
      <w:pPr>
        <w:pStyle w:val="3"/>
        <w:spacing w:before="220" w:after="120"/>
        <w:jc w:val="both"/>
      </w:pPr>
      <w:r>
        <w:rPr>
          <w:b/>
          <w:bCs/>
          <w:color w:val="000000"/>
          <w:sz w:val="24"/>
          <w:szCs w:val="24"/>
        </w:rPr>
        <w:t>4.4 Repository Maintenance Practices</w:t>
      </w:r>
    </w:p>
    <w:p w14:paraId="19474EC8">
      <w:pPr>
        <w:pStyle w:val="16"/>
        <w:numPr>
          <w:ilvl w:val="0"/>
          <w:numId w:val="1"/>
        </w:numPr>
        <w:spacing w:after="80"/>
        <w:jc w:val="both"/>
      </w:pPr>
      <w:r>
        <w:rPr>
          <w:color w:val="000000"/>
          <w:sz w:val="22"/>
          <w:szCs w:val="22"/>
        </w:rPr>
        <w:t>.gitignore correctly excludes node_modules, .env, and build artifacts from version control.</w:t>
      </w:r>
    </w:p>
    <w:p w14:paraId="6364B256">
      <w:pPr>
        <w:pStyle w:val="16"/>
        <w:numPr>
          <w:ilvl w:val="0"/>
          <w:numId w:val="1"/>
        </w:numPr>
        <w:spacing w:after="80"/>
        <w:jc w:val="both"/>
      </w:pPr>
      <w:r>
        <w:rPr>
          <w:color w:val="000000"/>
          <w:sz w:val="22"/>
          <w:szCs w:val="22"/>
        </w:rPr>
        <w:t>Pull requests are used for merging feature branches, with a lightweight review step before merge.</w:t>
      </w:r>
    </w:p>
    <w:p w14:paraId="601876C1">
      <w:pPr>
        <w:pStyle w:val="16"/>
        <w:numPr>
          <w:ilvl w:val="0"/>
          <w:numId w:val="1"/>
        </w:numPr>
        <w:spacing w:after="80"/>
        <w:jc w:val="both"/>
      </w:pPr>
      <w:r>
        <w:rPr>
          <w:color w:val="000000"/>
          <w:sz w:val="22"/>
          <w:szCs w:val="22"/>
        </w:rPr>
        <w:t>Tags are not consistently used to mark release milestones, which is an area for improvement.</w:t>
      </w:r>
    </w:p>
    <w:p w14:paraId="624D71D1">
      <w:pPr>
        <w:pStyle w:val="16"/>
        <w:numPr>
          <w:ilvl w:val="0"/>
          <w:numId w:val="1"/>
        </w:numPr>
        <w:spacing w:after="80"/>
        <w:jc w:val="both"/>
      </w:pPr>
      <w:r>
        <w:rPr>
          <w:color w:val="000000"/>
          <w:sz w:val="22"/>
          <w:szCs w:val="22"/>
        </w:rPr>
        <w:t>No merge conflicts of significant complexity are visible, suggesting reasonable coordination between contributors.</w:t>
      </w:r>
    </w:p>
    <w:p w14:paraId="716DB173">
      <w:pPr>
        <w:pStyle w:val="3"/>
        <w:spacing w:before="220" w:after="120"/>
        <w:jc w:val="both"/>
      </w:pPr>
      <w:r>
        <w:rPr>
          <w:b/>
          <w:bCs/>
          <w:color w:val="000000"/>
          <w:sz w:val="24"/>
          <w:szCs w:val="24"/>
        </w:rPr>
        <w:t>4.5 How Version Control Supports Collaborative Development</w:t>
      </w:r>
    </w:p>
    <w:p w14:paraId="31CA693A">
      <w:pPr>
        <w:spacing w:after="140"/>
        <w:jc w:val="both"/>
      </w:pPr>
      <w:r>
        <w:rPr>
          <w:b w:val="0"/>
          <w:bCs w:val="0"/>
          <w:i w:val="0"/>
          <w:iCs w:val="0"/>
          <w:color w:val="000000"/>
          <w:sz w:val="22"/>
          <w:szCs w:val="22"/>
        </w:rPr>
        <w:t>Git enables multiple contributors to work on independent features in isolated branches without interfering with the stable main branch. Pull requests create a natural checkpoint for code review before changes are integrated, and the commit history provides an auditable record of who changed what and why. Combined with the CI workflow that runs automated tests on each pull request, version control here forms the backbone of a lightweight but effective collaborative process.</w:t>
      </w:r>
    </w:p>
    <w:p w14:paraId="497022DE">
      <w:pPr>
        <w:pStyle w:val="2"/>
        <w:spacing w:before="300" w:after="150"/>
        <w:jc w:val="both"/>
      </w:pPr>
      <w:r>
        <w:rPr>
          <w:b/>
          <w:bCs/>
          <w:color w:val="000000"/>
          <w:sz w:val="28"/>
          <w:szCs w:val="28"/>
        </w:rPr>
        <w:t>5. Code Testing and Validation</w:t>
      </w:r>
    </w:p>
    <w:p w14:paraId="02343B09">
      <w:pPr>
        <w:pStyle w:val="3"/>
        <w:spacing w:before="220" w:after="120"/>
        <w:jc w:val="both"/>
      </w:pPr>
      <w:r>
        <w:rPr>
          <w:b/>
          <w:bCs/>
          <w:color w:val="000000"/>
          <w:sz w:val="24"/>
          <w:szCs w:val="24"/>
        </w:rPr>
        <w:t>5.1 Testing Approach</w:t>
      </w:r>
    </w:p>
    <w:p w14:paraId="51DA87AC">
      <w:pPr>
        <w:spacing w:after="140"/>
        <w:jc w:val="both"/>
      </w:pPr>
      <w:r>
        <w:rPr>
          <w:b w:val="0"/>
          <w:bCs w:val="0"/>
          <w:i w:val="0"/>
          <w:iCs w:val="0"/>
          <w:color w:val="000000"/>
          <w:sz w:val="22"/>
          <w:szCs w:val="22"/>
        </w:rPr>
        <w:t>The backend includes unit tests for controller logic and integration tests for API endpoints, implemented using Jest and Supertest. Tests cover authentication, book CRUD operations, and the issue/return workflow, including fine calculation edge cases (on-time return, overdue return, same-day return).</w:t>
      </w:r>
    </w:p>
    <w:p w14:paraId="393F966B">
      <w:pPr>
        <w:pStyle w:val="3"/>
        <w:spacing w:before="220" w:after="120"/>
        <w:jc w:val="both"/>
      </w:pPr>
      <w:r>
        <w:rPr>
          <w:b/>
          <w:bCs/>
          <w:color w:val="000000"/>
          <w:sz w:val="24"/>
          <w:szCs w:val="24"/>
        </w:rPr>
        <w:t>5.2 Test Coverage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850"/>
        <w:gridCol w:w="3000"/>
      </w:tblGrid>
      <w:tr w14:paraId="09DF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390F638E">
            <w:pPr>
              <w:jc w:val="both"/>
            </w:pPr>
            <w:r>
              <w:rPr>
                <w:b/>
                <w:bCs/>
                <w:color w:val="000000"/>
                <w:sz w:val="20"/>
                <w:szCs w:val="20"/>
              </w:rPr>
              <w:t>Module</w:t>
            </w:r>
          </w:p>
        </w:tc>
        <w:tc>
          <w:tcPr>
            <w:tcW w:w="2850" w:type="dxa"/>
            <w:tcBorders>
              <w:top w:val="single" w:color="000000" w:sz="4" w:space="0"/>
              <w:left w:val="single" w:color="000000" w:sz="4" w:space="0"/>
              <w:bottom w:val="single" w:color="000000" w:sz="4" w:space="0"/>
              <w:right w:val="single" w:color="000000" w:sz="4" w:space="0"/>
            </w:tcBorders>
          </w:tcPr>
          <w:p w14:paraId="1BA3A72D">
            <w:pPr>
              <w:jc w:val="both"/>
            </w:pPr>
            <w:r>
              <w:rPr>
                <w:b/>
                <w:bCs/>
                <w:color w:val="000000"/>
                <w:sz w:val="20"/>
                <w:szCs w:val="20"/>
              </w:rPr>
              <w:t>Test Type</w:t>
            </w:r>
          </w:p>
        </w:tc>
        <w:tc>
          <w:tcPr>
            <w:tcW w:w="3000" w:type="dxa"/>
            <w:tcBorders>
              <w:top w:val="single" w:color="000000" w:sz="4" w:space="0"/>
              <w:left w:val="single" w:color="000000" w:sz="4" w:space="0"/>
              <w:bottom w:val="single" w:color="000000" w:sz="4" w:space="0"/>
              <w:right w:val="single" w:color="000000" w:sz="4" w:space="0"/>
            </w:tcBorders>
          </w:tcPr>
          <w:p w14:paraId="40E0000C">
            <w:pPr>
              <w:jc w:val="both"/>
            </w:pPr>
            <w:r>
              <w:rPr>
                <w:b/>
                <w:bCs/>
                <w:color w:val="000000"/>
                <w:sz w:val="20"/>
                <w:szCs w:val="20"/>
              </w:rPr>
              <w:t>Result</w:t>
            </w:r>
          </w:p>
        </w:tc>
      </w:tr>
      <w:tr w14:paraId="7E1C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55D08847">
            <w:pPr>
              <w:jc w:val="both"/>
            </w:pPr>
            <w:r>
              <w:rPr>
                <w:b w:val="0"/>
                <w:bCs w:val="0"/>
                <w:color w:val="000000"/>
                <w:sz w:val="20"/>
                <w:szCs w:val="20"/>
              </w:rPr>
              <w:t>Authentication (login/register)</w:t>
            </w:r>
          </w:p>
        </w:tc>
        <w:tc>
          <w:tcPr>
            <w:tcW w:w="2850" w:type="dxa"/>
            <w:tcBorders>
              <w:top w:val="single" w:color="000000" w:sz="4" w:space="0"/>
              <w:left w:val="single" w:color="000000" w:sz="4" w:space="0"/>
              <w:bottom w:val="single" w:color="000000" w:sz="4" w:space="0"/>
              <w:right w:val="single" w:color="000000" w:sz="4" w:space="0"/>
            </w:tcBorders>
          </w:tcPr>
          <w:p w14:paraId="4D209AA6">
            <w:pPr>
              <w:jc w:val="both"/>
            </w:pPr>
            <w:r>
              <w:rPr>
                <w:b w:val="0"/>
                <w:bCs w:val="0"/>
                <w:color w:val="000000"/>
                <w:sz w:val="20"/>
                <w:szCs w:val="20"/>
              </w:rPr>
              <w:t>Unit + Integration</w:t>
            </w:r>
          </w:p>
        </w:tc>
        <w:tc>
          <w:tcPr>
            <w:tcW w:w="3000" w:type="dxa"/>
            <w:tcBorders>
              <w:top w:val="single" w:color="000000" w:sz="4" w:space="0"/>
              <w:left w:val="single" w:color="000000" w:sz="4" w:space="0"/>
              <w:bottom w:val="single" w:color="000000" w:sz="4" w:space="0"/>
              <w:right w:val="single" w:color="000000" w:sz="4" w:space="0"/>
            </w:tcBorders>
          </w:tcPr>
          <w:p w14:paraId="7E4C0273">
            <w:pPr>
              <w:jc w:val="both"/>
            </w:pPr>
            <w:r>
              <w:rPr>
                <w:b w:val="0"/>
                <w:bCs w:val="0"/>
                <w:color w:val="000000"/>
                <w:sz w:val="20"/>
                <w:szCs w:val="20"/>
              </w:rPr>
              <w:t>Pass</w:t>
            </w:r>
          </w:p>
        </w:tc>
      </w:tr>
      <w:tr w14:paraId="0535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203FE854">
            <w:pPr>
              <w:jc w:val="both"/>
            </w:pPr>
            <w:r>
              <w:rPr>
                <w:b w:val="0"/>
                <w:bCs w:val="0"/>
                <w:color w:val="000000"/>
                <w:sz w:val="20"/>
                <w:szCs w:val="20"/>
              </w:rPr>
              <w:t>Book CRUD operations</w:t>
            </w:r>
          </w:p>
        </w:tc>
        <w:tc>
          <w:tcPr>
            <w:tcW w:w="2850" w:type="dxa"/>
            <w:tcBorders>
              <w:top w:val="single" w:color="000000" w:sz="4" w:space="0"/>
              <w:left w:val="single" w:color="000000" w:sz="4" w:space="0"/>
              <w:bottom w:val="single" w:color="000000" w:sz="4" w:space="0"/>
              <w:right w:val="single" w:color="000000" w:sz="4" w:space="0"/>
            </w:tcBorders>
          </w:tcPr>
          <w:p w14:paraId="13967163">
            <w:pPr>
              <w:jc w:val="both"/>
            </w:pPr>
            <w:r>
              <w:rPr>
                <w:b w:val="0"/>
                <w:bCs w:val="0"/>
                <w:color w:val="000000"/>
                <w:sz w:val="20"/>
                <w:szCs w:val="20"/>
              </w:rPr>
              <w:t>Integration</w:t>
            </w:r>
          </w:p>
        </w:tc>
        <w:tc>
          <w:tcPr>
            <w:tcW w:w="3000" w:type="dxa"/>
            <w:tcBorders>
              <w:top w:val="single" w:color="000000" w:sz="4" w:space="0"/>
              <w:left w:val="single" w:color="000000" w:sz="4" w:space="0"/>
              <w:bottom w:val="single" w:color="000000" w:sz="4" w:space="0"/>
              <w:right w:val="single" w:color="000000" w:sz="4" w:space="0"/>
            </w:tcBorders>
          </w:tcPr>
          <w:p w14:paraId="1DD238F5">
            <w:pPr>
              <w:jc w:val="both"/>
            </w:pPr>
            <w:r>
              <w:rPr>
                <w:b w:val="0"/>
                <w:bCs w:val="0"/>
                <w:color w:val="000000"/>
                <w:sz w:val="20"/>
                <w:szCs w:val="20"/>
              </w:rPr>
              <w:t>Pass</w:t>
            </w:r>
          </w:p>
        </w:tc>
      </w:tr>
      <w:tr w14:paraId="2A34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4E02CE07">
            <w:pPr>
              <w:jc w:val="both"/>
            </w:pPr>
            <w:r>
              <w:rPr>
                <w:b w:val="0"/>
                <w:bCs w:val="0"/>
                <w:color w:val="000000"/>
                <w:sz w:val="20"/>
                <w:szCs w:val="20"/>
              </w:rPr>
              <w:t>Issue/Return workflow</w:t>
            </w:r>
          </w:p>
        </w:tc>
        <w:tc>
          <w:tcPr>
            <w:tcW w:w="2850" w:type="dxa"/>
            <w:tcBorders>
              <w:top w:val="single" w:color="000000" w:sz="4" w:space="0"/>
              <w:left w:val="single" w:color="000000" w:sz="4" w:space="0"/>
              <w:bottom w:val="single" w:color="000000" w:sz="4" w:space="0"/>
              <w:right w:val="single" w:color="000000" w:sz="4" w:space="0"/>
            </w:tcBorders>
          </w:tcPr>
          <w:p w14:paraId="2558D427">
            <w:pPr>
              <w:jc w:val="both"/>
            </w:pPr>
            <w:r>
              <w:rPr>
                <w:b w:val="0"/>
                <w:bCs w:val="0"/>
                <w:color w:val="000000"/>
                <w:sz w:val="20"/>
                <w:szCs w:val="20"/>
              </w:rPr>
              <w:t>Unit + Integration</w:t>
            </w:r>
          </w:p>
        </w:tc>
        <w:tc>
          <w:tcPr>
            <w:tcW w:w="3000" w:type="dxa"/>
            <w:tcBorders>
              <w:top w:val="single" w:color="000000" w:sz="4" w:space="0"/>
              <w:left w:val="single" w:color="000000" w:sz="4" w:space="0"/>
              <w:bottom w:val="single" w:color="000000" w:sz="4" w:space="0"/>
              <w:right w:val="single" w:color="000000" w:sz="4" w:space="0"/>
            </w:tcBorders>
          </w:tcPr>
          <w:p w14:paraId="55088B84">
            <w:pPr>
              <w:jc w:val="both"/>
            </w:pPr>
            <w:r>
              <w:rPr>
                <w:b w:val="0"/>
                <w:bCs w:val="0"/>
                <w:color w:val="000000"/>
                <w:sz w:val="20"/>
                <w:szCs w:val="20"/>
              </w:rPr>
              <w:t>Pass</w:t>
            </w:r>
          </w:p>
        </w:tc>
      </w:tr>
      <w:tr w14:paraId="3584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5367C804">
            <w:pPr>
              <w:jc w:val="both"/>
            </w:pPr>
            <w:r>
              <w:rPr>
                <w:b w:val="0"/>
                <w:bCs w:val="0"/>
                <w:color w:val="000000"/>
                <w:sz w:val="20"/>
                <w:szCs w:val="20"/>
              </w:rPr>
              <w:t>Fine calculation edge cases</w:t>
            </w:r>
          </w:p>
        </w:tc>
        <w:tc>
          <w:tcPr>
            <w:tcW w:w="2850" w:type="dxa"/>
            <w:tcBorders>
              <w:top w:val="single" w:color="000000" w:sz="4" w:space="0"/>
              <w:left w:val="single" w:color="000000" w:sz="4" w:space="0"/>
              <w:bottom w:val="single" w:color="000000" w:sz="4" w:space="0"/>
              <w:right w:val="single" w:color="000000" w:sz="4" w:space="0"/>
            </w:tcBorders>
          </w:tcPr>
          <w:p w14:paraId="29C34265">
            <w:pPr>
              <w:jc w:val="both"/>
            </w:pPr>
            <w:r>
              <w:rPr>
                <w:b w:val="0"/>
                <w:bCs w:val="0"/>
                <w:color w:val="000000"/>
                <w:sz w:val="20"/>
                <w:szCs w:val="20"/>
              </w:rPr>
              <w:t>Unit</w:t>
            </w:r>
          </w:p>
        </w:tc>
        <w:tc>
          <w:tcPr>
            <w:tcW w:w="3000" w:type="dxa"/>
            <w:tcBorders>
              <w:top w:val="single" w:color="000000" w:sz="4" w:space="0"/>
              <w:left w:val="single" w:color="000000" w:sz="4" w:space="0"/>
              <w:bottom w:val="single" w:color="000000" w:sz="4" w:space="0"/>
              <w:right w:val="single" w:color="000000" w:sz="4" w:space="0"/>
            </w:tcBorders>
          </w:tcPr>
          <w:p w14:paraId="7C677D71">
            <w:pPr>
              <w:jc w:val="both"/>
            </w:pPr>
            <w:r>
              <w:rPr>
                <w:b w:val="0"/>
                <w:bCs w:val="0"/>
                <w:color w:val="000000"/>
                <w:sz w:val="20"/>
                <w:szCs w:val="20"/>
              </w:rPr>
              <w:t>Pass</w:t>
            </w:r>
          </w:p>
        </w:tc>
      </w:tr>
      <w:tr w14:paraId="62DC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Pr>
          <w:p w14:paraId="782460FB">
            <w:pPr>
              <w:jc w:val="both"/>
            </w:pPr>
            <w:r>
              <w:rPr>
                <w:b w:val="0"/>
                <w:bCs w:val="0"/>
                <w:color w:val="000000"/>
                <w:sz w:val="20"/>
                <w:szCs w:val="20"/>
              </w:rPr>
              <w:t>Frontend form validation</w:t>
            </w:r>
          </w:p>
        </w:tc>
        <w:tc>
          <w:tcPr>
            <w:tcW w:w="2850" w:type="dxa"/>
            <w:tcBorders>
              <w:top w:val="single" w:color="000000" w:sz="4" w:space="0"/>
              <w:left w:val="single" w:color="000000" w:sz="4" w:space="0"/>
              <w:bottom w:val="single" w:color="000000" w:sz="4" w:space="0"/>
              <w:right w:val="single" w:color="000000" w:sz="4" w:space="0"/>
            </w:tcBorders>
          </w:tcPr>
          <w:p w14:paraId="281147C2">
            <w:pPr>
              <w:jc w:val="both"/>
            </w:pPr>
            <w:r>
              <w:rPr>
                <w:b w:val="0"/>
                <w:bCs w:val="0"/>
                <w:color w:val="000000"/>
                <w:sz w:val="20"/>
                <w:szCs w:val="20"/>
              </w:rPr>
              <w:t>Manual</w:t>
            </w:r>
          </w:p>
        </w:tc>
        <w:tc>
          <w:tcPr>
            <w:tcW w:w="3000" w:type="dxa"/>
            <w:tcBorders>
              <w:top w:val="single" w:color="000000" w:sz="4" w:space="0"/>
              <w:left w:val="single" w:color="000000" w:sz="4" w:space="0"/>
              <w:bottom w:val="single" w:color="000000" w:sz="4" w:space="0"/>
              <w:right w:val="single" w:color="000000" w:sz="4" w:space="0"/>
            </w:tcBorders>
          </w:tcPr>
          <w:p w14:paraId="081DED78">
            <w:pPr>
              <w:jc w:val="both"/>
            </w:pPr>
            <w:r>
              <w:rPr>
                <w:b w:val="0"/>
                <w:bCs w:val="0"/>
                <w:color w:val="000000"/>
                <w:sz w:val="20"/>
                <w:szCs w:val="20"/>
              </w:rPr>
              <w:t>Pass</w:t>
            </w:r>
          </w:p>
        </w:tc>
      </w:tr>
    </w:tbl>
    <w:p w14:paraId="624C0671">
      <w:pPr>
        <w:pStyle w:val="3"/>
        <w:spacing w:before="220" w:after="120"/>
        <w:jc w:val="both"/>
      </w:pPr>
      <w:r>
        <w:rPr>
          <w:b/>
          <w:bCs/>
          <w:color w:val="000000"/>
          <w:sz w:val="24"/>
          <w:szCs w:val="24"/>
        </w:rPr>
        <w:t>5.3 Execution Evidence</w:t>
      </w:r>
    </w:p>
    <w:p w14:paraId="23313C58">
      <w:pPr>
        <w:spacing w:after="140"/>
        <w:jc w:val="both"/>
      </w:pPr>
      <w:r>
        <w:rPr>
          <w:b w:val="0"/>
          <w:bCs w:val="0"/>
          <w:i w:val="0"/>
          <w:iCs w:val="0"/>
          <w:color w:val="000000"/>
          <w:sz w:val="22"/>
          <w:szCs w:val="22"/>
        </w:rPr>
        <w:t>[Insert screenshot of terminal output showing test suite execution and results, e.g., npm test output with pass/fail counts]</w:t>
      </w:r>
    </w:p>
    <w:p w14:paraId="7910D767">
      <w:pPr>
        <w:spacing w:after="140"/>
        <w:jc w:val="both"/>
      </w:pPr>
      <w:r>
        <w:rPr>
          <w:b w:val="0"/>
          <w:bCs w:val="0"/>
          <w:i w:val="0"/>
          <w:iCs w:val="0"/>
          <w:color w:val="000000"/>
          <w:sz w:val="22"/>
          <w:szCs w:val="22"/>
        </w:rPr>
        <w:t>[Insert screenshot of Postman/Thunder Client collection showing sample API requests and responses]</w:t>
      </w:r>
    </w:p>
    <w:p w14:paraId="7DD42C9B">
      <w:pPr>
        <w:pStyle w:val="3"/>
        <w:spacing w:before="220" w:after="120"/>
        <w:jc w:val="both"/>
      </w:pPr>
      <w:r>
        <w:rPr>
          <w:b/>
          <w:bCs/>
          <w:color w:val="000000"/>
          <w:sz w:val="24"/>
          <w:szCs w:val="24"/>
        </w:rPr>
        <w:t>5.4 Manual Validation</w:t>
      </w:r>
    </w:p>
    <w:p w14:paraId="1229A08B">
      <w:pPr>
        <w:spacing w:after="140"/>
        <w:jc w:val="both"/>
      </w:pPr>
      <w:r>
        <w:rPr>
          <w:b w:val="0"/>
          <w:bCs w:val="0"/>
          <w:i w:val="0"/>
          <w:iCs w:val="0"/>
          <w:color w:val="000000"/>
          <w:sz w:val="22"/>
          <w:szCs w:val="22"/>
        </w:rPr>
        <w:t>Manual testing was performed on the deployed Docker containers to confirm end-to-end functionality: user registration and login, book search, issuing a book to a member, returning a book past its due date to confirm fine calculation, and verifying the admin dashboard reflects updated statistics.</w:t>
      </w:r>
    </w:p>
    <w:p w14:paraId="2710B785">
      <w:pPr>
        <w:pStyle w:val="2"/>
        <w:spacing w:before="300" w:after="150"/>
        <w:jc w:val="both"/>
      </w:pPr>
      <w:r>
        <w:rPr>
          <w:b/>
          <w:bCs/>
          <w:color w:val="000000"/>
          <w:sz w:val="28"/>
          <w:szCs w:val="28"/>
        </w:rPr>
        <w:t>6. Repository Documentation</w:t>
      </w:r>
    </w:p>
    <w:p w14:paraId="3EA8A3AD">
      <w:pPr>
        <w:pStyle w:val="3"/>
        <w:spacing w:before="220" w:after="120"/>
        <w:jc w:val="both"/>
      </w:pPr>
      <w:r>
        <w:rPr>
          <w:b/>
          <w:bCs/>
          <w:color w:val="000000"/>
          <w:sz w:val="24"/>
          <w:szCs w:val="24"/>
        </w:rPr>
        <w:t>6.1 README Evaluation</w:t>
      </w:r>
    </w:p>
    <w:p w14:paraId="252D83CF">
      <w:pPr>
        <w:spacing w:after="140"/>
        <w:jc w:val="both"/>
      </w:pPr>
      <w:r>
        <w:rPr>
          <w:b w:val="0"/>
          <w:bCs w:val="0"/>
          <w:i w:val="0"/>
          <w:iCs w:val="0"/>
          <w:color w:val="000000"/>
          <w:sz w:val="22"/>
          <w:szCs w:val="22"/>
        </w:rPr>
        <w:t>The README includes a project description, tech stack overview, and setup instructions for running the application via Docker Compose. It clearly lists prerequisites (Docker, Node.js version) and the commands required to bring the stack up. It does not currently include a troubleshooting section or a description of environment variables required in the .env file, both of which would improve the onboarding experience for a new contributor.</w:t>
      </w:r>
    </w:p>
    <w:p w14:paraId="5CCB2D52">
      <w:pPr>
        <w:pStyle w:val="3"/>
        <w:spacing w:before="220" w:after="120"/>
        <w:jc w:val="both"/>
      </w:pPr>
      <w:r>
        <w:rPr>
          <w:b/>
          <w:bCs/>
          <w:color w:val="000000"/>
          <w:sz w:val="24"/>
          <w:szCs w:val="24"/>
        </w:rPr>
        <w:t>6.2 Installation Instructions</w:t>
      </w:r>
    </w:p>
    <w:p w14:paraId="76C76BD2">
      <w:pPr>
        <w:spacing w:after="140"/>
        <w:jc w:val="both"/>
      </w:pPr>
      <w:r>
        <w:rPr>
          <w:b w:val="0"/>
          <w:bCs w:val="0"/>
          <w:i w:val="0"/>
          <w:iCs w:val="0"/>
          <w:color w:val="000000"/>
          <w:sz w:val="22"/>
          <w:szCs w:val="22"/>
        </w:rPr>
        <w:t>Installation steps are present and functional, covering repository cloning, environment variable setup, and the docker-compose up command. However, the README assumes familiarity with Docker and does not explain what each service in docker-compose.yml does, which could be clarified for readers unfamiliar with the stack.</w:t>
      </w:r>
    </w:p>
    <w:p w14:paraId="75996A81">
      <w:pPr>
        <w:pStyle w:val="3"/>
        <w:spacing w:before="220" w:after="120"/>
        <w:jc w:val="both"/>
      </w:pPr>
      <w:r>
        <w:rPr>
          <w:b/>
          <w:bCs/>
          <w:color w:val="000000"/>
          <w:sz w:val="24"/>
          <w:szCs w:val="24"/>
        </w:rPr>
        <w:t>6.3 Usage Guide</w:t>
      </w:r>
    </w:p>
    <w:p w14:paraId="50EEDF71">
      <w:pPr>
        <w:spacing w:after="140"/>
        <w:jc w:val="both"/>
      </w:pPr>
      <w:r>
        <w:rPr>
          <w:b w:val="0"/>
          <w:bCs w:val="0"/>
          <w:i w:val="0"/>
          <w:iCs w:val="0"/>
          <w:color w:val="000000"/>
          <w:sz w:val="22"/>
          <w:szCs w:val="22"/>
        </w:rPr>
        <w:t>A basic usage guide is present, describing how to access the frontend and the default admin credentials for first login. It lacks API-level documentation (endpoint list, request/response formats), which currently exists only implicitly through the route files rather than in /docs.</w:t>
      </w:r>
    </w:p>
    <w:p w14:paraId="077C841E">
      <w:pPr>
        <w:pStyle w:val="3"/>
        <w:spacing w:before="220" w:after="120"/>
        <w:jc w:val="both"/>
      </w:pPr>
      <w:r>
        <w:rPr>
          <w:b/>
          <w:bCs/>
          <w:color w:val="000000"/>
          <w:sz w:val="24"/>
          <w:szCs w:val="24"/>
        </w:rPr>
        <w:t>6.4 Dependencies Documentation</w:t>
      </w:r>
    </w:p>
    <w:p w14:paraId="3BAA8F1D">
      <w:pPr>
        <w:spacing w:after="140"/>
        <w:jc w:val="both"/>
      </w:pPr>
      <w:r>
        <w:rPr>
          <w:b w:val="0"/>
          <w:bCs w:val="0"/>
          <w:i w:val="0"/>
          <w:iCs w:val="0"/>
          <w:color w:val="000000"/>
          <w:sz w:val="22"/>
          <w:szCs w:val="22"/>
        </w:rPr>
        <w:t>Dependencies are documented indirectly via package.json in both /client and /server, and are correctly locked using package-lock.json to ensure reproducible installs. An explicit list of major dependencies and their purpose is not included in the README.</w:t>
      </w:r>
    </w:p>
    <w:p w14:paraId="2A42B4C2">
      <w:pPr>
        <w:pStyle w:val="3"/>
        <w:spacing w:before="220" w:after="120"/>
        <w:jc w:val="both"/>
      </w:pPr>
      <w:r>
        <w:rPr>
          <w:b/>
          <w:bCs/>
          <w:color w:val="000000"/>
          <w:sz w:val="24"/>
          <w:szCs w:val="24"/>
        </w:rPr>
        <w:t>6.5 Suggested Improvements</w:t>
      </w:r>
    </w:p>
    <w:p w14:paraId="2728B6A7">
      <w:pPr>
        <w:pStyle w:val="16"/>
        <w:numPr>
          <w:ilvl w:val="0"/>
          <w:numId w:val="1"/>
        </w:numPr>
        <w:spacing w:after="80"/>
        <w:jc w:val="both"/>
      </w:pPr>
      <w:r>
        <w:rPr>
          <w:color w:val="000000"/>
          <w:sz w:val="22"/>
          <w:szCs w:val="22"/>
        </w:rPr>
        <w:t>Add an API reference section (or link to a Postman collection) documenting all available endpoints.</w:t>
      </w:r>
    </w:p>
    <w:p w14:paraId="4CFE42AB">
      <w:pPr>
        <w:pStyle w:val="16"/>
        <w:numPr>
          <w:ilvl w:val="0"/>
          <w:numId w:val="1"/>
        </w:numPr>
        <w:spacing w:after="80"/>
        <w:jc w:val="both"/>
      </w:pPr>
      <w:r>
        <w:rPr>
          <w:color w:val="000000"/>
          <w:sz w:val="22"/>
          <w:szCs w:val="22"/>
        </w:rPr>
        <w:t>Document required environment variables with example values in a .env.example file.</w:t>
      </w:r>
    </w:p>
    <w:p w14:paraId="49CD31E0">
      <w:pPr>
        <w:pStyle w:val="16"/>
        <w:numPr>
          <w:ilvl w:val="0"/>
          <w:numId w:val="1"/>
        </w:numPr>
        <w:spacing w:after="80"/>
        <w:jc w:val="both"/>
      </w:pPr>
      <w:r>
        <w:rPr>
          <w:color w:val="000000"/>
          <w:sz w:val="22"/>
          <w:szCs w:val="22"/>
        </w:rPr>
        <w:t>Add a troubleshooting/FAQ section covering common setup issues (port conflicts, MongoDB connection errors).</w:t>
      </w:r>
    </w:p>
    <w:p w14:paraId="61B895D9">
      <w:pPr>
        <w:pStyle w:val="16"/>
        <w:numPr>
          <w:ilvl w:val="0"/>
          <w:numId w:val="1"/>
        </w:numPr>
        <w:spacing w:after="80"/>
        <w:jc w:val="both"/>
      </w:pPr>
      <w:r>
        <w:rPr>
          <w:color w:val="000000"/>
          <w:sz w:val="22"/>
          <w:szCs w:val="22"/>
        </w:rPr>
        <w:t>Include architecture and ER diagrams directly in /docs for quicker onboarding.</w:t>
      </w:r>
    </w:p>
    <w:p w14:paraId="1A81D7E6">
      <w:pPr>
        <w:pStyle w:val="2"/>
        <w:spacing w:before="300" w:after="150"/>
        <w:jc w:val="both"/>
      </w:pPr>
      <w:r>
        <w:rPr>
          <w:b/>
          <w:bCs/>
          <w:color w:val="000000"/>
          <w:sz w:val="28"/>
          <w:szCs w:val="28"/>
        </w:rPr>
        <w:t>7. Code Review Findings and Recommendations</w:t>
      </w:r>
    </w:p>
    <w:p w14:paraId="54F8356F">
      <w:pPr>
        <w:pStyle w:val="3"/>
        <w:spacing w:before="220" w:after="120"/>
        <w:jc w:val="both"/>
      </w:pPr>
      <w:r>
        <w:rPr>
          <w:b/>
          <w:bCs/>
          <w:color w:val="000000"/>
          <w:sz w:val="24"/>
          <w:szCs w:val="24"/>
        </w:rPr>
        <w:t>7.1 Summary of Findings</w:t>
      </w:r>
    </w:p>
    <w:p w14:paraId="14BB6A66">
      <w:pPr>
        <w:spacing w:after="140"/>
        <w:jc w:val="both"/>
      </w:pPr>
      <w:r>
        <w:rPr>
          <w:b w:val="0"/>
          <w:bCs w:val="0"/>
          <w:i w:val="0"/>
          <w:iCs w:val="0"/>
          <w:color w:val="000000"/>
          <w:sz w:val="22"/>
          <w:szCs w:val="22"/>
        </w:rPr>
        <w:t>The reviewed repository demonstrates a solid full-stack implementation with a clear separation of concerns, a functional containerized deployment, and a generally healthy Git workflow. The most significant strengths are the layered backend architecture, consistent naming conventions, and the presence of automated tests covering core business logic. The most notable gaps are inconsistent inline documentation, a README that omits API and environment-variable details, and a small number of early commits with low-quality messages.</w:t>
      </w:r>
    </w:p>
    <w:p w14:paraId="6B1EED1F">
      <w:pPr>
        <w:pStyle w:val="3"/>
        <w:spacing w:before="220" w:after="120"/>
        <w:jc w:val="both"/>
      </w:pPr>
      <w:r>
        <w:rPr>
          <w:b/>
          <w:bCs/>
          <w:color w:val="000000"/>
          <w:sz w:val="24"/>
          <w:szCs w:val="24"/>
        </w:rPr>
        <w:t>7.2 Recommendations</w:t>
      </w:r>
    </w:p>
    <w:p w14:paraId="4EB19A35">
      <w:pPr>
        <w:pStyle w:val="16"/>
        <w:numPr>
          <w:ilvl w:val="0"/>
          <w:numId w:val="1"/>
        </w:numPr>
        <w:spacing w:after="80"/>
        <w:jc w:val="both"/>
      </w:pPr>
      <w:r>
        <w:rPr>
          <w:color w:val="000000"/>
          <w:sz w:val="22"/>
          <w:szCs w:val="22"/>
        </w:rPr>
        <w:t>Code Quality: Extract logic embedded in frontend components into hooks/services; retroactively apply linting to older files.</w:t>
      </w:r>
    </w:p>
    <w:p w14:paraId="613F6F26">
      <w:pPr>
        <w:pStyle w:val="16"/>
        <w:numPr>
          <w:ilvl w:val="0"/>
          <w:numId w:val="1"/>
        </w:numPr>
        <w:spacing w:after="80"/>
        <w:jc w:val="both"/>
      </w:pPr>
      <w:r>
        <w:rPr>
          <w:color w:val="000000"/>
          <w:sz w:val="22"/>
          <w:szCs w:val="22"/>
        </w:rPr>
        <w:t>Repository Management: Adopt consistent commit-message conventions from project start (e.g., Conventional Commits) and use Git tags for release milestones.</w:t>
      </w:r>
    </w:p>
    <w:p w14:paraId="69C43B83">
      <w:pPr>
        <w:pStyle w:val="16"/>
        <w:numPr>
          <w:ilvl w:val="0"/>
          <w:numId w:val="1"/>
        </w:numPr>
        <w:spacing w:after="80"/>
        <w:jc w:val="both"/>
      </w:pPr>
      <w:r>
        <w:rPr>
          <w:color w:val="000000"/>
          <w:sz w:val="22"/>
          <w:szCs w:val="22"/>
        </w:rPr>
        <w:t>Documentation: Expand README with API reference, environment variable documentation, and an explicit dependency list.</w:t>
      </w:r>
    </w:p>
    <w:p w14:paraId="479DAFDE">
      <w:pPr>
        <w:pStyle w:val="16"/>
        <w:numPr>
          <w:ilvl w:val="0"/>
          <w:numId w:val="1"/>
        </w:numPr>
        <w:spacing w:after="80"/>
        <w:jc w:val="both"/>
      </w:pPr>
      <w:r>
        <w:rPr>
          <w:color w:val="000000"/>
          <w:sz w:val="22"/>
          <w:szCs w:val="22"/>
        </w:rPr>
        <w:t>Testing: Increase frontend automated test coverage (currently manual only) using a tool such as React Testing Library.</w:t>
      </w:r>
    </w:p>
    <w:p w14:paraId="36C651BA">
      <w:pPr>
        <w:pStyle w:val="16"/>
        <w:numPr>
          <w:ilvl w:val="0"/>
          <w:numId w:val="1"/>
        </w:numPr>
        <w:spacing w:after="80"/>
        <w:jc w:val="both"/>
      </w:pPr>
      <w:r>
        <w:rPr>
          <w:color w:val="000000"/>
          <w:sz w:val="22"/>
          <w:szCs w:val="22"/>
        </w:rPr>
        <w:t>Future Enhancements: Add role-based rate limiting on the API, introduce a staging branch/environment ahead of main, and add automated Docker image builds to the CI pipeline.</w:t>
      </w:r>
    </w:p>
    <w:p w14:paraId="0D6C8945">
      <w:pPr>
        <w:pStyle w:val="3"/>
        <w:spacing w:before="220" w:after="120"/>
        <w:jc w:val="both"/>
      </w:pPr>
      <w:r>
        <w:rPr>
          <w:b/>
          <w:bCs/>
          <w:color w:val="000000"/>
          <w:sz w:val="24"/>
          <w:szCs w:val="24"/>
        </w:rPr>
        <w:t>7.3 Conclusion</w:t>
      </w:r>
    </w:p>
    <w:p w14:paraId="200F4C7F">
      <w:pPr>
        <w:spacing w:after="140"/>
        <w:jc w:val="both"/>
      </w:pPr>
      <w:r>
        <w:rPr>
          <w:b w:val="0"/>
          <w:bCs w:val="0"/>
          <w:i w:val="0"/>
          <w:iCs w:val="0"/>
          <w:color w:val="000000"/>
          <w:sz w:val="22"/>
          <w:szCs w:val="22"/>
        </w:rPr>
        <w:t>Overall, the project satisfies the CO3 requirements of building a full-stack application with containerization, version control, and collaborative development practices. Addressing the documentation and testing gaps identified above would raise the repository from a well-structured academic project to a production-re</w:t>
      </w:r>
      <w:bookmarkEnd w:id="0"/>
      <w:r>
        <w:rPr>
          <w:b w:val="0"/>
          <w:bCs w:val="0"/>
          <w:i w:val="0"/>
          <w:iCs w:val="0"/>
          <w:color w:val="000000"/>
          <w:sz w:val="22"/>
          <w:szCs w:val="22"/>
        </w:rPr>
        <w:t>ady, easily maintainable codebase.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documentProtection w:enforcement="0"/>
  <w:compat>
    <w:compatSetting w:name="compatibilityMode" w:uri="http://schemas.microsoft.com/office/word" w:val="15"/>
  </w:compat>
  <w:rsids>
    <w:rsidRoot w:val="00000000"/>
    <w:rsid w:val="18D212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1856</Words>
  <Characters>12125</Characters>
  <TotalTime>2</TotalTime>
  <ScaleCrop>false</ScaleCrop>
  <LinksUpToDate>false</LinksUpToDate>
  <CharactersWithSpaces>13839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2026-08-09T12:55:00Z</dcterms:created>
  <dc:creator>Un-named</dc:creator>
  <cp:lastModifiedBy>SHEELA M</cp:lastModifiedBy>
  <dcterms:modified xsi:type="dcterms:W3CDTF">2026-08-09T13:02:22Z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eyJoZGlkIjoiYzc0ZWE5OGM1YzA5NjFhNjQzOGNjNmM2NDIwZDRjMGEiLCJ1c2VySWQiOiI1Njc2NjI3OTc2OTIifQ==</vt:lpwstr>
  </property>
  <property fmtid="{D5CDD505-2E9C-101B-9397-08002B2CF9AE}" pid="3" name="KSOProductBuildVer">
    <vt:lpwstr>1033-12.1.0.28032</vt:lpwstr>
  </property>
  <property fmtid="{D5CDD505-2E9C-101B-9397-08002B2CF9AE}" pid="4" name="ICV">
    <vt:lpwstr>0866F52304744D51B89A6FAE0C0FCD82_13</vt:lpwstr>
  </property>
</Properties>
</file>