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15144" w14:textId="28CE9DB5" w:rsidR="00D62370" w:rsidRDefault="00D62370">
      <w:pPr>
        <w:pageBreakBefore/>
      </w:pPr>
    </w:p>
    <w:p w14:paraId="53F3252B" w14:textId="207D5AB0" w:rsidR="00692D73" w:rsidRDefault="00A00A40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bookmarkStart w:id="0" w:name="_GoBack"/>
      <w:r>
        <w:rPr>
          <w:color w:val="0D0D0D" w:themeColor="text1" w:themeTint="F2"/>
        </w:rPr>
        <w:t>BALAJI B (192521227)</w:t>
      </w:r>
    </w:p>
    <w:bookmarkEnd w:id="0"/>
    <w:p w14:paraId="70CBB95A" w14:textId="4CF40B5C" w:rsidR="00692D73" w:rsidRDefault="00692D73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CSA1511-CLOUD COMPUTING AND BIG DATA ANALYSIS</w:t>
      </w:r>
    </w:p>
    <w:p w14:paraId="3ECE3E8F" w14:textId="0635E085" w:rsidR="00692D73" w:rsidRDefault="00692D73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CO2-ASSESSEMENT TOOL 4</w:t>
      </w:r>
    </w:p>
    <w:p w14:paraId="55E347E2" w14:textId="77777777" w:rsidR="00692D73" w:rsidRDefault="00692D73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</w:p>
    <w:p w14:paraId="2FF75AC5" w14:textId="02077EE2" w:rsidR="00D62370" w:rsidRPr="00692D73" w:rsidRDefault="00692D73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A00A40" w:rsidRPr="00692D73">
        <w:rPr>
          <w:color w:val="0D0D0D" w:themeColor="text1" w:themeTint="F2"/>
        </w:rPr>
        <w:t xml:space="preserve"> Type-1 vs Type-2 Hypervisors for a Mission-Critical Cloud </w:t>
      </w:r>
      <w:proofErr w:type="spellStart"/>
      <w:r w:rsidR="00A00A40" w:rsidRPr="00692D73">
        <w:rPr>
          <w:color w:val="0D0D0D" w:themeColor="text1" w:themeTint="F2"/>
        </w:rPr>
        <w:t>Datacenter</w:t>
      </w:r>
      <w:proofErr w:type="spellEnd"/>
    </w:p>
    <w:p w14:paraId="3F6212D4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 xml:space="preserve">A hypervisor is the virtualization layer that allows multiple virtual machines (VMs) to </w:t>
      </w:r>
      <w:r w:rsidRPr="00692D73">
        <w:rPr>
          <w:sz w:val="24"/>
          <w:szCs w:val="24"/>
        </w:rPr>
        <w:t>share physical hardware. The two architectural classes differ fundamentally in where they sit relative to the host operating system, which drives every downstream difference in performance, security, and manageability.</w:t>
      </w:r>
    </w:p>
    <w:p w14:paraId="307931FF" w14:textId="77777777" w:rsidR="00D62370" w:rsidRPr="00692D73" w:rsidRDefault="00A00A40">
      <w:pPr>
        <w:pStyle w:val="Heading2"/>
        <w:spacing w:before="220" w:after="100"/>
      </w:pPr>
      <w:r w:rsidRPr="00692D73">
        <w:t>Architectural Difference</w:t>
      </w:r>
    </w:p>
    <w:p w14:paraId="347FDB74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>Type-1 (bare</w:t>
      </w:r>
      <w:r w:rsidRPr="00692D73">
        <w:rPr>
          <w:b/>
          <w:bCs/>
          <w:sz w:val="24"/>
          <w:szCs w:val="24"/>
        </w:rPr>
        <w:t xml:space="preserve">-metal): </w:t>
      </w:r>
      <w:r w:rsidRPr="00692D73">
        <w:rPr>
          <w:sz w:val="24"/>
          <w:szCs w:val="24"/>
        </w:rPr>
        <w:t xml:space="preserve">Runs directly on physical hardware (e.g., VMware </w:t>
      </w:r>
      <w:proofErr w:type="spellStart"/>
      <w:r w:rsidRPr="00692D73">
        <w:rPr>
          <w:sz w:val="24"/>
          <w:szCs w:val="24"/>
        </w:rPr>
        <w:t>ESXi</w:t>
      </w:r>
      <w:proofErr w:type="spellEnd"/>
      <w:r w:rsidRPr="00692D73">
        <w:rPr>
          <w:sz w:val="24"/>
          <w:szCs w:val="24"/>
        </w:rPr>
        <w:t>, Microsoft Hyper-V, KVM/</w:t>
      </w:r>
      <w:proofErr w:type="spellStart"/>
      <w:r w:rsidRPr="00692D73">
        <w:rPr>
          <w:sz w:val="24"/>
          <w:szCs w:val="24"/>
        </w:rPr>
        <w:t>Xen</w:t>
      </w:r>
      <w:proofErr w:type="spellEnd"/>
      <w:r w:rsidRPr="00692D73">
        <w:rPr>
          <w:sz w:val="24"/>
          <w:szCs w:val="24"/>
        </w:rPr>
        <w:t>). It has direct access to CPU, memory, and I/O devices.</w:t>
      </w:r>
    </w:p>
    <w:p w14:paraId="2812C67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Type-2 (hosted): </w:t>
      </w:r>
      <w:r w:rsidRPr="00692D73">
        <w:rPr>
          <w:sz w:val="24"/>
          <w:szCs w:val="24"/>
        </w:rPr>
        <w:t>Runs as an application on top of a conventional host OS (e.g., VMware Workstation, Oracle Vi</w:t>
      </w:r>
      <w:r w:rsidRPr="00692D73">
        <w:rPr>
          <w:sz w:val="24"/>
          <w:szCs w:val="24"/>
        </w:rPr>
        <w:t>rtualBox). All hardware access is mediated by the host OS.</w:t>
      </w:r>
    </w:p>
    <w:p w14:paraId="7355589D" w14:textId="77777777" w:rsidR="00D62370" w:rsidRPr="00692D73" w:rsidRDefault="00A00A40">
      <w:pPr>
        <w:pStyle w:val="Heading2"/>
        <w:spacing w:before="220" w:after="100"/>
      </w:pPr>
      <w:r w:rsidRPr="00692D73">
        <w:t>Performance Analysis</w:t>
      </w:r>
    </w:p>
    <w:p w14:paraId="2C356983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Type-1: </w:t>
      </w:r>
      <w:r w:rsidRPr="00692D73">
        <w:rPr>
          <w:sz w:val="24"/>
          <w:szCs w:val="24"/>
        </w:rPr>
        <w:t>Near-native performance because the hypervisor schedules CPU and memory directly; I/O passthrough (SR-IOV, VT-d) is possible, giving low latency and high throughput — e</w:t>
      </w:r>
      <w:r w:rsidRPr="00692D73">
        <w:rPr>
          <w:sz w:val="24"/>
          <w:szCs w:val="24"/>
        </w:rPr>
        <w:t>ssential for databases, ERP, and real-time transaction systems.</w:t>
      </w:r>
    </w:p>
    <w:p w14:paraId="181D7E6A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Type-2: </w:t>
      </w:r>
      <w:r w:rsidRPr="00692D73">
        <w:rPr>
          <w:sz w:val="24"/>
          <w:szCs w:val="24"/>
        </w:rPr>
        <w:t>Every hardware call passes through the host OS kernel, adding scheduling and context-switch overhead. Acceptable for development/testing, but unsuitable for consistent low-latency, hig</w:t>
      </w:r>
      <w:r w:rsidRPr="00692D73">
        <w:rPr>
          <w:sz w:val="24"/>
          <w:szCs w:val="24"/>
        </w:rPr>
        <w:t>h-throughput production workloads.</w:t>
      </w:r>
    </w:p>
    <w:p w14:paraId="3E876859" w14:textId="77777777" w:rsidR="00D62370" w:rsidRPr="00692D73" w:rsidRDefault="00A00A40">
      <w:pPr>
        <w:pStyle w:val="Heading2"/>
        <w:spacing w:before="220" w:after="100"/>
      </w:pPr>
      <w:r w:rsidRPr="00692D73">
        <w:t>Security Analysis</w:t>
      </w:r>
    </w:p>
    <w:p w14:paraId="6BBAEEE1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Type-1: </w:t>
      </w:r>
      <w:r w:rsidRPr="00692D73">
        <w:rPr>
          <w:sz w:val="24"/>
          <w:szCs w:val="24"/>
        </w:rPr>
        <w:t>Smaller trusted computing base (TCB) since there is no general-purpose host OS to patch or exploit; a thin hypervisor kernel reduces the attack surface and supports strong VM isolation, which mat</w:t>
      </w:r>
      <w:r w:rsidRPr="00692D73">
        <w:rPr>
          <w:sz w:val="24"/>
          <w:szCs w:val="24"/>
        </w:rPr>
        <w:t>ters when tenants do not trust each other.</w:t>
      </w:r>
    </w:p>
    <w:p w14:paraId="7D6B11B0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lastRenderedPageBreak/>
        <w:t xml:space="preserve">Type-2: </w:t>
      </w:r>
      <w:r w:rsidRPr="00692D73">
        <w:rPr>
          <w:sz w:val="24"/>
          <w:szCs w:val="24"/>
        </w:rPr>
        <w:t>Inherits every vulnerability of the underlying host OS. A compromise of the host OS (malware, privilege escalation) can compromise every guest VM above it, making it a weaker fit for regulated, mission-cri</w:t>
      </w:r>
      <w:r w:rsidRPr="00692D73">
        <w:rPr>
          <w:sz w:val="24"/>
          <w:szCs w:val="24"/>
        </w:rPr>
        <w:t>tical data.</w:t>
      </w:r>
    </w:p>
    <w:p w14:paraId="0F929922" w14:textId="77777777" w:rsidR="00D62370" w:rsidRPr="00692D73" w:rsidRDefault="00A00A40">
      <w:pPr>
        <w:pStyle w:val="Heading2"/>
        <w:spacing w:before="220" w:after="100"/>
      </w:pPr>
      <w:r w:rsidRPr="00692D73">
        <w:t>Manageability Analysis</w:t>
      </w:r>
    </w:p>
    <w:p w14:paraId="06095B23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Type-1: </w:t>
      </w:r>
      <w:r w:rsidRPr="00692D73">
        <w:rPr>
          <w:sz w:val="24"/>
          <w:szCs w:val="24"/>
        </w:rPr>
        <w:t>Built for scale — centralized management consoles (vCenter, SCVMM), live migration, clustering, automated failover, and integration with software-defined storage/networking.</w:t>
      </w:r>
    </w:p>
    <w:p w14:paraId="2FFA0084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Type-2: </w:t>
      </w:r>
      <w:r w:rsidRPr="00692D73">
        <w:rPr>
          <w:sz w:val="24"/>
          <w:szCs w:val="24"/>
        </w:rPr>
        <w:t>Simpler to install on an existi</w:t>
      </w:r>
      <w:r w:rsidRPr="00692D73">
        <w:rPr>
          <w:sz w:val="24"/>
          <w:szCs w:val="24"/>
        </w:rPr>
        <w:t xml:space="preserve">ng desktop/laptop but lacks enterprise orchestration, centralized policy control, and clustering features needed for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>-scale operations.</w:t>
      </w:r>
    </w:p>
    <w:p w14:paraId="24F2A7A3" w14:textId="77777777" w:rsidR="00D62370" w:rsidRPr="00692D73" w:rsidRDefault="00A00A40">
      <w:pPr>
        <w:pStyle w:val="Heading2"/>
        <w:spacing w:before="220" w:after="100"/>
      </w:pPr>
      <w:r w:rsidRPr="00692D73">
        <w:t>Comparison 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700"/>
      </w:tblGrid>
      <w:tr w:rsidR="00D62370" w:rsidRPr="00692D73" w14:paraId="1564B136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F056" w14:textId="77777777" w:rsidR="00D62370" w:rsidRPr="00692D73" w:rsidRDefault="00A00A40">
            <w:pPr>
              <w:jc w:val="center"/>
              <w:rPr>
                <w:sz w:val="24"/>
                <w:szCs w:val="24"/>
              </w:rPr>
            </w:pPr>
            <w:r w:rsidRPr="00692D73">
              <w:rPr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3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B7BC" w14:textId="77777777" w:rsidR="00D62370" w:rsidRPr="00692D73" w:rsidRDefault="00A00A40">
            <w:pPr>
              <w:jc w:val="center"/>
              <w:rPr>
                <w:sz w:val="24"/>
                <w:szCs w:val="24"/>
              </w:rPr>
            </w:pPr>
            <w:r w:rsidRPr="00692D73">
              <w:rPr>
                <w:b/>
                <w:bCs/>
                <w:sz w:val="24"/>
                <w:szCs w:val="24"/>
              </w:rPr>
              <w:t>Type-1 (Bare-Metal)</w:t>
            </w:r>
          </w:p>
        </w:tc>
        <w:tc>
          <w:tcPr>
            <w:tcW w:w="3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6C61" w14:textId="77777777" w:rsidR="00D62370" w:rsidRPr="00692D73" w:rsidRDefault="00A00A40">
            <w:pPr>
              <w:jc w:val="center"/>
              <w:rPr>
                <w:sz w:val="24"/>
                <w:szCs w:val="24"/>
              </w:rPr>
            </w:pPr>
            <w:r w:rsidRPr="00692D73">
              <w:rPr>
                <w:b/>
                <w:bCs/>
                <w:sz w:val="24"/>
                <w:szCs w:val="24"/>
              </w:rPr>
              <w:t>Type-2 (Hosted)</w:t>
            </w:r>
          </w:p>
        </w:tc>
      </w:tr>
      <w:tr w:rsidR="00D62370" w:rsidRPr="00692D73" w14:paraId="27532187" w14:textId="77777777"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34B7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Deployment layer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30FD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Directly on hardware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31F3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On top</w:t>
            </w:r>
            <w:r w:rsidRPr="00692D73">
              <w:rPr>
                <w:sz w:val="24"/>
                <w:szCs w:val="24"/>
              </w:rPr>
              <w:t xml:space="preserve"> of host OS</w:t>
            </w:r>
          </w:p>
        </w:tc>
      </w:tr>
      <w:tr w:rsidR="00D62370" w:rsidRPr="00692D73" w14:paraId="5BF93867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0166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Performance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793A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Near-native, low overhead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7160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Higher overhead, host-OS dependent</w:t>
            </w:r>
          </w:p>
        </w:tc>
      </w:tr>
      <w:tr w:rsidR="00D62370" w:rsidRPr="00692D73" w14:paraId="42BFDEDE" w14:textId="77777777"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C108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Security (TCB)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FBD1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Small, isolated attack surface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4557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Inherits host OS vulnerabilities</w:t>
            </w:r>
          </w:p>
        </w:tc>
      </w:tr>
      <w:tr w:rsidR="00D62370" w:rsidRPr="00692D73" w14:paraId="5CB27380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B055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Scalability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83E0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Clustering, live migration, HA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D76E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Limited, single-host oriented</w:t>
            </w:r>
          </w:p>
        </w:tc>
      </w:tr>
      <w:tr w:rsidR="00D62370" w:rsidRPr="00692D73" w14:paraId="34A75898" w14:textId="77777777"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CC7E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Typical use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D332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 xml:space="preserve">Production </w:t>
            </w:r>
            <w:proofErr w:type="spellStart"/>
            <w:r w:rsidRPr="00692D73">
              <w:rPr>
                <w:sz w:val="24"/>
                <w:szCs w:val="24"/>
              </w:rPr>
              <w:t>datacenters</w:t>
            </w:r>
            <w:proofErr w:type="spellEnd"/>
            <w:r w:rsidRPr="00692D73">
              <w:rPr>
                <w:sz w:val="24"/>
                <w:szCs w:val="24"/>
              </w:rPr>
              <w:t>, cloud platforms</w:t>
            </w:r>
          </w:p>
        </w:tc>
        <w:tc>
          <w:tcPr>
            <w:tcW w:w="37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DB56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Development, testing, personal use</w:t>
            </w:r>
          </w:p>
        </w:tc>
      </w:tr>
      <w:tr w:rsidR="00D62370" w:rsidRPr="00692D73" w14:paraId="44925D77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9DB5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Management tools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DE1A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Enterprise-grade (vCenter, SCVMM)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71DF" w14:textId="77777777" w:rsidR="00D62370" w:rsidRPr="00692D73" w:rsidRDefault="00A00A40">
            <w:pPr>
              <w:rPr>
                <w:sz w:val="24"/>
                <w:szCs w:val="24"/>
              </w:rPr>
            </w:pPr>
            <w:r w:rsidRPr="00692D73">
              <w:rPr>
                <w:sz w:val="24"/>
                <w:szCs w:val="24"/>
              </w:rPr>
              <w:t>Basic, per-machine</w:t>
            </w:r>
          </w:p>
        </w:tc>
      </w:tr>
    </w:tbl>
    <w:p w14:paraId="3E1875D2" w14:textId="77777777" w:rsidR="00D62370" w:rsidRPr="00692D73" w:rsidRDefault="00D62370">
      <w:pPr>
        <w:spacing w:before="200"/>
        <w:rPr>
          <w:sz w:val="24"/>
          <w:szCs w:val="24"/>
        </w:rPr>
      </w:pPr>
    </w:p>
    <w:p w14:paraId="4B6CE017" w14:textId="77777777" w:rsidR="00D62370" w:rsidRPr="00692D73" w:rsidRDefault="00A00A40">
      <w:pPr>
        <w:pStyle w:val="Heading2"/>
        <w:spacing w:before="220" w:after="100"/>
      </w:pPr>
      <w:r w:rsidRPr="00692D73">
        <w:t>Justified Recommendation</w:t>
      </w:r>
    </w:p>
    <w:p w14:paraId="2ADDB44A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 xml:space="preserve">For a cloud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 xml:space="preserve"> hosting mission-critical applications, the Type-1 (bare-metal) hypervisor is the better choice. Its direct hardware access delivers the low-latency, high-throughput performance mission-critical workloads demand; its minimal trusted computing base and stro</w:t>
      </w:r>
      <w:r w:rsidRPr="00692D73">
        <w:rPr>
          <w:sz w:val="24"/>
          <w:szCs w:val="24"/>
        </w:rPr>
        <w:t xml:space="preserve">ng VM isolation meet stringent security and compliance requirements; and its native support for clustering, live migration, and centralized orchestration provides the manageability and high availability that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>-scale operations require. Type-2 hype</w:t>
      </w:r>
      <w:r w:rsidRPr="00692D73">
        <w:rPr>
          <w:sz w:val="24"/>
          <w:szCs w:val="24"/>
        </w:rPr>
        <w:t>rvisors remain appropriate only for non-production use cases such as development sandboxes.</w:t>
      </w:r>
    </w:p>
    <w:p w14:paraId="165A3DDF" w14:textId="77777777" w:rsidR="00D62370" w:rsidRDefault="00D62370">
      <w:pPr>
        <w:pageBreakBefore/>
      </w:pPr>
    </w:p>
    <w:p w14:paraId="1F045653" w14:textId="590AD6C4" w:rsidR="00D62370" w:rsidRPr="00692D73" w:rsidRDefault="00A00A40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2. Isolating Finance, Healthcare, and Student Portal Workloads on Shared Hardware</w:t>
      </w:r>
    </w:p>
    <w:p w14:paraId="04707E7B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When workloads with very different sensitivity levels (financial data, healthcare</w:t>
      </w:r>
      <w:r w:rsidRPr="00692D73">
        <w:rPr>
          <w:sz w:val="24"/>
          <w:szCs w:val="24"/>
        </w:rPr>
        <w:t xml:space="preserve"> records under HIPAA-like regulation, and general student-portal traffic) share the same physical hardware, the virtualization architecture becomes the primary control that keeps tenants from interfering with or observing one another.</w:t>
      </w:r>
    </w:p>
    <w:p w14:paraId="6AB0DD5E" w14:textId="77777777" w:rsidR="00D62370" w:rsidRPr="00692D73" w:rsidRDefault="00A00A40">
      <w:pPr>
        <w:pStyle w:val="Heading2"/>
        <w:spacing w:before="220" w:after="100"/>
      </w:pPr>
      <w:r w:rsidRPr="00692D73">
        <w:t>How Virtualization Ar</w:t>
      </w:r>
      <w:r w:rsidRPr="00692D73">
        <w:t>chitecture Supports Isolation</w:t>
      </w:r>
    </w:p>
    <w:p w14:paraId="1E295131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Hardware-assisted virtualization: </w:t>
      </w:r>
      <w:r w:rsidRPr="00692D73">
        <w:rPr>
          <w:sz w:val="24"/>
          <w:szCs w:val="24"/>
        </w:rPr>
        <w:t>CPU extensions (Intel VT-x/VT-d, AMD-V) let the hypervisor enforce separate memory address spaces and I/O paths per VM, preventing one tenant's VM from directly reading another's memory.</w:t>
      </w:r>
    </w:p>
    <w:p w14:paraId="321C89D0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Hypervisor-level VM isolation: </w:t>
      </w:r>
      <w:r w:rsidRPr="00692D73">
        <w:rPr>
          <w:sz w:val="24"/>
          <w:szCs w:val="24"/>
        </w:rPr>
        <w:t>Each tenant's workload runs in its own VM with a dedicated virtual CPU, memory, and virtual NIC; the hypervisor mediates every resource request, so a fault or breach in one VM does not propagate to another.</w:t>
      </w:r>
    </w:p>
    <w:p w14:paraId="0BDFAF35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>Virtual networking</w:t>
      </w:r>
      <w:r w:rsidRPr="00692D73">
        <w:rPr>
          <w:b/>
          <w:bCs/>
          <w:sz w:val="24"/>
          <w:szCs w:val="24"/>
        </w:rPr>
        <w:t xml:space="preserve"> segmentation: </w:t>
      </w:r>
      <w:r w:rsidRPr="00692D73">
        <w:rPr>
          <w:sz w:val="24"/>
          <w:szCs w:val="24"/>
        </w:rPr>
        <w:t>VLANs, virtual switches, and micro-segmentation/firewall policies keep the finance, healthcare, and student-portal network segments logically separate even though they traverse the same physical switches.</w:t>
      </w:r>
    </w:p>
    <w:p w14:paraId="1F51320A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Resource pooling with quotas: </w:t>
      </w:r>
      <w:r w:rsidRPr="00692D73">
        <w:rPr>
          <w:sz w:val="24"/>
          <w:szCs w:val="24"/>
        </w:rPr>
        <w:t>Reserv</w:t>
      </w:r>
      <w:r w:rsidRPr="00692D73">
        <w:rPr>
          <w:sz w:val="24"/>
          <w:szCs w:val="24"/>
        </w:rPr>
        <w:t xml:space="preserve">ations, limits, and shares (CPU/memory/storage QoS) stop a noisy student-portal workload from starving the finance or healthcare VMs (the "noisy </w:t>
      </w:r>
      <w:proofErr w:type="spellStart"/>
      <w:r w:rsidRPr="00692D73">
        <w:rPr>
          <w:sz w:val="24"/>
          <w:szCs w:val="24"/>
        </w:rPr>
        <w:t>neighbor</w:t>
      </w:r>
      <w:proofErr w:type="spellEnd"/>
      <w:r w:rsidRPr="00692D73">
        <w:rPr>
          <w:sz w:val="24"/>
          <w:szCs w:val="24"/>
        </w:rPr>
        <w:t>" problem).</w:t>
      </w:r>
    </w:p>
    <w:p w14:paraId="08F95C70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Storage virtualization boundaries: </w:t>
      </w:r>
      <w:r w:rsidRPr="00692D73">
        <w:rPr>
          <w:sz w:val="24"/>
          <w:szCs w:val="24"/>
        </w:rPr>
        <w:t xml:space="preserve">Logical volumes, storage pools, and encryption keys per </w:t>
      </w:r>
      <w:r w:rsidRPr="00692D73">
        <w:rPr>
          <w:sz w:val="24"/>
          <w:szCs w:val="24"/>
        </w:rPr>
        <w:t>tenant ensure data-at-rest for healthcare records is cryptographically and logically separated from other tenants' data, supporting regulatory compliance.</w:t>
      </w:r>
    </w:p>
    <w:p w14:paraId="615BEE02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Policy and compliance zoning: </w:t>
      </w:r>
      <w:r w:rsidRPr="00692D73">
        <w:rPr>
          <w:sz w:val="24"/>
          <w:szCs w:val="24"/>
        </w:rPr>
        <w:t>Regulated workloads (healthcare, finance) can be pinned to specific com</w:t>
      </w:r>
      <w:r w:rsidRPr="00692D73">
        <w:rPr>
          <w:sz w:val="24"/>
          <w:szCs w:val="24"/>
        </w:rPr>
        <w:t>pliant hosts/clusters using affinity rules, while less sensitive workloads (student portal) run on general-purpose capacity.</w:t>
      </w:r>
    </w:p>
    <w:p w14:paraId="1EC69AD8" w14:textId="77777777" w:rsidR="00D62370" w:rsidRPr="00692D73" w:rsidRDefault="00A00A40">
      <w:pPr>
        <w:pStyle w:val="Heading2"/>
        <w:spacing w:before="220" w:after="100"/>
      </w:pPr>
      <w:r w:rsidRPr="00692D73">
        <w:t>Two Major Attack Surfaces</w:t>
      </w:r>
    </w:p>
    <w:p w14:paraId="442F1B52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1. Hypervisor / VM-escape vulnerabilities: </w:t>
      </w:r>
      <w:r w:rsidRPr="00692D73">
        <w:rPr>
          <w:sz w:val="24"/>
          <w:szCs w:val="24"/>
        </w:rPr>
        <w:t>If an attacker compromises a low-value VM (e.g., the student p</w:t>
      </w:r>
      <w:r w:rsidRPr="00692D73">
        <w:rPr>
          <w:sz w:val="24"/>
          <w:szCs w:val="24"/>
        </w:rPr>
        <w:t>ortal) and exploits a flaw in the hypervisor to "escape" the VM boundary, they could gain access to the host and, from there, to co-located higher-value VMs (finance, healthcare). This is the single most consequential shared-tenancy risk.</w:t>
      </w:r>
    </w:p>
    <w:p w14:paraId="5E38043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lastRenderedPageBreak/>
        <w:t>2. Shared managem</w:t>
      </w:r>
      <w:r w:rsidRPr="00692D73">
        <w:rPr>
          <w:b/>
          <w:bCs/>
          <w:sz w:val="24"/>
          <w:szCs w:val="24"/>
        </w:rPr>
        <w:t xml:space="preserve">ent and network control plane: </w:t>
      </w:r>
      <w:r w:rsidRPr="00692D73">
        <w:rPr>
          <w:sz w:val="24"/>
          <w:szCs w:val="24"/>
        </w:rPr>
        <w:t>The centralized hypervisor management console, orchestration API, and virtual network fabric (SDN controller) are common infrastructure across all tenants. A stolen credential, unpatched management API, or misconfigured virtu</w:t>
      </w:r>
      <w:r w:rsidRPr="00692D73">
        <w:rPr>
          <w:sz w:val="24"/>
          <w:szCs w:val="24"/>
        </w:rPr>
        <w:t>al switch/VLAN can expose cross-tenant traffic or allow unauthorized configuration changes affecting every workload on the shared hardware.</w:t>
      </w:r>
    </w:p>
    <w:p w14:paraId="26075DC5" w14:textId="77777777" w:rsidR="00D62370" w:rsidRPr="00692D73" w:rsidRDefault="00D62370">
      <w:pPr>
        <w:spacing w:before="100"/>
        <w:rPr>
          <w:sz w:val="24"/>
          <w:szCs w:val="24"/>
        </w:rPr>
      </w:pPr>
    </w:p>
    <w:p w14:paraId="03A51E98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Mitigation in practice combines the isolation mechanisms above with strict patch management for the hypervisor, net</w:t>
      </w:r>
      <w:r w:rsidRPr="00692D73">
        <w:rPr>
          <w:sz w:val="24"/>
          <w:szCs w:val="24"/>
        </w:rPr>
        <w:t>work micro-segmentation with default-deny rules, dedicated compliance clusters for regulated tenants, and continuous monitoring/intrusion detection at the hypervisor and virtual-network layers.</w:t>
      </w:r>
    </w:p>
    <w:p w14:paraId="70936064" w14:textId="77777777" w:rsidR="00D62370" w:rsidRDefault="00D62370">
      <w:pPr>
        <w:pageBreakBefore/>
      </w:pPr>
    </w:p>
    <w:p w14:paraId="60E5DEDA" w14:textId="0FDDFE63" w:rsidR="00D62370" w:rsidRPr="00692D73" w:rsidRDefault="00A00A40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3. VM Host Utilization Snapshot — Bottleneck Analysis and Cor</w:t>
      </w:r>
      <w:r w:rsidRPr="00692D73">
        <w:rPr>
          <w:color w:val="0D0D0D" w:themeColor="text1" w:themeTint="F2"/>
        </w:rPr>
        <w:t>rective Actions</w:t>
      </w:r>
    </w:p>
    <w:p w14:paraId="6DA33B37" w14:textId="77777777" w:rsidR="00D62370" w:rsidRPr="00692D73" w:rsidRDefault="00A00A40">
      <w:pPr>
        <w:pStyle w:val="Heading2"/>
        <w:spacing w:before="220" w:after="10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Snapshot Data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000"/>
        <w:gridCol w:w="2000"/>
      </w:tblGrid>
      <w:tr w:rsidR="00D62370" w:rsidRPr="00692D73" w14:paraId="57047C88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AE02" w14:textId="77777777" w:rsidR="00D62370" w:rsidRPr="00692D73" w:rsidRDefault="00A00A40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b/>
                <w:bCs/>
                <w:color w:val="0D0D0D" w:themeColor="text1" w:themeTint="F2"/>
                <w:sz w:val="24"/>
                <w:szCs w:val="24"/>
              </w:rPr>
              <w:t>Metric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5479" w14:textId="77777777" w:rsidR="00D62370" w:rsidRPr="00692D73" w:rsidRDefault="00A00A40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b/>
                <w:bCs/>
                <w:color w:val="0D0D0D" w:themeColor="text1" w:themeTint="F2"/>
                <w:sz w:val="24"/>
                <w:szCs w:val="24"/>
              </w:rPr>
              <w:t>Observed Value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8651" w14:textId="77777777" w:rsidR="00D62370" w:rsidRPr="00692D73" w:rsidRDefault="00A00A40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b/>
                <w:bCs/>
                <w:color w:val="0D0D0D" w:themeColor="text1" w:themeTint="F2"/>
                <w:sz w:val="24"/>
                <w:szCs w:val="24"/>
              </w:rPr>
              <w:t>Typical Healthy Range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9B87" w14:textId="77777777" w:rsidR="00D62370" w:rsidRPr="00692D73" w:rsidRDefault="00A00A40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b/>
                <w:bCs/>
                <w:color w:val="0D0D0D" w:themeColor="text1" w:themeTint="F2"/>
                <w:sz w:val="24"/>
                <w:szCs w:val="24"/>
              </w:rPr>
              <w:t>Status</w:t>
            </w:r>
          </w:p>
        </w:tc>
      </w:tr>
      <w:tr w:rsidR="00D62370" w:rsidRPr="00692D73" w14:paraId="76CE6172" w14:textId="77777777">
        <w:tc>
          <w:tcPr>
            <w:tcW w:w="3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5C39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CPU utilization</w:t>
            </w:r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E95A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92%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D1BA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&lt; 70–75% sustained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909C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Critical</w:t>
            </w:r>
          </w:p>
        </w:tc>
      </w:tr>
      <w:tr w:rsidR="00D62370" w:rsidRPr="00692D73" w14:paraId="7C0B8BB2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5C21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Memory utilization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8CB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88%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58C9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&lt; 80%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E65E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High</w:t>
            </w:r>
          </w:p>
        </w:tc>
      </w:tr>
      <w:tr w:rsidR="00D62370" w:rsidRPr="00692D73" w14:paraId="47E1884F" w14:textId="77777777">
        <w:tc>
          <w:tcPr>
            <w:tcW w:w="3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2CEA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Storage I/O latency</w:t>
            </w:r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F395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 xml:space="preserve">35 </w:t>
            </w:r>
            <w:proofErr w:type="spellStart"/>
            <w:r w:rsidRPr="00692D73">
              <w:rPr>
                <w:color w:val="0D0D0D" w:themeColor="text1" w:themeTint="F2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8E85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 xml:space="preserve">&lt; 10–15 </w:t>
            </w:r>
            <w:proofErr w:type="spellStart"/>
            <w:r w:rsidRPr="00692D73">
              <w:rPr>
                <w:color w:val="0D0D0D" w:themeColor="text1" w:themeTint="F2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53AB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Degraded</w:t>
            </w:r>
          </w:p>
        </w:tc>
      </w:tr>
      <w:tr w:rsidR="00D62370" w:rsidRPr="00692D73" w14:paraId="6D3AA4AD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1997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Average VM boot time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75FF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170 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7DB1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>30–60 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E922" w14:textId="77777777" w:rsidR="00D62370" w:rsidRPr="00692D73" w:rsidRDefault="00A00A40">
            <w:pPr>
              <w:rPr>
                <w:color w:val="0D0D0D" w:themeColor="text1" w:themeTint="F2"/>
                <w:sz w:val="24"/>
                <w:szCs w:val="24"/>
              </w:rPr>
            </w:pPr>
            <w:r w:rsidRPr="00692D73">
              <w:rPr>
                <w:color w:val="0D0D0D" w:themeColor="text1" w:themeTint="F2"/>
                <w:sz w:val="24"/>
                <w:szCs w:val="24"/>
              </w:rPr>
              <w:t xml:space="preserve">Very </w:t>
            </w:r>
            <w:r w:rsidRPr="00692D73">
              <w:rPr>
                <w:color w:val="0D0D0D" w:themeColor="text1" w:themeTint="F2"/>
                <w:sz w:val="24"/>
                <w:szCs w:val="24"/>
              </w:rPr>
              <w:t>slow</w:t>
            </w:r>
          </w:p>
        </w:tc>
      </w:tr>
    </w:tbl>
    <w:p w14:paraId="7DCC6D31" w14:textId="77777777" w:rsidR="00D62370" w:rsidRPr="00692D73" w:rsidRDefault="00D62370">
      <w:pPr>
        <w:spacing w:before="200"/>
        <w:rPr>
          <w:color w:val="0D0D0D" w:themeColor="text1" w:themeTint="F2"/>
          <w:sz w:val="24"/>
          <w:szCs w:val="24"/>
        </w:rPr>
      </w:pPr>
    </w:p>
    <w:p w14:paraId="2685E3D1" w14:textId="77777777" w:rsidR="00D62370" w:rsidRPr="00692D73" w:rsidRDefault="00A00A40">
      <w:pPr>
        <w:pStyle w:val="Heading2"/>
        <w:spacing w:before="220" w:after="10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Likely Bottlenecks</w:t>
      </w:r>
    </w:p>
    <w:p w14:paraId="79819BDE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CPU contention (92%): </w:t>
      </w:r>
      <w:r w:rsidRPr="00692D73">
        <w:rPr>
          <w:color w:val="0D0D0D" w:themeColor="text1" w:themeTint="F2"/>
          <w:sz w:val="24"/>
          <w:szCs w:val="24"/>
        </w:rPr>
        <w:t xml:space="preserve">Sustained near-saturation CPU indicates VM CPU scheduling queues are forming ("CPU ready time"); VMs are waiting for physical cores, which directly slows every process inside the guest, including boot </w:t>
      </w:r>
      <w:r w:rsidRPr="00692D73">
        <w:rPr>
          <w:color w:val="0D0D0D" w:themeColor="text1" w:themeTint="F2"/>
          <w:sz w:val="24"/>
          <w:szCs w:val="24"/>
        </w:rPr>
        <w:t>sequences.</w:t>
      </w:r>
    </w:p>
    <w:p w14:paraId="7C4596C5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Memory pressure (88%): </w:t>
      </w:r>
      <w:r w:rsidRPr="00692D73">
        <w:rPr>
          <w:color w:val="0D0D0D" w:themeColor="text1" w:themeTint="F2"/>
          <w:sz w:val="24"/>
          <w:szCs w:val="24"/>
        </w:rPr>
        <w:t xml:space="preserve">High memory usage likely triggers hypervisor memory-reclamation techniques (ballooning, compression, or worse, swapping to disk). Host-level swapping is especially damaging because it silently converts fast RAM operations </w:t>
      </w:r>
      <w:r w:rsidRPr="00692D73">
        <w:rPr>
          <w:color w:val="0D0D0D" w:themeColor="text1" w:themeTint="F2"/>
          <w:sz w:val="24"/>
          <w:szCs w:val="24"/>
        </w:rPr>
        <w:t>into slow disk operations.</w:t>
      </w:r>
    </w:p>
    <w:p w14:paraId="14B5FEFA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Storage I/O latency (35 </w:t>
      </w:r>
      <w:proofErr w:type="spellStart"/>
      <w:r w:rsidRPr="00692D73">
        <w:rPr>
          <w:b/>
          <w:bCs/>
          <w:color w:val="0D0D0D" w:themeColor="text1" w:themeTint="F2"/>
          <w:sz w:val="24"/>
          <w:szCs w:val="24"/>
        </w:rPr>
        <w:t>ms</w:t>
      </w:r>
      <w:proofErr w:type="spellEnd"/>
      <w:r w:rsidRPr="00692D73">
        <w:rPr>
          <w:b/>
          <w:bCs/>
          <w:color w:val="0D0D0D" w:themeColor="text1" w:themeTint="F2"/>
          <w:sz w:val="24"/>
          <w:szCs w:val="24"/>
        </w:rPr>
        <w:t xml:space="preserve">): </w:t>
      </w:r>
      <w:r w:rsidRPr="00692D73">
        <w:rPr>
          <w:color w:val="0D0D0D" w:themeColor="text1" w:themeTint="F2"/>
          <w:sz w:val="24"/>
          <w:szCs w:val="24"/>
        </w:rPr>
        <w:t>This is well above the healthy threshold and is the strongest signal of a bottleneck. It points to storage array saturation, undersized IOPS provisioning, a failing/overloaded disk tier, or contention</w:t>
      </w:r>
      <w:r w:rsidRPr="00692D73">
        <w:rPr>
          <w:color w:val="0D0D0D" w:themeColor="text1" w:themeTint="F2"/>
          <w:sz w:val="24"/>
          <w:szCs w:val="24"/>
        </w:rPr>
        <w:t xml:space="preserve"> from multiple VMs sharing the same datastore.</w:t>
      </w:r>
    </w:p>
    <w:p w14:paraId="25037698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Slow VM boot time (170 s): </w:t>
      </w:r>
      <w:r w:rsidRPr="00692D73">
        <w:rPr>
          <w:color w:val="0D0D0D" w:themeColor="text1" w:themeTint="F2"/>
          <w:sz w:val="24"/>
          <w:szCs w:val="24"/>
        </w:rPr>
        <w:t>This is the compound symptom, not a separate root cause — boot involves heavy simultaneous CPU, memory, and disk I/O (a "boot storm" pattern), so it is amplified by all three constra</w:t>
      </w:r>
      <w:r w:rsidRPr="00692D73">
        <w:rPr>
          <w:color w:val="0D0D0D" w:themeColor="text1" w:themeTint="F2"/>
          <w:sz w:val="24"/>
          <w:szCs w:val="24"/>
        </w:rPr>
        <w:t>ined resources above.</w:t>
      </w:r>
    </w:p>
    <w:p w14:paraId="10E95A6C" w14:textId="77777777" w:rsidR="00D62370" w:rsidRPr="00692D73" w:rsidRDefault="00A00A40">
      <w:pPr>
        <w:pStyle w:val="Heading2"/>
        <w:spacing w:before="220" w:after="10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Corrective Actions</w:t>
      </w:r>
    </w:p>
    <w:p w14:paraId="633E935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Immediate: </w:t>
      </w:r>
      <w:r w:rsidRPr="00692D73">
        <w:rPr>
          <w:color w:val="0D0D0D" w:themeColor="text1" w:themeTint="F2"/>
          <w:sz w:val="24"/>
          <w:szCs w:val="24"/>
        </w:rPr>
        <w:t xml:space="preserve">Identify and throttle or migrate the top CPU/IO-consuming VMs using </w:t>
      </w:r>
      <w:proofErr w:type="spellStart"/>
      <w:r w:rsidRPr="00692D73">
        <w:rPr>
          <w:color w:val="0D0D0D" w:themeColor="text1" w:themeTint="F2"/>
          <w:sz w:val="24"/>
          <w:szCs w:val="24"/>
        </w:rPr>
        <w:t>vMotion</w:t>
      </w:r>
      <w:proofErr w:type="spellEnd"/>
      <w:r w:rsidRPr="00692D73">
        <w:rPr>
          <w:color w:val="0D0D0D" w:themeColor="text1" w:themeTint="F2"/>
          <w:sz w:val="24"/>
          <w:szCs w:val="24"/>
        </w:rPr>
        <w:t>/live migration to rebalance load across hosts; enable DRS (Distributed Resource Scheduler) or equivalent for automatic load bala</w:t>
      </w:r>
      <w:r w:rsidRPr="00692D73">
        <w:rPr>
          <w:color w:val="0D0D0D" w:themeColor="text1" w:themeTint="F2"/>
          <w:sz w:val="24"/>
          <w:szCs w:val="24"/>
        </w:rPr>
        <w:t>ncing.</w:t>
      </w:r>
    </w:p>
    <w:p w14:paraId="72A81E1D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lastRenderedPageBreak/>
        <w:t xml:space="preserve">Memory: </w:t>
      </w:r>
      <w:r w:rsidRPr="00692D73">
        <w:rPr>
          <w:color w:val="0D0D0D" w:themeColor="text1" w:themeTint="F2"/>
          <w:sz w:val="24"/>
          <w:szCs w:val="24"/>
        </w:rPr>
        <w:t>Increase host physical RAM or reduce VM memory over-commitment ratio; verify ballooning/swapping activity in monitoring and disable aggressive over-commit for critical VMs.</w:t>
      </w:r>
    </w:p>
    <w:p w14:paraId="36983BBE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Storage: </w:t>
      </w:r>
      <w:r w:rsidRPr="00692D73">
        <w:rPr>
          <w:color w:val="0D0D0D" w:themeColor="text1" w:themeTint="F2"/>
          <w:sz w:val="24"/>
          <w:szCs w:val="24"/>
        </w:rPr>
        <w:t>Move high-I/O VMs to faster storage tiers (</w:t>
      </w:r>
      <w:proofErr w:type="spellStart"/>
      <w:r w:rsidRPr="00692D73">
        <w:rPr>
          <w:color w:val="0D0D0D" w:themeColor="text1" w:themeTint="F2"/>
          <w:sz w:val="24"/>
          <w:szCs w:val="24"/>
        </w:rPr>
        <w:t>NVMe</w:t>
      </w:r>
      <w:proofErr w:type="spellEnd"/>
      <w:r w:rsidRPr="00692D73">
        <w:rPr>
          <w:color w:val="0D0D0D" w:themeColor="text1" w:themeTint="F2"/>
          <w:sz w:val="24"/>
          <w:szCs w:val="24"/>
        </w:rPr>
        <w:t xml:space="preserve">/SSD-backed </w:t>
      </w:r>
      <w:proofErr w:type="spellStart"/>
      <w:r w:rsidRPr="00692D73">
        <w:rPr>
          <w:color w:val="0D0D0D" w:themeColor="text1" w:themeTint="F2"/>
          <w:sz w:val="24"/>
          <w:szCs w:val="24"/>
        </w:rPr>
        <w:t>datastores</w:t>
      </w:r>
      <w:proofErr w:type="spellEnd"/>
      <w:r w:rsidRPr="00692D73">
        <w:rPr>
          <w:color w:val="0D0D0D" w:themeColor="text1" w:themeTint="F2"/>
          <w:sz w:val="24"/>
          <w:szCs w:val="24"/>
        </w:rPr>
        <w:t>), enable storage I/O control to prioritize critical workloads, and check for datastore/LUN queue-depth saturation.</w:t>
      </w:r>
    </w:p>
    <w:p w14:paraId="0938AF95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Compute capacity: </w:t>
      </w:r>
      <w:r w:rsidRPr="00692D73">
        <w:rPr>
          <w:color w:val="0D0D0D" w:themeColor="text1" w:themeTint="F2"/>
          <w:sz w:val="24"/>
          <w:szCs w:val="24"/>
        </w:rPr>
        <w:t xml:space="preserve">If sustained CPU stays above ~80% after rebalancing, this is a genuine capacity shortfall — add physical hosts </w:t>
      </w:r>
      <w:r w:rsidRPr="00692D73">
        <w:rPr>
          <w:color w:val="0D0D0D" w:themeColor="text1" w:themeTint="F2"/>
          <w:sz w:val="24"/>
          <w:szCs w:val="24"/>
        </w:rPr>
        <w:t>(scale-out) rather than continuing to over-commit the existing cluster.</w:t>
      </w:r>
    </w:p>
    <w:p w14:paraId="5EB4AC83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Boot-time specific: </w:t>
      </w:r>
      <w:r w:rsidRPr="00692D73">
        <w:rPr>
          <w:color w:val="0D0D0D" w:themeColor="text1" w:themeTint="F2"/>
          <w:sz w:val="24"/>
          <w:szCs w:val="24"/>
        </w:rPr>
        <w:t>Stagger VM boot schedules to avoid simultaneous boot storms, and use memory/CPU reservations for business-critical VMs so they are guaranteed resources during conte</w:t>
      </w:r>
      <w:r w:rsidRPr="00692D73">
        <w:rPr>
          <w:color w:val="0D0D0D" w:themeColor="text1" w:themeTint="F2"/>
          <w:sz w:val="24"/>
          <w:szCs w:val="24"/>
        </w:rPr>
        <w:t>ntion.</w:t>
      </w:r>
    </w:p>
    <w:p w14:paraId="544AFF12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color w:val="0D0D0D" w:themeColor="text1" w:themeTint="F2"/>
          <w:sz w:val="24"/>
          <w:szCs w:val="24"/>
        </w:rPr>
      </w:pPr>
      <w:r w:rsidRPr="00692D73">
        <w:rPr>
          <w:b/>
          <w:bCs/>
          <w:color w:val="0D0D0D" w:themeColor="text1" w:themeTint="F2"/>
          <w:sz w:val="24"/>
          <w:szCs w:val="24"/>
        </w:rPr>
        <w:t xml:space="preserve">Ongoing: </w:t>
      </w:r>
      <w:r w:rsidRPr="00692D73">
        <w:rPr>
          <w:color w:val="0D0D0D" w:themeColor="text1" w:themeTint="F2"/>
          <w:sz w:val="24"/>
          <w:szCs w:val="24"/>
        </w:rPr>
        <w:t>Implement continuous performance monitoring with alert thresholds below these observed values so corrective action happens before users are impacted.</w:t>
      </w:r>
    </w:p>
    <w:p w14:paraId="5C283B71" w14:textId="77777777" w:rsidR="00D62370" w:rsidRDefault="00D62370">
      <w:pPr>
        <w:pageBreakBefore/>
      </w:pPr>
    </w:p>
    <w:p w14:paraId="0E7D3918" w14:textId="5274E5FE" w:rsidR="00D62370" w:rsidRPr="00692D73" w:rsidRDefault="00A00A40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92D73">
        <w:rPr>
          <w:color w:val="0D0D0D" w:themeColor="text1" w:themeTint="F2"/>
        </w:rPr>
        <w:t xml:space="preserve">4. Software-Defined </w:t>
      </w:r>
      <w:proofErr w:type="spellStart"/>
      <w:r w:rsidRPr="00692D73">
        <w:rPr>
          <w:color w:val="0D0D0D" w:themeColor="text1" w:themeTint="F2"/>
        </w:rPr>
        <w:t>Datacenter</w:t>
      </w:r>
      <w:proofErr w:type="spellEnd"/>
      <w:r w:rsidRPr="00692D73">
        <w:rPr>
          <w:color w:val="0D0D0D" w:themeColor="text1" w:themeTint="F2"/>
        </w:rPr>
        <w:t xml:space="preserve"> (SDDC) Agility vs Traditional </w:t>
      </w:r>
      <w:proofErr w:type="spellStart"/>
      <w:r w:rsidRPr="00692D73">
        <w:rPr>
          <w:color w:val="0D0D0D" w:themeColor="text1" w:themeTint="F2"/>
        </w:rPr>
        <w:t>Datacenter</w:t>
      </w:r>
      <w:proofErr w:type="spellEnd"/>
    </w:p>
    <w:p w14:paraId="7503F56E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 xml:space="preserve">A traditional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 xml:space="preserve"> binds compute, storage, and networking to fixed physical hardware, configured largely by manual, device-specific administration. A Software-Defined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 xml:space="preserve"> (SDDC) abstracts all three layers into software, managed centrally through policy and </w:t>
      </w:r>
      <w:r w:rsidRPr="00692D73">
        <w:rPr>
          <w:sz w:val="24"/>
          <w:szCs w:val="24"/>
        </w:rPr>
        <w:t>automation. This abstraction is precisely what improves agility — the speed at which infrastructure can be provisioned, reconfigured, and scaled to meet changing demand.</w:t>
      </w:r>
    </w:p>
    <w:p w14:paraId="33EB6124" w14:textId="77777777" w:rsidR="00D62370" w:rsidRPr="00692D73" w:rsidRDefault="00A00A40">
      <w:pPr>
        <w:pStyle w:val="Heading2"/>
        <w:spacing w:before="220" w:after="100"/>
      </w:pPr>
      <w:r w:rsidRPr="00692D73">
        <w:t>Compute Virtualization</w:t>
      </w:r>
    </w:p>
    <w:p w14:paraId="67FA765F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 xml:space="preserve">Traditional </w:t>
      </w:r>
      <w:proofErr w:type="spellStart"/>
      <w:r w:rsidRPr="00692D73">
        <w:rPr>
          <w:sz w:val="24"/>
          <w:szCs w:val="24"/>
        </w:rPr>
        <w:t>datacenters</w:t>
      </w:r>
      <w:proofErr w:type="spellEnd"/>
      <w:r w:rsidRPr="00692D73">
        <w:rPr>
          <w:sz w:val="24"/>
          <w:szCs w:val="24"/>
        </w:rPr>
        <w:t xml:space="preserve"> provision physical servers per applicat</w:t>
      </w:r>
      <w:r w:rsidRPr="00692D73">
        <w:rPr>
          <w:sz w:val="24"/>
          <w:szCs w:val="24"/>
        </w:rPr>
        <w:t>ion, a process that can take days to weeks (procurement, racking, OS install). SDDC uses hypervisor-based compute virtualization to spin up or resize VMs in minutes from a resource pool, and to move workloads between hosts via live migration without downti</w:t>
      </w:r>
      <w:r w:rsidRPr="00692D73">
        <w:rPr>
          <w:sz w:val="24"/>
          <w:szCs w:val="24"/>
        </w:rPr>
        <w:t>me. This lets capacity follow demand almost instantly rather than following a hardware procurement cycle.</w:t>
      </w:r>
    </w:p>
    <w:p w14:paraId="0E9C019E" w14:textId="77777777" w:rsidR="00D62370" w:rsidRPr="00692D73" w:rsidRDefault="00A00A40">
      <w:pPr>
        <w:pStyle w:val="Heading2"/>
        <w:spacing w:before="220" w:after="100"/>
      </w:pPr>
      <w:r w:rsidRPr="00692D73">
        <w:t>Storage Virtualization</w:t>
      </w:r>
    </w:p>
    <w:p w14:paraId="11F6BB7B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Traditional storage is tied to specific arrays with fixed LUNs, making expansion or reallocation a manual, vendor-specific task</w:t>
      </w:r>
      <w:r w:rsidRPr="00692D73">
        <w:rPr>
          <w:sz w:val="24"/>
          <w:szCs w:val="24"/>
        </w:rPr>
        <w:t>. Software-Defined Storage (SDS) pools disks across hardware into a single logical layer, exposing storage as policy-driven, on-demand capacity (e.g., "gold/silver/bronze" tiers). Capacity, replication, and performance tiers can be assigned or changed thro</w:t>
      </w:r>
      <w:r w:rsidRPr="00692D73">
        <w:rPr>
          <w:sz w:val="24"/>
          <w:szCs w:val="24"/>
        </w:rPr>
        <w:t>ugh software policy instead of physical reconfiguration, enabling rapid reallocation between the finance, healthcare, or student-workload types of example.</w:t>
      </w:r>
    </w:p>
    <w:p w14:paraId="4183102F" w14:textId="77777777" w:rsidR="00D62370" w:rsidRPr="00692D73" w:rsidRDefault="00A00A40">
      <w:pPr>
        <w:pStyle w:val="Heading2"/>
        <w:spacing w:before="220" w:after="100"/>
      </w:pPr>
      <w:r w:rsidRPr="00692D73">
        <w:t>Network Virtualization</w:t>
      </w:r>
    </w:p>
    <w:p w14:paraId="5C10C53F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Traditional networks depend on physical switch/router configuration (VLAN tru</w:t>
      </w:r>
      <w:r w:rsidRPr="00692D73">
        <w:rPr>
          <w:sz w:val="24"/>
          <w:szCs w:val="24"/>
        </w:rPr>
        <w:t>nking, manual ACLs), which is slow to change and error-prone at scale. Software-Defined Networking (SDN) and network virtualization (e.g., VXLAN overlays, NSX-style virtual switches) let network topologies, firewalls, and load balancers be created or alter</w:t>
      </w:r>
      <w:r w:rsidRPr="00692D73">
        <w:rPr>
          <w:sz w:val="24"/>
          <w:szCs w:val="24"/>
        </w:rPr>
        <w:t>ed entirely in software. New tenant network segments, micro-segmented security zones, or load-balanced application tiers can be deployed in minutes instead of a network change-request cycle.</w:t>
      </w:r>
    </w:p>
    <w:p w14:paraId="0A6BEA7D" w14:textId="77777777" w:rsidR="00D62370" w:rsidRPr="00692D73" w:rsidRDefault="00A00A40">
      <w:pPr>
        <w:pStyle w:val="Heading2"/>
        <w:spacing w:before="220" w:after="100"/>
      </w:pPr>
      <w:r w:rsidRPr="00692D73">
        <w:t>Net Effect on Agility</w:t>
      </w:r>
    </w:p>
    <w:p w14:paraId="690F86C3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Provisioning speed: </w:t>
      </w:r>
      <w:r w:rsidRPr="00692D73">
        <w:rPr>
          <w:sz w:val="24"/>
          <w:szCs w:val="24"/>
        </w:rPr>
        <w:t>Minutes instead of days</w:t>
      </w:r>
      <w:r w:rsidRPr="00692D73">
        <w:rPr>
          <w:sz w:val="24"/>
          <w:szCs w:val="24"/>
        </w:rPr>
        <w:t>/weeks for compute, storage, and network resources combined.</w:t>
      </w:r>
    </w:p>
    <w:p w14:paraId="13B1E060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lastRenderedPageBreak/>
        <w:t xml:space="preserve">Elasticity: </w:t>
      </w:r>
      <w:r w:rsidRPr="00692D73">
        <w:rPr>
          <w:sz w:val="24"/>
          <w:szCs w:val="24"/>
        </w:rPr>
        <w:t>Resources scale up/down automatically based on policy and demand (auto-scaling), rather than being fixed to purchased hardware.</w:t>
      </w:r>
    </w:p>
    <w:p w14:paraId="29F98E2E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Automation and self-service: </w:t>
      </w:r>
      <w:r w:rsidRPr="00692D73">
        <w:rPr>
          <w:sz w:val="24"/>
          <w:szCs w:val="24"/>
        </w:rPr>
        <w:t>APIs and orchestration (e.</w:t>
      </w:r>
      <w:r w:rsidRPr="00692D73">
        <w:rPr>
          <w:sz w:val="24"/>
          <w:szCs w:val="24"/>
        </w:rPr>
        <w:t>g., infrastructure-as-code) allow entire application environments to be deployed as templates/blueprints, removing manual, siloed hardware administration.</w:t>
      </w:r>
    </w:p>
    <w:p w14:paraId="65D0433D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Consistency and recovery: </w:t>
      </w:r>
      <w:r w:rsidRPr="00692D73">
        <w:rPr>
          <w:sz w:val="24"/>
          <w:szCs w:val="24"/>
        </w:rPr>
        <w:t>Because everything is software-defined, disaster recovery, replication, and</w:t>
      </w:r>
      <w:r w:rsidRPr="00692D73">
        <w:rPr>
          <w:sz w:val="24"/>
          <w:szCs w:val="24"/>
        </w:rPr>
        <w:t xml:space="preserve"> multi-site failover can be automated and tested repeatedly, something far harder with physical, hand-configured infrastructure.</w:t>
      </w:r>
    </w:p>
    <w:p w14:paraId="01B074C6" w14:textId="77777777" w:rsidR="00D62370" w:rsidRPr="00692D73" w:rsidRDefault="00D62370">
      <w:pPr>
        <w:spacing w:before="100"/>
        <w:rPr>
          <w:sz w:val="24"/>
          <w:szCs w:val="24"/>
        </w:rPr>
      </w:pPr>
    </w:p>
    <w:p w14:paraId="697C7BD6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In short, SDDC converts compute, storage, and network provisioning from slow, manual, hardware-bound processes into fast, poli</w:t>
      </w:r>
      <w:r w:rsidRPr="00692D73">
        <w:rPr>
          <w:sz w:val="24"/>
          <w:szCs w:val="24"/>
        </w:rPr>
        <w:t xml:space="preserve">cy-driven, software-managed processes — this is the direct mechanism behind its superior agility compared with a traditional </w:t>
      </w:r>
      <w:proofErr w:type="spellStart"/>
      <w:r w:rsidRPr="00692D73">
        <w:rPr>
          <w:sz w:val="24"/>
          <w:szCs w:val="24"/>
        </w:rPr>
        <w:t>datacenter</w:t>
      </w:r>
      <w:proofErr w:type="spellEnd"/>
      <w:r w:rsidRPr="00692D73">
        <w:rPr>
          <w:sz w:val="24"/>
          <w:szCs w:val="24"/>
        </w:rPr>
        <w:t>.</w:t>
      </w:r>
    </w:p>
    <w:p w14:paraId="67A7AB84" w14:textId="77777777" w:rsidR="00D62370" w:rsidRDefault="00D62370">
      <w:pPr>
        <w:pageBreakBefore/>
      </w:pPr>
    </w:p>
    <w:p w14:paraId="266BD194" w14:textId="69A82CCB" w:rsidR="00D62370" w:rsidRPr="00692D73" w:rsidRDefault="00A00A40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92D73">
        <w:rPr>
          <w:color w:val="0D0D0D" w:themeColor="text1" w:themeTint="F2"/>
        </w:rPr>
        <w:t>5. Multi-Cloud Federation Failure Due to Identity Mismatch — Analysis and Secure Design</w:t>
      </w:r>
    </w:p>
    <w:p w14:paraId="1153E074" w14:textId="77777777" w:rsidR="00D62370" w:rsidRPr="00692D73" w:rsidRDefault="00A00A40">
      <w:pPr>
        <w:pStyle w:val="Heading2"/>
        <w:spacing w:before="220" w:after="100"/>
      </w:pPr>
      <w:r w:rsidRPr="00692D73">
        <w:t>Analysis of the Problem</w:t>
      </w:r>
    </w:p>
    <w:p w14:paraId="59D672C5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>Multi-</w:t>
      </w:r>
      <w:r w:rsidRPr="00692D73">
        <w:rPr>
          <w:sz w:val="24"/>
          <w:szCs w:val="24"/>
        </w:rPr>
        <w:t>cloud federation allows a user authenticated with one provider (the "home"/identity provider, IdP) to access resources in another provider (the "service provider", SP) without a separate login. Federation fails when the providers cannot agree on a consiste</w:t>
      </w:r>
      <w:r w:rsidRPr="00692D73">
        <w:rPr>
          <w:sz w:val="24"/>
          <w:szCs w:val="24"/>
        </w:rPr>
        <w:t>nt representation of identity — for example, mismatched user attribute schemas, different token formats (SAML assertions vs OAuth/OIDC tokens), inconsistent unique identifiers, unsynchronized trust certificates, or differing session/claim lifetimes. The pr</w:t>
      </w:r>
      <w:r w:rsidRPr="00692D73">
        <w:rPr>
          <w:sz w:val="24"/>
          <w:szCs w:val="24"/>
        </w:rPr>
        <w:t>actical symptoms are authentication failures, duplicate or orphaned accounts across clouds, incorrect authorization decisions (a user granted the wrong access level), and audit-trail gaps because no provider holds a complete, consistent identity record.</w:t>
      </w:r>
    </w:p>
    <w:p w14:paraId="12FDC4FD" w14:textId="77777777" w:rsidR="00D62370" w:rsidRPr="00692D73" w:rsidRDefault="00A00A40">
      <w:pPr>
        <w:pStyle w:val="Heading2"/>
        <w:spacing w:before="220" w:after="100"/>
      </w:pPr>
      <w:r w:rsidRPr="00692D73">
        <w:t>Ro</w:t>
      </w:r>
      <w:r w:rsidRPr="00692D73">
        <w:t>ot Causes to Address</w:t>
      </w:r>
    </w:p>
    <w:p w14:paraId="2C7AD416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Schema/attribute mismatch: </w:t>
      </w:r>
      <w:r w:rsidRPr="00692D73">
        <w:rPr>
          <w:sz w:val="24"/>
          <w:szCs w:val="24"/>
        </w:rPr>
        <w:t>Providers define user roles, groups, or attributes differently, so an identity that means "finance-admin" in one cloud may not map to any recognized role in another.</w:t>
      </w:r>
    </w:p>
    <w:p w14:paraId="7F270FFA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Protocol/token incompatibility: </w:t>
      </w:r>
      <w:r w:rsidRPr="00692D73">
        <w:rPr>
          <w:sz w:val="24"/>
          <w:szCs w:val="24"/>
        </w:rPr>
        <w:t xml:space="preserve">Mixing </w:t>
      </w:r>
      <w:r w:rsidRPr="00692D73">
        <w:rPr>
          <w:sz w:val="24"/>
          <w:szCs w:val="24"/>
        </w:rPr>
        <w:t>SAML 2.0, OAuth 2.0/OIDC, and proprietary tokens without a common trust broker causes assertions to be rejected or misinterpreted.</w:t>
      </w:r>
    </w:p>
    <w:p w14:paraId="189CEEA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Trust and certificate lifecycle: </w:t>
      </w:r>
      <w:r w:rsidRPr="00692D73">
        <w:rPr>
          <w:sz w:val="24"/>
          <w:szCs w:val="24"/>
        </w:rPr>
        <w:t>Federation relies on shared trust anchors (signing certificates/metadata); expired or unsync</w:t>
      </w:r>
      <w:r w:rsidRPr="00692D73">
        <w:rPr>
          <w:sz w:val="24"/>
          <w:szCs w:val="24"/>
        </w:rPr>
        <w:t>hronized trust configuration silently breaks authentication.</w:t>
      </w:r>
    </w:p>
    <w:p w14:paraId="577CF1E8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No single source of truth: </w:t>
      </w:r>
      <w:r w:rsidRPr="00692D73">
        <w:rPr>
          <w:sz w:val="24"/>
          <w:szCs w:val="24"/>
        </w:rPr>
        <w:t>Without a central identity authority, each cloud maintains its own partial user directory, leading to drift and inconsistent privacy controls over time.</w:t>
      </w:r>
    </w:p>
    <w:p w14:paraId="6F593EAD" w14:textId="77777777" w:rsidR="00D62370" w:rsidRPr="00692D73" w:rsidRDefault="00A00A40">
      <w:pPr>
        <w:pStyle w:val="Heading2"/>
        <w:spacing w:before="220" w:after="100"/>
      </w:pPr>
      <w:r w:rsidRPr="00692D73">
        <w:t>Proposed Secure</w:t>
      </w:r>
      <w:r w:rsidRPr="00692D73">
        <w:t xml:space="preserve"> Identity and Privacy Design</w:t>
      </w:r>
    </w:p>
    <w:p w14:paraId="4DC6542E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Central Identity Broker / Federation Hub: </w:t>
      </w:r>
      <w:r w:rsidRPr="00692D73">
        <w:rPr>
          <w:sz w:val="24"/>
          <w:szCs w:val="24"/>
        </w:rPr>
        <w:t>Introduce a neutral Identity Provider (IdP) or federation broker (e.g., using SAML 2.0 or OpenID Connect) that all participating clouds trust, rather than each cloud trusting every othe</w:t>
      </w:r>
      <w:r w:rsidRPr="00692D73">
        <w:rPr>
          <w:sz w:val="24"/>
          <w:szCs w:val="24"/>
        </w:rPr>
        <w:t>r cloud pairwise. This converts an N-to-N trust problem into a hub-and-spoke model that scales cleanly as more providers join.</w:t>
      </w:r>
    </w:p>
    <w:p w14:paraId="4C9840C0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Standardized identity protocol: </w:t>
      </w:r>
      <w:r w:rsidRPr="00692D73">
        <w:rPr>
          <w:sz w:val="24"/>
          <w:szCs w:val="24"/>
        </w:rPr>
        <w:t>Adopt a single common standard — OpenID Connect/OAuth 2.0 for modern API-based access and SAML 2.</w:t>
      </w:r>
      <w:r w:rsidRPr="00692D73">
        <w:rPr>
          <w:sz w:val="24"/>
          <w:szCs w:val="24"/>
        </w:rPr>
        <w:t xml:space="preserve">0 where legacy enterprise </w:t>
      </w:r>
      <w:r w:rsidRPr="00692D73">
        <w:rPr>
          <w:sz w:val="24"/>
          <w:szCs w:val="24"/>
        </w:rPr>
        <w:lastRenderedPageBreak/>
        <w:t>integration is required — with the broker translating between them so providers do not need to natively support each other's protocol.</w:t>
      </w:r>
    </w:p>
    <w:p w14:paraId="07F8F001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Common attribute/claims schema: </w:t>
      </w:r>
      <w:r w:rsidRPr="00692D73">
        <w:rPr>
          <w:sz w:val="24"/>
          <w:szCs w:val="24"/>
        </w:rPr>
        <w:t>Define a shared, minimal claims set (e.g., unique subject ID, r</w:t>
      </w:r>
      <w:r w:rsidRPr="00692D73">
        <w:rPr>
          <w:sz w:val="24"/>
          <w:szCs w:val="24"/>
        </w:rPr>
        <w:t>ole, tenant, clearance level) mapped consistently across all providers, using attribute-mapping policies at the broker rather than ad hoc per-provider mapping.</w:t>
      </w:r>
    </w:p>
    <w:p w14:paraId="741BF934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Single Sign-On with short-lived tokens: </w:t>
      </w:r>
      <w:r w:rsidRPr="00692D73">
        <w:rPr>
          <w:sz w:val="24"/>
          <w:szCs w:val="24"/>
        </w:rPr>
        <w:t xml:space="preserve">Issue short-lived, digitally signed access tokens (JWT) </w:t>
      </w:r>
      <w:r w:rsidRPr="00692D73">
        <w:rPr>
          <w:sz w:val="24"/>
          <w:szCs w:val="24"/>
        </w:rPr>
        <w:t>with defined audience and scope claims, refreshed frequently, to limit the damage window if a token is intercepted.</w:t>
      </w:r>
    </w:p>
    <w:p w14:paraId="70342B7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Multi-factor authentication at the broker: </w:t>
      </w:r>
      <w:r w:rsidRPr="00692D73">
        <w:rPr>
          <w:sz w:val="24"/>
          <w:szCs w:val="24"/>
        </w:rPr>
        <w:t>Enforce MFA centrally so every federated login, regardless of destination cloud, meets a consiste</w:t>
      </w:r>
      <w:r w:rsidRPr="00692D73">
        <w:rPr>
          <w:sz w:val="24"/>
          <w:szCs w:val="24"/>
        </w:rPr>
        <w:t>nt assurance level.</w:t>
      </w:r>
    </w:p>
    <w:p w14:paraId="1C752DF5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Privacy-preserving attribute release: </w:t>
      </w:r>
      <w:r w:rsidRPr="00692D73">
        <w:rPr>
          <w:sz w:val="24"/>
          <w:szCs w:val="24"/>
        </w:rPr>
        <w:t xml:space="preserve">Apply the principle of least disclosure — only release the minimum identity attributes each service provider needs (selective attribute release/consent), rather than passing a full identity profile </w:t>
      </w:r>
      <w:r w:rsidRPr="00692D73">
        <w:rPr>
          <w:sz w:val="24"/>
          <w:szCs w:val="24"/>
        </w:rPr>
        <w:t>to every cloud.</w:t>
      </w:r>
    </w:p>
    <w:p w14:paraId="5670D7DC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Certificate and trust lifecycle management: </w:t>
      </w:r>
      <w:r w:rsidRPr="00692D73">
        <w:rPr>
          <w:sz w:val="24"/>
          <w:szCs w:val="24"/>
        </w:rPr>
        <w:t>Automate rotation and monitoring of signing certificates/metadata between the broker and each provider to prevent trust expiry from silently breaking federation.</w:t>
      </w:r>
    </w:p>
    <w:p w14:paraId="4215F42E" w14:textId="77777777" w:rsidR="00D62370" w:rsidRPr="00692D73" w:rsidRDefault="00A00A40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92D73">
        <w:rPr>
          <w:b/>
          <w:bCs/>
          <w:sz w:val="24"/>
          <w:szCs w:val="24"/>
        </w:rPr>
        <w:t xml:space="preserve">Centralized audit and revocation: </w:t>
      </w:r>
      <w:r w:rsidRPr="00692D73">
        <w:rPr>
          <w:sz w:val="24"/>
          <w:szCs w:val="24"/>
        </w:rPr>
        <w:t>Maintain a unified log of federated authentication and authorization events, and support immediate cross-cloud session/token revocation when an identity is compromised.</w:t>
      </w:r>
    </w:p>
    <w:p w14:paraId="5F4559B5" w14:textId="77777777" w:rsidR="00D62370" w:rsidRPr="00692D73" w:rsidRDefault="00D62370">
      <w:pPr>
        <w:spacing w:before="100"/>
        <w:rPr>
          <w:sz w:val="24"/>
          <w:szCs w:val="24"/>
        </w:rPr>
      </w:pPr>
    </w:p>
    <w:p w14:paraId="028F5C29" w14:textId="77777777" w:rsidR="00D62370" w:rsidRPr="00692D73" w:rsidRDefault="00A00A40">
      <w:pPr>
        <w:spacing w:after="140" w:line="300" w:lineRule="auto"/>
        <w:rPr>
          <w:sz w:val="24"/>
          <w:szCs w:val="24"/>
        </w:rPr>
      </w:pPr>
      <w:r w:rsidRPr="00692D73">
        <w:rPr>
          <w:sz w:val="24"/>
          <w:szCs w:val="24"/>
        </w:rPr>
        <w:t xml:space="preserve">This design resolves the identity-mismatch failure by giving all participating clouds </w:t>
      </w:r>
      <w:r w:rsidRPr="00692D73">
        <w:rPr>
          <w:sz w:val="24"/>
          <w:szCs w:val="24"/>
        </w:rPr>
        <w:t>one consistent, trusted source of identity truth, a common protocol/schema, and privacy-by-design attribute sharing — restoring reliable single sign-on while keeping each provider's data exposure minimal and auditable.</w:t>
      </w:r>
    </w:p>
    <w:sectPr w:rsidR="00D62370" w:rsidRPr="00692D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534B"/>
    <w:multiLevelType w:val="hybridMultilevel"/>
    <w:tmpl w:val="78608326"/>
    <w:lvl w:ilvl="0" w:tplc="D152B8D8">
      <w:start w:val="1"/>
      <w:numFmt w:val="bullet"/>
      <w:lvlText w:val="•"/>
      <w:lvlJc w:val="left"/>
      <w:pPr>
        <w:ind w:left="720" w:hanging="360"/>
      </w:pPr>
    </w:lvl>
    <w:lvl w:ilvl="1" w:tplc="CCD0E306">
      <w:numFmt w:val="decimal"/>
      <w:lvlText w:val=""/>
      <w:lvlJc w:val="left"/>
    </w:lvl>
    <w:lvl w:ilvl="2" w:tplc="0052C0D8">
      <w:numFmt w:val="decimal"/>
      <w:lvlText w:val=""/>
      <w:lvlJc w:val="left"/>
    </w:lvl>
    <w:lvl w:ilvl="3" w:tplc="92B6C2D0">
      <w:numFmt w:val="decimal"/>
      <w:lvlText w:val=""/>
      <w:lvlJc w:val="left"/>
    </w:lvl>
    <w:lvl w:ilvl="4" w:tplc="1DF6C6CA">
      <w:numFmt w:val="decimal"/>
      <w:lvlText w:val=""/>
      <w:lvlJc w:val="left"/>
    </w:lvl>
    <w:lvl w:ilvl="5" w:tplc="EEEC9B2A">
      <w:numFmt w:val="decimal"/>
      <w:lvlText w:val=""/>
      <w:lvlJc w:val="left"/>
    </w:lvl>
    <w:lvl w:ilvl="6" w:tplc="1AAA599C">
      <w:numFmt w:val="decimal"/>
      <w:lvlText w:val=""/>
      <w:lvlJc w:val="left"/>
    </w:lvl>
    <w:lvl w:ilvl="7" w:tplc="1EF62A16">
      <w:numFmt w:val="decimal"/>
      <w:lvlText w:val=""/>
      <w:lvlJc w:val="left"/>
    </w:lvl>
    <w:lvl w:ilvl="8" w:tplc="014C42D2">
      <w:numFmt w:val="decimal"/>
      <w:lvlText w:val=""/>
      <w:lvlJc w:val="left"/>
    </w:lvl>
  </w:abstractNum>
  <w:abstractNum w:abstractNumId="1" w15:restartNumberingAfterBreak="0">
    <w:nsid w:val="341670DD"/>
    <w:multiLevelType w:val="hybridMultilevel"/>
    <w:tmpl w:val="2D7410CA"/>
    <w:lvl w:ilvl="0" w:tplc="837E115C">
      <w:start w:val="1"/>
      <w:numFmt w:val="bullet"/>
      <w:lvlText w:val="●"/>
      <w:lvlJc w:val="left"/>
      <w:pPr>
        <w:ind w:left="720" w:hanging="360"/>
      </w:pPr>
    </w:lvl>
    <w:lvl w:ilvl="1" w:tplc="6EA6311A">
      <w:start w:val="1"/>
      <w:numFmt w:val="bullet"/>
      <w:lvlText w:val="○"/>
      <w:lvlJc w:val="left"/>
      <w:pPr>
        <w:ind w:left="1440" w:hanging="360"/>
      </w:pPr>
    </w:lvl>
    <w:lvl w:ilvl="2" w:tplc="28D6DC9E">
      <w:start w:val="1"/>
      <w:numFmt w:val="bullet"/>
      <w:lvlText w:val="■"/>
      <w:lvlJc w:val="left"/>
      <w:pPr>
        <w:ind w:left="2160" w:hanging="360"/>
      </w:pPr>
    </w:lvl>
    <w:lvl w:ilvl="3" w:tplc="549AEA24">
      <w:start w:val="1"/>
      <w:numFmt w:val="bullet"/>
      <w:lvlText w:val="●"/>
      <w:lvlJc w:val="left"/>
      <w:pPr>
        <w:ind w:left="2880" w:hanging="360"/>
      </w:pPr>
    </w:lvl>
    <w:lvl w:ilvl="4" w:tplc="15E685BC">
      <w:start w:val="1"/>
      <w:numFmt w:val="bullet"/>
      <w:lvlText w:val="○"/>
      <w:lvlJc w:val="left"/>
      <w:pPr>
        <w:ind w:left="3600" w:hanging="360"/>
      </w:pPr>
    </w:lvl>
    <w:lvl w:ilvl="5" w:tplc="205017E2">
      <w:start w:val="1"/>
      <w:numFmt w:val="bullet"/>
      <w:lvlText w:val="■"/>
      <w:lvlJc w:val="left"/>
      <w:pPr>
        <w:ind w:left="4320" w:hanging="360"/>
      </w:pPr>
    </w:lvl>
    <w:lvl w:ilvl="6" w:tplc="9C8E9BD2">
      <w:start w:val="1"/>
      <w:numFmt w:val="bullet"/>
      <w:lvlText w:val="●"/>
      <w:lvlJc w:val="left"/>
      <w:pPr>
        <w:ind w:left="5040" w:hanging="360"/>
      </w:pPr>
    </w:lvl>
    <w:lvl w:ilvl="7" w:tplc="4B72ED94">
      <w:start w:val="1"/>
      <w:numFmt w:val="bullet"/>
      <w:lvlText w:val="●"/>
      <w:lvlJc w:val="left"/>
      <w:pPr>
        <w:ind w:left="5760" w:hanging="360"/>
      </w:pPr>
    </w:lvl>
    <w:lvl w:ilvl="8" w:tplc="D07E10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70"/>
    <w:rsid w:val="00692D73"/>
    <w:rsid w:val="00A00A40"/>
    <w:rsid w:val="00B97E96"/>
    <w:rsid w:val="00D6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5EE0"/>
  <w15:docId w15:val="{16E2C367-453E-48A1-896A-ADF4F0EF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2350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2026-08-06T14:10:00Z</dcterms:created>
  <dcterms:modified xsi:type="dcterms:W3CDTF">2026-08-06T14:10:00Z</dcterms:modified>
</cp:coreProperties>
</file>