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7D9E95F8" w14:textId="77777777" w:rsidR="0016129A" w:rsidRDefault="0016129A">
      <w:pPr>
        <w:jc w:val="center"/>
        <w:rPr>
          <w:b/>
          <w:bCs/>
          <w:sz w:val="34"/>
          <w:szCs w:val="34"/>
        </w:rPr>
      </w:pPr>
    </w:p>
    <w:p w14:paraId="7D9E95F9" w14:textId="77777777" w:rsidR="0016129A" w:rsidRDefault="0016129A">
      <w:pPr>
        <w:jc w:val="center"/>
        <w:rPr>
          <w:b/>
          <w:bCs/>
          <w:sz w:val="34"/>
          <w:szCs w:val="34"/>
        </w:rPr>
      </w:pPr>
    </w:p>
    <w:p w14:paraId="7D9E95FA" w14:textId="77777777" w:rsidR="0016129A" w:rsidRDefault="00C97973">
      <w:pPr>
        <w:rPr>
          <w:rFonts w:ascii="Arial" w:eastAsia="Arial" w:hAnsi="Arial" w:cs="Arial"/>
          <w:b/>
          <w:bCs/>
        </w:rPr>
      </w:pPr>
      <w:r>
        <w:rPr>
          <w:rFonts w:ascii="Arial" w:eastAsia="Arial" w:hAnsi="Arial" w:cs="Arial"/>
          <w:b/>
          <w:bCs/>
        </w:rPr>
        <w:t>COURSE NAME: COMPUTER NETWORKS</w:t>
      </w:r>
    </w:p>
    <w:p w14:paraId="7D9E95FB" w14:textId="77777777" w:rsidR="0016129A" w:rsidRDefault="00C97973">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5FC" w14:textId="77777777" w:rsidR="0016129A" w:rsidRDefault="0016129A">
      <w:pPr>
        <w:rPr>
          <w:rFonts w:ascii="Arial" w:eastAsia="Arial" w:hAnsi="Arial" w:cs="Arial"/>
          <w:b/>
          <w:bCs/>
        </w:rPr>
      </w:pPr>
    </w:p>
    <w:p w14:paraId="7D9E95FD" w14:textId="77777777" w:rsidR="0016129A" w:rsidRDefault="0016129A">
      <w:pPr>
        <w:rPr>
          <w:rFonts w:ascii="Arial" w:eastAsia="Arial" w:hAnsi="Arial" w:cs="Arial"/>
          <w:b/>
          <w:bCs/>
        </w:rPr>
      </w:pPr>
    </w:p>
    <w:p w14:paraId="7D9E95F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r>
      <w:r>
        <w:rPr>
          <w:rFonts w:ascii="Arial" w:eastAsia="Arial" w:hAnsi="Arial" w:cs="Arial"/>
          <w:color w:val="1F1F1F"/>
          <w:sz w:val="18"/>
          <w:szCs w:val="18"/>
        </w:rPr>
        <w:t>Design network topologies star, mesh, bus, and hybrid using networking devices, transmission media, and cabling standards</w:t>
      </w:r>
    </w:p>
    <w:p w14:paraId="7D9E9603" w14:textId="77777777"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rPr>
        <mc:AlternateContent>
          <mc:Choice Requires="wpg">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7D9E960A" w14:textId="77777777" w:rsidR="0016129A" w:rsidRDefault="0016129A">
      <w:pPr>
        <w:rPr>
          <w:rFonts w:ascii="Arial" w:eastAsia="Arial" w:hAnsi="Arial" w:cs="Arial"/>
        </w:rPr>
      </w:pPr>
    </w:p>
    <w:p w14:paraId="7D9E960B" w14:textId="77777777" w:rsidR="0016129A" w:rsidRDefault="00C97973">
      <w:pPr>
        <w:ind w:left="2880" w:firstLine="720"/>
        <w:rPr>
          <w:rFonts w:ascii="Arial" w:eastAsia="Arial" w:hAnsi="Arial" w:cs="Arial"/>
        </w:rPr>
      </w:pPr>
      <w:r>
        <w:rPr>
          <w:rFonts w:ascii="Arial" w:eastAsia="Arial" w:hAnsi="Arial" w:cs="Arial"/>
        </w:rPr>
        <w:t>Annexure A</w:t>
      </w:r>
    </w:p>
    <w:p w14:paraId="7D9E960C" w14:textId="77777777" w:rsidR="0016129A" w:rsidRDefault="00C97973">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9E960D" w14:textId="77777777" w:rsidR="0016129A" w:rsidRDefault="00C97973">
      <w:pPr>
        <w:jc w:val="center"/>
        <w:rPr>
          <w:b/>
          <w:bCs/>
        </w:rPr>
      </w:pPr>
      <w:r>
        <w:rPr>
          <w:b/>
          <w:bCs/>
          <w:sz w:val="32"/>
          <w:szCs w:val="32"/>
        </w:rPr>
        <w:t>Constraint-Based Problem Solving</w:t>
      </w:r>
      <w:r>
        <w:rPr>
          <w:noProof/>
          <w:sz w:val="22"/>
          <w:szCs w:val="22"/>
        </w:rPr>
        <mc:AlternateContent>
          <mc:Choice Requires="wpg">
            <w:drawing>
              <wp:inline distT="0" distB="0" distL="114300" distR="114300" wp14:anchorId="7D9E966E" wp14:editId="7D9E966F">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2"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7D9E960E" w14:textId="77777777" w:rsidR="0016129A" w:rsidRDefault="0016129A">
      <w:pPr>
        <w:rPr>
          <w:b/>
          <w:bCs/>
        </w:rPr>
      </w:pPr>
    </w:p>
    <w:p w14:paraId="7D9E960F" w14:textId="77777777" w:rsidR="0016129A" w:rsidRDefault="00C97973">
      <w:pPr>
        <w:rPr>
          <w:b/>
          <w:bCs/>
          <w:i/>
          <w:iCs/>
        </w:rPr>
      </w:pPr>
      <w:r>
        <w:rPr>
          <w:b/>
          <w:bCs/>
          <w:i/>
          <w:iCs/>
        </w:rPr>
        <w:t>Code of Conduct:</w:t>
      </w:r>
    </w:p>
    <w:p w14:paraId="7D9E9610" w14:textId="77777777" w:rsidR="0016129A" w:rsidRDefault="0016129A">
      <w:pPr>
        <w:rPr>
          <w:i/>
          <w:iCs/>
        </w:rPr>
      </w:pPr>
    </w:p>
    <w:p w14:paraId="7D9E9611" w14:textId="77777777" w:rsidR="0016129A" w:rsidRDefault="00C97973">
      <w:pPr>
        <w:jc w:val="both"/>
        <w:rPr>
          <w:i/>
          <w:iCs/>
        </w:rPr>
      </w:pPr>
      <w:r>
        <w:rPr>
          <w:i/>
          <w:iCs/>
        </w:rPr>
        <w:t>I Harish Kumar / 192521340 (Name / Reg No) certify that this submission is my original work and that I have adhered to the guidelines specified for this assessment.</w:t>
      </w:r>
    </w:p>
    <w:p w14:paraId="7D9E9612" w14:textId="77777777" w:rsidR="0016129A" w:rsidRDefault="00C97973">
      <w:pPr>
        <w:jc w:val="both"/>
        <w:rPr>
          <w:i/>
          <w:iCs/>
        </w:rPr>
      </w:pPr>
      <w:r>
        <w:rPr>
          <w:i/>
          <w:iCs/>
        </w:rPr>
        <w:t>I understand that any violation of academic integrity rules will result in disciplinary action.</w:t>
      </w:r>
    </w:p>
    <w:p w14:paraId="7D9E9613" w14:textId="77777777" w:rsidR="0016129A" w:rsidRDefault="0016129A">
      <w:pPr>
        <w:rPr>
          <w:i/>
          <w:iCs/>
        </w:rPr>
      </w:pPr>
    </w:p>
    <w:p w14:paraId="7D9E9614" w14:textId="77777777" w:rsidR="0016129A" w:rsidRDefault="00C97973">
      <w:pPr>
        <w:rPr>
          <w:b/>
          <w:bCs/>
          <w:i/>
          <w:iCs/>
        </w:rPr>
      </w:pPr>
      <w:r>
        <w:rPr>
          <w:b/>
          <w:bCs/>
          <w:i/>
          <w:iCs/>
        </w:rPr>
        <w:t>Signature of the student:</w:t>
      </w:r>
    </w:p>
    <w:p w14:paraId="7D9E9615" w14:textId="77777777" w:rsidR="0016129A" w:rsidRDefault="0016129A"/>
    <w:p w14:paraId="7D9E9616" w14:textId="77777777" w:rsidR="0016129A" w:rsidRDefault="0016129A">
      <w:pPr>
        <w:rPr>
          <w:i/>
          <w:iCs/>
        </w:rPr>
      </w:pPr>
    </w:p>
    <w:p w14:paraId="7D9E9617" w14:textId="77777777" w:rsidR="0016129A" w:rsidRDefault="0016129A">
      <w:pPr>
        <w:rPr>
          <w:i/>
          <w:iCs/>
        </w:rPr>
      </w:pPr>
    </w:p>
    <w:p w14:paraId="7D9E9618" w14:textId="77777777" w:rsidR="0016129A" w:rsidRDefault="0016129A">
      <w:pPr>
        <w:rPr>
          <w:i/>
          <w:iCs/>
        </w:rPr>
      </w:pPr>
    </w:p>
    <w:p w14:paraId="7D9E9619" w14:textId="77777777" w:rsidR="0016129A" w:rsidRDefault="0016129A">
      <w:pPr>
        <w:rPr>
          <w:i/>
          <w:iCs/>
        </w:rPr>
      </w:pPr>
    </w:p>
    <w:p w14:paraId="7D9E961A" w14:textId="77777777" w:rsidR="0016129A" w:rsidRDefault="0016129A">
      <w:pPr>
        <w:rPr>
          <w:i/>
          <w:iCs/>
        </w:rPr>
      </w:pPr>
    </w:p>
    <w:p w14:paraId="7D9E961B" w14:textId="77777777" w:rsidR="0016129A" w:rsidRDefault="0016129A">
      <w:pPr>
        <w:rPr>
          <w:i/>
          <w:iCs/>
        </w:rPr>
      </w:pPr>
    </w:p>
    <w:p w14:paraId="7D9E961C" w14:textId="77777777" w:rsidR="0016129A" w:rsidRDefault="0016129A">
      <w:pPr>
        <w:rPr>
          <w:i/>
          <w:iCs/>
        </w:rPr>
      </w:pPr>
    </w:p>
    <w:p w14:paraId="7D9E961D" w14:textId="77777777" w:rsidR="0016129A" w:rsidRDefault="0016129A">
      <w:pPr>
        <w:rPr>
          <w:i/>
          <w:iCs/>
        </w:rPr>
      </w:pPr>
    </w:p>
    <w:p w14:paraId="7D9E961E" w14:textId="77777777" w:rsidR="0016129A" w:rsidRDefault="0016129A">
      <w:pPr>
        <w:rPr>
          <w:i/>
          <w:iCs/>
        </w:rPr>
      </w:pPr>
    </w:p>
    <w:p w14:paraId="7D9E961F" w14:textId="77777777" w:rsidR="0016129A" w:rsidRDefault="0016129A">
      <w:pPr>
        <w:rPr>
          <w:i/>
          <w:iCs/>
        </w:rPr>
      </w:pPr>
    </w:p>
    <w:p w14:paraId="7D9E9620" w14:textId="77777777" w:rsidR="0016129A" w:rsidRDefault="0016129A">
      <w:pPr>
        <w:rPr>
          <w:i/>
          <w:iCs/>
        </w:rPr>
      </w:pPr>
    </w:p>
    <w:p w14:paraId="7D9E9621" w14:textId="77777777" w:rsidR="0016129A" w:rsidRDefault="0016129A">
      <w:pPr>
        <w:rPr>
          <w:i/>
          <w:iCs/>
        </w:rPr>
      </w:pPr>
    </w:p>
    <w:p w14:paraId="7D9E9622" w14:textId="77777777" w:rsidR="0016129A" w:rsidRDefault="0016129A">
      <w:pPr>
        <w:ind w:left="3600"/>
        <w:jc w:val="both"/>
        <w:rPr>
          <w:rFonts w:ascii="Arial" w:eastAsia="Arial" w:hAnsi="Arial" w:cs="Arial"/>
        </w:rPr>
      </w:pPr>
    </w:p>
    <w:p w14:paraId="7D9E9623" w14:textId="77777777" w:rsidR="0016129A" w:rsidRDefault="00C97973">
      <w:pPr>
        <w:ind w:left="3600"/>
        <w:jc w:val="both"/>
        <w:rPr>
          <w:rFonts w:ascii="Arial" w:eastAsia="Arial" w:hAnsi="Arial" w:cs="Arial"/>
        </w:rPr>
      </w:pPr>
      <w:r>
        <w:rPr>
          <w:rFonts w:ascii="Arial" w:eastAsia="Arial" w:hAnsi="Arial" w:cs="Arial"/>
        </w:rPr>
        <w:lastRenderedPageBreak/>
        <w:t>Annexure A</w:t>
      </w:r>
    </w:p>
    <w:p w14:paraId="7D9E9624" w14:textId="77777777" w:rsidR="0016129A" w:rsidRDefault="0016129A">
      <w:pPr>
        <w:rPr>
          <w:rFonts w:ascii="Arial" w:eastAsia="Arial" w:hAnsi="Arial" w:cs="Arial"/>
        </w:rPr>
      </w:pPr>
    </w:p>
    <w:p w14:paraId="7D9E9625"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7D9E9626" w14:textId="08C4CC49"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r>
        <w:rPr>
          <w:color w:val="000000"/>
          <w:sz w:val="28"/>
          <w:szCs w:val="28"/>
        </w:rPr>
        <w:t xml:space="preserve">A </w:t>
      </w:r>
      <w:r w:rsidR="001952A9" w:rsidRPr="001952A9">
        <w:rPr>
          <w:color w:val="000000"/>
          <w:sz w:val="28"/>
          <w:szCs w:val="28"/>
        </w:rPr>
        <w:t xml:space="preserve"> 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pPr>
        <w:spacing w:after="120" w:before="280"/>
      </w:pPr>
      <w:r>
        <w:rPr>
          <w:rFonts w:ascii="Times New Roman" w:hAnsi="Times New Roman" w:eastAsia="Times New Roman"/>
          <w:b/>
          <w:i w:val="0"/>
          <w:color w:val="B01E1E"/>
          <w:sz w:val="30"/>
        </w:rPr>
        <w:t>Answer — Question 1: Rural Branch Office Connectivity</w:t>
      </w:r>
    </w:p>
    <w:p>
      <w:pPr>
        <w:spacing w:after="120" w:before="280"/>
      </w:pPr>
      <w:r>
        <w:rPr>
          <w:rFonts w:ascii="Times New Roman" w:hAnsi="Times New Roman" w:eastAsia="Times New Roman"/>
          <w:b/>
          <w:i w:val="0"/>
          <w:color w:val="1F4E79"/>
          <w:sz w:val="26"/>
        </w:rPr>
        <w:t>Constraint Analysis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No wired broadband available:</w:t>
      </w:r>
      <w:r>
        <w:rPr>
          <w:rFonts w:ascii="Times New Roman" w:hAnsi="Times New Roman" w:eastAsia="Times New Roman"/>
          <w:b w:val="0"/>
          <w:i w:val="0"/>
          <w:sz w:val="23"/>
        </w:rPr>
        <w:t xml:space="preserve"> rules out fiber/DSL/leased-line options entirely at this location.</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val="0"/>
          <w:i w:val="0"/>
          <w:sz w:val="23"/>
        </w:rPr>
        <w:t>Must support cloud applications and video conferencing: needs sufficient bandwidth and, critically, low and stable latency/jitter, not just raw throughput.</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Secure communication with headquarters:</w:t>
      </w:r>
      <w:r>
        <w:rPr>
          <w:rFonts w:ascii="Times New Roman" w:hAnsi="Times New Roman" w:eastAsia="Times New Roman"/>
          <w:b w:val="0"/>
          <w:i w:val="0"/>
          <w:sz w:val="23"/>
        </w:rPr>
        <w:t xml:space="preserve"> all traffic between branch and HQ must be encrypted and authenticated.</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Limited budget:</w:t>
      </w:r>
      <w:r>
        <w:rPr>
          <w:rFonts w:ascii="Times New Roman" w:hAnsi="Times New Roman" w:eastAsia="Times New Roman"/>
          <w:b w:val="0"/>
          <w:i w:val="0"/>
          <w:sz w:val="23"/>
        </w:rPr>
        <w:t xml:space="preserve"> rules out expensive dedicated leased lines or traditional enterprise VSAT-only solutions as the sole connection.</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Uninterrupted business operations:</w:t>
      </w:r>
      <w:r>
        <w:rPr>
          <w:rFonts w:ascii="Times New Roman" w:hAnsi="Times New Roman" w:eastAsia="Times New Roman"/>
          <w:b w:val="0"/>
          <w:i w:val="0"/>
          <w:sz w:val="23"/>
        </w:rPr>
        <w:t xml:space="preserve"> a single point of failure in the internet connection is unacceptable — redundancy is required.</w:t>
      </w:r>
    </w:p>
    <w:p>
      <w:pPr>
        <w:spacing w:after="120" w:before="280"/>
      </w:pPr>
      <w:r>
        <w:rPr>
          <w:rFonts w:ascii="Times New Roman" w:hAnsi="Times New Roman" w:eastAsia="Times New Roman"/>
          <w:b/>
          <w:i w:val="0"/>
          <w:color w:val="1F4E79"/>
          <w:sz w:val="26"/>
        </w:rPr>
        <w:t>Recommended Internet Connectivity</w:t>
      </w:r>
    </w:p>
    <w:p>
      <w:pPr>
        <w:spacing w:after="160" w:before="0"/>
        <w:ind w:left="0"/>
        <w:jc w:val="both"/>
      </w:pPr>
      <w:r>
        <w:rPr>
          <w:rFonts w:ascii="Times New Roman" w:hAnsi="Times New Roman" w:eastAsia="Times New Roman"/>
          <w:b w:val="0"/>
          <w:i w:val="0"/>
          <w:sz w:val="24"/>
        </w:rPr>
        <w:t>The primary WAN link should be 4G/5G Fixed Wireless Access (FWA) using a cellular router, since rural areas increasingly have cellular tower coverage even where wired broadband has never been deployed, and 4G/5G FWA is substantially cheaper to deploy and operate than a traditional leased line or VSAT-only setup, while offering far lower latency than satellite — an important factor for real-time video conferencing. As a backup WAN link, a satellite internet service (e.g. a modern LEO satellite service) should be provisioned; although satellite has higher latency than cellular, it provides coverage independent of local cell-tower reliability, giving true physical-path diversity for the redundancy this scenario demands.</w:t>
      </w:r>
    </w:p>
    <w:p>
      <w:pPr>
        <w:spacing w:after="120" w:before="280"/>
      </w:pPr>
      <w:r>
        <w:rPr>
          <w:rFonts w:ascii="Times New Roman" w:hAnsi="Times New Roman" w:eastAsia="Times New Roman"/>
          <w:b/>
          <w:i w:val="0"/>
          <w:color w:val="1F4E79"/>
          <w:sz w:val="26"/>
        </w:rPr>
        <w:t>Recommended Networking Devices</w:t>
      </w:r>
    </w:p>
    <w:p>
      <w:pPr>
        <w:spacing w:after="0" w:before="0"/>
      </w:pPr>
    </w:p>
    <w:tbl>
      <w:tblPr>
        <w:tblW w:type="auto" w:w="0"/>
        <w:jc w:val="center"/>
        <w:tblLook w:firstColumn="1" w:firstRow="1" w:lastColumn="0" w:lastRow="0" w:noHBand="0" w:noVBand="1" w:val="04A0"/>
      </w:tblPr>
      <w:tblGrid>
        <w:gridCol w:w="3024"/>
        <w:gridCol w:w="3024"/>
        <w:gridCol w:w="3024"/>
      </w:tblGrid>
      <w:tr>
        <w:tc>
          <w:tcPr>
            <w:tcW w:type="dxa" w:w="3024"/>
            <w:shd w:val="clear" w:fill="1F4E79"/>
          </w:tcPr>
          <w:p>
            <w:pPr>
              <w:jc w:val="center"/>
            </w:pPr>
            <w:r/>
            <w:r>
              <w:rPr>
                <w:rFonts w:ascii="Times New Roman" w:hAnsi="Times New Roman" w:eastAsia="Times New Roman"/>
                <w:b/>
                <w:i w:val="0"/>
                <w:color w:val="FFFFFF"/>
                <w:sz w:val="20"/>
              </w:rPr>
              <w:t>Device</w:t>
            </w:r>
          </w:p>
        </w:tc>
        <w:tc>
          <w:tcPr>
            <w:tcW w:type="dxa" w:w="3024"/>
            <w:shd w:val="clear" w:fill="1F4E79"/>
          </w:tcPr>
          <w:p>
            <w:pPr>
              <w:jc w:val="center"/>
            </w:pPr>
            <w:r/>
            <w:r>
              <w:rPr>
                <w:rFonts w:ascii="Times New Roman" w:hAnsi="Times New Roman" w:eastAsia="Times New Roman"/>
                <w:b/>
                <w:i w:val="0"/>
                <w:color w:val="FFFFFF"/>
                <w:sz w:val="20"/>
              </w:rPr>
              <w:t>Recommendation</w:t>
            </w:r>
          </w:p>
        </w:tc>
        <w:tc>
          <w:tcPr>
            <w:tcW w:type="dxa" w:w="3024"/>
            <w:shd w:val="clear" w:fill="1F4E79"/>
          </w:tcPr>
          <w:p>
            <w:pPr>
              <w:jc w:val="center"/>
            </w:pPr>
            <w:r/>
            <w:r>
              <w:rPr>
                <w:rFonts w:ascii="Times New Roman" w:hAnsi="Times New Roman" w:eastAsia="Times New Roman"/>
                <w:b/>
                <w:i w:val="0"/>
                <w:color w:val="FFFFFF"/>
                <w:sz w:val="20"/>
              </w:rPr>
              <w:t>Purpose</w:t>
            </w:r>
          </w:p>
        </w:tc>
      </w:tr>
      <w:tr>
        <w:tc>
          <w:tcPr>
            <w:tcW w:type="dxa" w:w="3024"/>
          </w:tcPr>
          <w:p>
            <w:r/>
            <w:r>
              <w:rPr>
                <w:rFonts w:ascii="Times New Roman" w:hAnsi="Times New Roman" w:eastAsia="Times New Roman"/>
                <w:b w:val="0"/>
                <w:i w:val="0"/>
                <w:sz w:val="19"/>
              </w:rPr>
              <w:t>SD-WAN Router/Firewall</w:t>
            </w:r>
          </w:p>
        </w:tc>
        <w:tc>
          <w:tcPr>
            <w:tcW w:type="dxa" w:w="3024"/>
          </w:tcPr>
          <w:p>
            <w:r/>
            <w:r>
              <w:rPr>
                <w:rFonts w:ascii="Times New Roman" w:hAnsi="Times New Roman" w:eastAsia="Times New Roman"/>
                <w:b w:val="0"/>
                <w:i w:val="0"/>
                <w:sz w:val="19"/>
              </w:rPr>
              <w:t>Dual-WAN capable (e.g. Peplink Balance, Cisco Meraki MX, or pfSense with 2 WAN NICs)</w:t>
            </w:r>
          </w:p>
        </w:tc>
        <w:tc>
          <w:tcPr>
            <w:tcW w:type="dxa" w:w="3024"/>
          </w:tcPr>
          <w:p>
            <w:r/>
            <w:r>
              <w:rPr>
                <w:rFonts w:ascii="Times New Roman" w:hAnsi="Times New Roman" w:eastAsia="Times New Roman"/>
                <w:b w:val="0"/>
                <w:i w:val="0"/>
                <w:sz w:val="19"/>
              </w:rPr>
              <w:t>Combines both WAN links, automatically fails over if the primary drops, and terminates the site-to-site VPN</w:t>
            </w:r>
          </w:p>
        </w:tc>
      </w:tr>
      <w:tr>
        <w:tc>
          <w:tcPr>
            <w:tcW w:type="dxa" w:w="3024"/>
          </w:tcPr>
          <w:p>
            <w:r/>
            <w:r>
              <w:rPr>
                <w:rFonts w:ascii="Times New Roman" w:hAnsi="Times New Roman" w:eastAsia="Times New Roman"/>
                <w:b w:val="0"/>
                <w:i w:val="0"/>
                <w:sz w:val="19"/>
              </w:rPr>
              <w:t>Managed Switch</w:t>
            </w:r>
          </w:p>
        </w:tc>
        <w:tc>
          <w:tcPr>
            <w:tcW w:type="dxa" w:w="3024"/>
          </w:tcPr>
          <w:p>
            <w:r/>
            <w:r>
              <w:rPr>
                <w:rFonts w:ascii="Times New Roman" w:hAnsi="Times New Roman" w:eastAsia="Times New Roman"/>
                <w:b w:val="0"/>
                <w:i w:val="0"/>
                <w:sz w:val="19"/>
              </w:rPr>
              <w:t>8–16 port Gigabit managed switch</w:t>
            </w:r>
          </w:p>
        </w:tc>
        <w:tc>
          <w:tcPr>
            <w:tcW w:type="dxa" w:w="3024"/>
          </w:tcPr>
          <w:p>
            <w:r/>
            <w:r>
              <w:rPr>
                <w:rFonts w:ascii="Times New Roman" w:hAnsi="Times New Roman" w:eastAsia="Times New Roman"/>
                <w:b w:val="0"/>
                <w:i w:val="0"/>
                <w:sz w:val="19"/>
              </w:rPr>
              <w:t>Connects office PCs, VoIP/video endpoints, and the Wi-Fi AP</w:t>
            </w:r>
          </w:p>
        </w:tc>
      </w:tr>
      <w:tr>
        <w:tc>
          <w:tcPr>
            <w:tcW w:type="dxa" w:w="3024"/>
          </w:tcPr>
          <w:p>
            <w:r/>
            <w:r>
              <w:rPr>
                <w:rFonts w:ascii="Times New Roman" w:hAnsi="Times New Roman" w:eastAsia="Times New Roman"/>
                <w:b w:val="0"/>
                <w:i w:val="0"/>
                <w:sz w:val="19"/>
              </w:rPr>
              <w:t>Wireless Access Point</w:t>
            </w:r>
          </w:p>
        </w:tc>
        <w:tc>
          <w:tcPr>
            <w:tcW w:type="dxa" w:w="3024"/>
          </w:tcPr>
          <w:p>
            <w:r/>
            <w:r>
              <w:rPr>
                <w:rFonts w:ascii="Times New Roman" w:hAnsi="Times New Roman" w:eastAsia="Times New Roman"/>
                <w:b w:val="0"/>
                <w:i w:val="0"/>
                <w:sz w:val="19"/>
              </w:rPr>
              <w:t>WPA3-capable business AP</w:t>
            </w:r>
          </w:p>
        </w:tc>
        <w:tc>
          <w:tcPr>
            <w:tcW w:type="dxa" w:w="3024"/>
          </w:tcPr>
          <w:p>
            <w:r/>
            <w:r>
              <w:rPr>
                <w:rFonts w:ascii="Times New Roman" w:hAnsi="Times New Roman" w:eastAsia="Times New Roman"/>
                <w:b w:val="0"/>
                <w:i w:val="0"/>
                <w:sz w:val="19"/>
              </w:rPr>
              <w:t>Wireless connectivity for laptops/mobile devices in the office</w:t>
            </w:r>
          </w:p>
        </w:tc>
      </w:tr>
    </w:tbl>
    <w:p>
      <w:pPr>
        <w:spacing w:after="240" w:before="0"/>
      </w:pPr>
    </w:p>
    <w:p>
      <w:pPr>
        <w:spacing w:after="60" w:before="160"/>
        <w:jc w:val="center"/>
      </w:pPr>
      <w:r>
        <w:drawing>
          <wp:inline xmlns:a="http://schemas.openxmlformats.org/drawingml/2006/main" xmlns:pic="http://schemas.openxmlformats.org/drawingml/2006/picture">
            <wp:extent cx="5760720" cy="4017183"/>
            <wp:docPr id="4" name="Picture 4"/>
            <wp:cNvGraphicFramePr>
              <a:graphicFrameLocks noChangeAspect="1"/>
            </wp:cNvGraphicFramePr>
            <a:graphic>
              <a:graphicData uri="http://schemas.openxmlformats.org/drawingml/2006/picture">
                <pic:pic>
                  <pic:nvPicPr>
                    <pic:cNvPr id="0" name="q1_branch_topology.png"/>
                    <pic:cNvPicPr/>
                  </pic:nvPicPr>
                  <pic:blipFill>
                    <a:blip r:embed="rId6"/>
                    <a:stretch>
                      <a:fillRect/>
                    </a:stretch>
                  </pic:blipFill>
                  <pic:spPr>
                    <a:xfrm>
                      <a:off x="0" y="0"/>
                      <a:ext cx="5760720" cy="4017183"/>
                    </a:xfrm>
                    <a:prstGeom prst="rect"/>
                  </pic:spPr>
                </pic:pic>
              </a:graphicData>
            </a:graphic>
          </wp:inline>
        </w:drawing>
      </w:r>
    </w:p>
    <w:p>
      <w:pPr>
        <w:spacing w:after="200" w:before="0"/>
        <w:jc w:val="center"/>
      </w:pPr>
      <w:r>
        <w:rPr>
          <w:rFonts w:ascii="Times New Roman" w:hAnsi="Times New Roman" w:eastAsia="Times New Roman"/>
          <w:b w:val="0"/>
          <w:i/>
          <w:sz w:val="20"/>
        </w:rPr>
        <w:t>Figure 1.1 – Rural branch office with dual-WAN (4G/5G primary + satellite backup) and a VPN back to HQ.</w:t>
      </w:r>
    </w:p>
    <w:p>
      <w:pPr>
        <w:spacing w:after="120" w:before="280"/>
      </w:pPr>
      <w:r>
        <w:rPr>
          <w:rFonts w:ascii="Times New Roman" w:hAnsi="Times New Roman" w:eastAsia="Times New Roman"/>
          <w:b/>
          <w:i w:val="0"/>
          <w:color w:val="1F4E79"/>
          <w:sz w:val="26"/>
        </w:rPr>
        <w:t>Security Mechanisms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Site-to-site IPsec VPN:</w:t>
      </w:r>
      <w:r>
        <w:rPr>
          <w:rFonts w:ascii="Times New Roman" w:hAnsi="Times New Roman" w:eastAsia="Times New Roman"/>
          <w:b w:val="0"/>
          <w:i w:val="0"/>
          <w:sz w:val="23"/>
        </w:rPr>
        <w:t xml:space="preserve"> establishes an encrypted tunnel between the branch's SD-WAN router and HQ's router, protecting all inter-site traffic regardless of which physical WAN link (cellular or satellite) is currently active.</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Integrated UTM/firewall features:</w:t>
      </w:r>
      <w:r>
        <w:rPr>
          <w:rFonts w:ascii="Times New Roman" w:hAnsi="Times New Roman" w:eastAsia="Times New Roman"/>
          <w:b w:val="0"/>
          <w:i w:val="0"/>
          <w:sz w:val="23"/>
        </w:rPr>
        <w:t xml:space="preserve"> since a standalone next-generation firewall would strain the budget, an all-in-one SD-WAN router with built-in firewall, intrusion prevention, and content filtering keeps security strong without adding separate hardware costs.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val="0"/>
          <w:i w:val="0"/>
          <w:sz w:val="23"/>
        </w:rPr>
        <w:t>WPA3-Enterprise or WPA3-Personal Wi-Fi security: protects the internal wireless network from unauthorized access.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QoS (Quality of Service) prioritization:</w:t>
      </w:r>
      <w:r>
        <w:rPr>
          <w:rFonts w:ascii="Times New Roman" w:hAnsi="Times New Roman" w:eastAsia="Times New Roman"/>
          <w:b w:val="0"/>
          <w:i w:val="0"/>
          <w:sz w:val="23"/>
        </w:rPr>
        <w:t xml:space="preserve"> tags and prioritizes video-conferencing and VoIP traffic ahead of routine bulk data, so limited bandwidth is used where it matters most for real-time communication quality.</w:t>
      </w:r>
    </w:p>
    <w:p>
      <w:pPr>
        <w:spacing w:after="120" w:before="280"/>
      </w:pPr>
      <w:r>
        <w:rPr>
          <w:rFonts w:ascii="Times New Roman" w:hAnsi="Times New Roman" w:eastAsia="Times New Roman"/>
          <w:b/>
          <w:i w:val="0"/>
          <w:color w:val="1F4E79"/>
          <w:sz w:val="26"/>
        </w:rPr>
        <w:t>Justification Against Each Constraint</w:t>
      </w:r>
    </w:p>
    <w:p>
      <w:pPr>
        <w:spacing w:after="160" w:before="0"/>
        <w:ind w:left="0"/>
        <w:jc w:val="both"/>
      </w:pPr>
      <w:r>
        <w:rPr>
          <w:rFonts w:ascii="Times New Roman" w:hAnsi="Times New Roman" w:eastAsia="Times New Roman"/>
          <w:b w:val="0"/>
          <w:i w:val="0"/>
          <w:sz w:val="24"/>
        </w:rPr>
        <w:t>Bandwidth: a 4G/5G connection typically provides tens of megabits per second — comfortably enough for cloud applications and several concurrent HD video-conferencing streams (each needing roughly 2–4 Mbps), especially once QoS ensures that video/voice traffic is never starved by background downloads. Reliability: the dual-WAN design means the office keeps operating even if one link fails entirely — automatic failover typically completes within seconds, satisfying the requirement for uninterrupted business operations without needing a much more expensive fully-redundant wired solution. Cost: 4G/5G FWA plans are dramatically cheaper than leased lines or enterprise-grade VSAT contracts, and consolidating firewall/VPN/routing functions into one SD-WAN appliance avoids the cost of multiple separate security appliances. Future scalability: because the design is centered on an SD-WAN device, adding a third WAN link, onboarding more branch offices under the same centrally-managed SD-WAN fabric, or upgrading to a wired connection later (if one becomes available) requires no redesign — only configuration changes.</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pPr>
        <w:spacing w:after="120" w:before="280"/>
      </w:pPr>
      <w:r>
        <w:rPr>
          <w:rFonts w:ascii="Times New Roman" w:hAnsi="Times New Roman" w:eastAsia="Times New Roman"/>
          <w:b/>
          <w:i w:val="0"/>
          <w:color w:val="B01E1E"/>
          <w:sz w:val="30"/>
        </w:rPr>
        <w:t>Answer — Question 2: Campus-Wide Wireless Network Design</w:t>
      </w:r>
    </w:p>
    <w:p>
      <w:pPr>
        <w:spacing w:after="120" w:before="280"/>
      </w:pPr>
      <w:r>
        <w:rPr>
          <w:rFonts w:ascii="Times New Roman" w:hAnsi="Times New Roman" w:eastAsia="Times New Roman"/>
          <w:b/>
          <w:i w:val="0"/>
          <w:color w:val="1F4E79"/>
          <w:sz w:val="26"/>
        </w:rPr>
        <w:t>Constraint Analysis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Very large user base:</w:t>
      </w:r>
      <w:r>
        <w:rPr>
          <w:rFonts w:ascii="Times New Roman" w:hAnsi="Times New Roman" w:eastAsia="Times New Roman"/>
          <w:b w:val="0"/>
          <w:i w:val="0"/>
          <w:sz w:val="23"/>
        </w:rPr>
        <w:t xml:space="preserve"> 3,000+ students across varied building types with very different usage density (packed lecture halls vs. sparse hostel corridors).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Limited number of access points:</w:t>
      </w:r>
      <w:r>
        <w:rPr>
          <w:rFonts w:ascii="Times New Roman" w:hAnsi="Times New Roman" w:eastAsia="Times New Roman"/>
          <w:b w:val="0"/>
          <w:i w:val="0"/>
          <w:sz w:val="23"/>
        </w:rPr>
        <w:t xml:space="preserve"> the AP budget cannot simply be scaled to match total headcount — placement and configuration must be intelligent, not brute-force.</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Minimizing signal interference:</w:t>
      </w:r>
      <w:r>
        <w:rPr>
          <w:rFonts w:ascii="Times New Roman" w:hAnsi="Times New Roman" w:eastAsia="Times New Roman"/>
          <w:b w:val="0"/>
          <w:i w:val="0"/>
          <w:sz w:val="23"/>
        </w:rPr>
        <w:t xml:space="preserve"> crowding many APs into a small area on the same channels causes co-channel interference that can hurt performance more than it helps.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Secure access:</w:t>
      </w:r>
      <w:r>
        <w:rPr>
          <w:rFonts w:ascii="Times New Roman" w:hAnsi="Times New Roman" w:eastAsia="Times New Roman"/>
          <w:b w:val="0"/>
          <w:i w:val="0"/>
          <w:sz w:val="23"/>
        </w:rPr>
        <w:t xml:space="preserve"> thousands of individual students need controlled, auditable access without relying on an insecure single shared password.</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val="0"/>
          <w:i w:val="0"/>
          <w:sz w:val="23"/>
        </w:rPr>
        <w:t>Balancing coverage, performance, security, and cost simultaneously.</w:t>
      </w:r>
    </w:p>
    <w:p>
      <w:pPr>
        <w:spacing w:after="120" w:before="280"/>
      </w:pPr>
      <w:r>
        <w:rPr>
          <w:rFonts w:ascii="Times New Roman" w:hAnsi="Times New Roman" w:eastAsia="Times New Roman"/>
          <w:b/>
          <w:i w:val="0"/>
          <w:color w:val="1F4E79"/>
          <w:sz w:val="26"/>
        </w:rPr>
        <w:t>AP Placement Strategy — Density-Based Deployment</w:t>
      </w:r>
    </w:p>
    <w:p>
      <w:pPr>
        <w:spacing w:after="160" w:before="0"/>
        <w:ind w:left="0"/>
        <w:jc w:val="both"/>
      </w:pPr>
      <w:r>
        <w:rPr>
          <w:rFonts w:ascii="Times New Roman" w:hAnsi="Times New Roman" w:eastAsia="Times New Roman"/>
          <w:b w:val="0"/>
          <w:i w:val="0"/>
          <w:sz w:val="24"/>
        </w:rPr>
        <w:t>Rather than distributing APs evenly across the whole campus, they should be concentrated where concurrent usage is highest. A rough capacity estimate: assuming perhaps 30–40% of 3,000 students are actively connected at any given moment (roughly 900–1,200 concurrent users), and that a well-configured enterprise AP can comfortably serve about 50–60 clients with good throughput, high-density zones need noticeably more APs at lower transmit power (creating smaller “cells” that can reuse channels more tightly and serve more users per square meter), while low-density zones (hostel corridors, administrative areas) can rely on fewer APs at higher transmit power for wide, economical coverage.</w:t>
      </w:r>
    </w:p>
    <w:p>
      <w:pPr>
        <w:spacing w:after="60" w:before="160"/>
        <w:jc w:val="center"/>
      </w:pPr>
      <w:r>
        <w:drawing>
          <wp:inline xmlns:a="http://schemas.openxmlformats.org/drawingml/2006/main" xmlns:pic="http://schemas.openxmlformats.org/drawingml/2006/picture">
            <wp:extent cx="5760720" cy="3823952"/>
            <wp:docPr id="5" name="Picture 5"/>
            <wp:cNvGraphicFramePr>
              <a:graphicFrameLocks noChangeAspect="1"/>
            </wp:cNvGraphicFramePr>
            <a:graphic>
              <a:graphicData uri="http://schemas.openxmlformats.org/drawingml/2006/picture">
                <pic:pic>
                  <pic:nvPicPr>
                    <pic:cNvPr id="0" name="q2_ap_placement.png"/>
                    <pic:cNvPicPr/>
                  </pic:nvPicPr>
                  <pic:blipFill>
                    <a:blip r:embed="rId10"/>
                    <a:stretch>
                      <a:fillRect/>
                    </a:stretch>
                  </pic:blipFill>
                  <pic:spPr>
                    <a:xfrm>
                      <a:off x="0" y="0"/>
                      <a:ext cx="5760720" cy="3823952"/>
                    </a:xfrm>
                    <a:prstGeom prst="rect"/>
                  </pic:spPr>
                </pic:pic>
              </a:graphicData>
            </a:graphic>
          </wp:inline>
        </w:drawing>
      </w:r>
    </w:p>
    <w:p>
      <w:pPr>
        <w:spacing w:after="200" w:before="0"/>
        <w:jc w:val="center"/>
      </w:pPr>
      <w:r>
        <w:rPr>
          <w:rFonts w:ascii="Times New Roman" w:hAnsi="Times New Roman" w:eastAsia="Times New Roman"/>
          <w:b w:val="0"/>
          <w:i/>
          <w:sz w:val="20"/>
        </w:rPr>
        <w:t>Figure 2.1 – Density-based AP placement: more, lower-power APs in high-traffic zones; fewer, higher-power APs elsewhere.</w:t>
      </w:r>
    </w:p>
    <w:p>
      <w:pPr>
        <w:spacing w:after="120" w:before="280"/>
      </w:pPr>
      <w:r>
        <w:rPr>
          <w:rFonts w:ascii="Times New Roman" w:hAnsi="Times New Roman" w:eastAsia="Times New Roman"/>
          <w:b/>
          <w:i w:val="0"/>
          <w:color w:val="1F4E79"/>
          <w:sz w:val="26"/>
        </w:rPr>
        <w:t>Frequency Band Selection &amp; Interference Minimization</w:t>
      </w:r>
    </w:p>
    <w:p>
      <w:pPr>
        <w:spacing w:after="160" w:before="0"/>
        <w:ind w:left="0"/>
        <w:jc w:val="both"/>
      </w:pPr>
      <w:r>
        <w:rPr>
          <w:rFonts w:ascii="Times New Roman" w:hAnsi="Times New Roman" w:eastAsia="Times New Roman"/>
          <w:b w:val="0"/>
          <w:i w:val="0"/>
          <w:sz w:val="24"/>
        </w:rPr>
        <w:t>The 2.4 GHz band offers only 3 non-overlapping channels, making it prone to severe interference once more than a handful of APs are deployed close together — entirely unsuitable as the primary band for a dense, 3,000-student deployment. The 5 GHz band (and, on newer Wi-Fi 6E-capable hardware, the 6 GHz band) offers roughly 24 non-overlapping channels, allowing many more APs to be packed into the same area while still avoiding co-channel interference between neighboring cells. Dual-band APs should therefore be deployed with band steering enabled, actively pushing capable devices onto 5 GHz/6 GHz and reserving 2.4 GHz mainly for legacy devices and the sparser, wide-coverage zones. A cellular-style channel-reuse pattern (assigning different non-overlapping channels to adjacent AP cells, and only repeating a channel once cells are far enough apart) further minimizes interference in the high-density zones.</w:t>
      </w:r>
    </w:p>
    <w:p>
      <w:pPr>
        <w:spacing w:after="60" w:before="160"/>
        <w:jc w:val="center"/>
      </w:pPr>
      <w:r>
        <w:drawing>
          <wp:inline xmlns:a="http://schemas.openxmlformats.org/drawingml/2006/main" xmlns:pic="http://schemas.openxmlformats.org/drawingml/2006/picture">
            <wp:extent cx="5943600" cy="2632016"/>
            <wp:docPr id="6" name="Picture 6"/>
            <wp:cNvGraphicFramePr>
              <a:graphicFrameLocks noChangeAspect="1"/>
            </wp:cNvGraphicFramePr>
            <a:graphic>
              <a:graphicData uri="http://schemas.openxmlformats.org/drawingml/2006/picture">
                <pic:pic>
                  <pic:nvPicPr>
                    <pic:cNvPr id="0" name="q2_channel_auth.png"/>
                    <pic:cNvPicPr/>
                  </pic:nvPicPr>
                  <pic:blipFill>
                    <a:blip r:embed="rId11"/>
                    <a:stretch>
                      <a:fillRect/>
                    </a:stretch>
                  </pic:blipFill>
                  <pic:spPr>
                    <a:xfrm>
                      <a:off x="0" y="0"/>
                      <a:ext cx="5943600" cy="2632016"/>
                    </a:xfrm>
                    <a:prstGeom prst="rect"/>
                  </pic:spPr>
                </pic:pic>
              </a:graphicData>
            </a:graphic>
          </wp:inline>
        </w:drawing>
      </w:r>
    </w:p>
    <w:p>
      <w:pPr>
        <w:spacing w:after="200" w:before="0"/>
        <w:jc w:val="center"/>
      </w:pPr>
      <w:r>
        <w:rPr>
          <w:rFonts w:ascii="Times New Roman" w:hAnsi="Times New Roman" w:eastAsia="Times New Roman"/>
          <w:b w:val="0"/>
          <w:i/>
          <w:sz w:val="20"/>
        </w:rPr>
        <w:t>Figure 2.2 – Non-overlapping 5 GHz channel reuse pattern, and the 802.1X/RADIUS authentication flow.</w:t>
      </w:r>
    </w:p>
    <w:p>
      <w:pPr>
        <w:spacing w:after="120" w:before="280"/>
      </w:pPr>
      <w:r>
        <w:rPr>
          <w:rFonts w:ascii="Times New Roman" w:hAnsi="Times New Roman" w:eastAsia="Times New Roman"/>
          <w:b/>
          <w:i w:val="0"/>
          <w:color w:val="1F4E79"/>
          <w:sz w:val="26"/>
        </w:rPr>
        <w:t>Authentication Method</w:t>
      </w:r>
    </w:p>
    <w:p>
      <w:pPr>
        <w:spacing w:after="160" w:before="0"/>
        <w:ind w:left="0"/>
        <w:jc w:val="both"/>
      </w:pPr>
      <w:r>
        <w:rPr>
          <w:rFonts w:ascii="Times New Roman" w:hAnsi="Times New Roman" w:eastAsia="Times New Roman"/>
          <w:b w:val="0"/>
          <w:i w:val="0"/>
          <w:sz w:val="24"/>
        </w:rPr>
        <w:t>Rather than a single shared Wi-Fi password (which cannot be revoked per-user and offers no accountability), the network should use WPA2/WPA3-Enterprise with 802.1X authentication against a RADIUS server tied to the university's existing student directory (LDAP/Active Directory) — the same model used by real-world federated academic Wi-Fi (e.g. eduroam). Each student authenticates with their own university credentials, so access can be individually logged, and a single compromised or graduated account can be revoked without affecting anyone else. A separate Guest VLAN with a captive-portal login handles visitors without exposing them to the main academic network.</w:t>
      </w:r>
    </w:p>
    <w:p>
      <w:pPr>
        <w:spacing w:after="120" w:before="280"/>
      </w:pPr>
      <w:r>
        <w:rPr>
          <w:rFonts w:ascii="Times New Roman" w:hAnsi="Times New Roman" w:eastAsia="Times New Roman"/>
          <w:b/>
          <w:i w:val="0"/>
          <w:color w:val="1F4E79"/>
          <w:sz w:val="26"/>
        </w:rPr>
        <w:t>How This Balances the Four Constraints</w:t>
      </w:r>
    </w:p>
    <w:p>
      <w:pPr>
        <w:spacing w:after="160" w:before="0"/>
        <w:ind w:left="0"/>
        <w:jc w:val="both"/>
      </w:pPr>
      <w:r>
        <w:rPr>
          <w:rFonts w:ascii="Times New Roman" w:hAnsi="Times New Roman" w:eastAsia="Times New Roman"/>
          <w:b w:val="0"/>
          <w:i w:val="0"/>
          <w:sz w:val="24"/>
        </w:rPr>
        <w:t>Coverage and performance are balanced through density-based placement (concentrating limited APs where they are needed most) combined with 5/6 GHz band steering and channel reuse (letting a limited number of APs serve far more concurrent users than a naive 2.4 GHz-only deployment could, without interference collapsing throughput). Security is addressed through per-user 802.1X/RADIUS authentication rather than a shared password, giving both stronger protection and individual accountability. Cost is controlled because the AP budget is spent where it delivers the most value (high-density zones) rather than uniformly, and because a centralized Wireless LAN Controller manages all APs' channel/power settings automatically, minimizing the ongoing administrative burden that would otherwise come with manually tuning a large number of individual devices.</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pPr>
        <w:spacing w:after="120" w:before="280"/>
      </w:pPr>
      <w:r>
        <w:rPr>
          <w:rFonts w:ascii="Times New Roman" w:hAnsi="Times New Roman" w:eastAsia="Times New Roman"/>
          <w:b/>
          <w:i w:val="0"/>
          <w:color w:val="B01E1E"/>
          <w:sz w:val="30"/>
        </w:rPr>
        <w:t>Answer — Question 3: Secure Network Architecture for a Financial Institution</w:t>
      </w:r>
    </w:p>
    <w:p>
      <w:pPr>
        <w:spacing w:after="120" w:before="280"/>
      </w:pPr>
      <w:r>
        <w:rPr>
          <w:rFonts w:ascii="Times New Roman" w:hAnsi="Times New Roman" w:eastAsia="Times New Roman"/>
          <w:b/>
          <w:i w:val="0"/>
          <w:color w:val="1F4E79"/>
          <w:sz w:val="26"/>
        </w:rPr>
        <w:t>Constraint Analysis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Strong cybersecurity:</w:t>
      </w:r>
      <w:r>
        <w:rPr>
          <w:rFonts w:ascii="Times New Roman" w:hAnsi="Times New Roman" w:eastAsia="Times New Roman"/>
          <w:b w:val="0"/>
          <w:i w:val="0"/>
          <w:sz w:val="23"/>
        </w:rPr>
        <w:t xml:space="preserve"> must protect highly sensitive customer and financial data from both external attackers and internal threats.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Employee access to sensitive systems:</w:t>
      </w:r>
      <w:r>
        <w:rPr>
          <w:rFonts w:ascii="Times New Roman" w:hAnsi="Times New Roman" w:eastAsia="Times New Roman"/>
          <w:b w:val="0"/>
          <w:i w:val="0"/>
          <w:sz w:val="23"/>
        </w:rPr>
        <w:t xml:space="preserve"> staff still need functional, timely access to customer data and online banking systems to do their jobs.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Strict compliance requirements:</w:t>
      </w:r>
      <w:r>
        <w:rPr>
          <w:rFonts w:ascii="Times New Roman" w:hAnsi="Times New Roman" w:eastAsia="Times New Roman"/>
          <w:b w:val="0"/>
          <w:i w:val="0"/>
          <w:sz w:val="23"/>
        </w:rPr>
        <w:t xml:space="preserve"> financial institutions are typically subject to standards such as PCI-DSS for any systems handling payment card data.</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val="0"/>
          <w:i w:val="0"/>
          <w:sz w:val="23"/>
        </w:rPr>
        <w:t>Performance must not be significantly affected: security controls cannot introduce unacceptable latency into day-to-day operations.</w:t>
      </w:r>
    </w:p>
    <w:p>
      <w:pPr>
        <w:spacing w:after="80" w:before="0"/>
        <w:ind w:left="432"/>
      </w:pPr>
      <w:r>
        <w:rPr>
          <w:rFonts w:ascii="Times New Roman" w:hAnsi="Times New Roman" w:eastAsia="Times New Roman"/>
          <w:b/>
          <w:i w:val="0"/>
          <w:sz w:val="23"/>
        </w:rPr>
        <w:t xml:space="preserve">•  </w:t>
      </w:r>
      <w:r>
        <w:rPr>
          <w:rFonts w:ascii="Times New Roman" w:hAnsi="Times New Roman" w:eastAsia="Times New Roman"/>
          <w:b/>
          <w:i w:val="0"/>
          <w:sz w:val="23"/>
        </w:rPr>
        <w:t>Operational cost must be controlled:</w:t>
      </w:r>
      <w:r>
        <w:rPr>
          <w:rFonts w:ascii="Times New Roman" w:hAnsi="Times New Roman" w:eastAsia="Times New Roman"/>
          <w:b w:val="0"/>
          <w:i w:val="0"/>
          <w:sz w:val="23"/>
        </w:rPr>
        <w:t xml:space="preserve"> the design should reuse existing capable infrastructure wherever possible rather than requiring an entirely new security stack.</w:t>
      </w:r>
    </w:p>
    <w:p>
      <w:pPr>
        <w:spacing w:after="120" w:before="280"/>
      </w:pPr>
      <w:r>
        <w:rPr>
          <w:rFonts w:ascii="Times New Roman" w:hAnsi="Times New Roman" w:eastAsia="Times New Roman"/>
          <w:b/>
          <w:i w:val="0"/>
          <w:color w:val="1F4E79"/>
          <w:sz w:val="26"/>
        </w:rPr>
        <w:t>Network Segmentation Design</w:t>
      </w:r>
    </w:p>
    <w:p>
      <w:pPr>
        <w:spacing w:after="160" w:before="0"/>
        <w:ind w:left="0"/>
        <w:jc w:val="both"/>
      </w:pPr>
      <w:r>
        <w:rPr>
          <w:rFonts w:ascii="Times New Roman" w:hAnsi="Times New Roman" w:eastAsia="Times New Roman"/>
          <w:b w:val="0"/>
          <w:i w:val="0"/>
          <w:sz w:val="24"/>
        </w:rPr>
        <w:t>The network is divided into function-based VLANs enforcing the principle of least privilege: a Teller/Customer-Service VLAN, a Back-Office/Admin VLAN, a highly restricted Sensitive Customer Database VLAN (protected by its own dedicated firewall rules and IDS sensor, since this segment holds the institution's most valuable data), and an isolated Guest Wi-Fi VLAN with no path to any internal segment. Inter-VLAN traffic is routed through the core Layer 3 switch, where Access Control Lists (ACLs) tightly restrict exactly which VLANs may communicate with which, and on what ports/protocols — for example, only specific back-office application servers may query the sensitive database VLAN, and Teller workstations may reach only the particular banking application ports they need, nothing more.</w:t>
      </w:r>
    </w:p>
    <w:p>
      <w:pPr>
        <w:spacing w:after="60" w:before="160"/>
        <w:jc w:val="center"/>
      </w:pPr>
      <w:r>
        <w:drawing>
          <wp:inline xmlns:a="http://schemas.openxmlformats.org/drawingml/2006/main" xmlns:pic="http://schemas.openxmlformats.org/drawingml/2006/picture">
            <wp:extent cx="5760720" cy="4707748"/>
            <wp:docPr id="7" name="Picture 7"/>
            <wp:cNvGraphicFramePr>
              <a:graphicFrameLocks noChangeAspect="1"/>
            </wp:cNvGraphicFramePr>
            <a:graphic>
              <a:graphicData uri="http://schemas.openxmlformats.org/drawingml/2006/picture">
                <pic:pic>
                  <pic:nvPicPr>
                    <pic:cNvPr id="0" name="q3_secure_architecture.png"/>
                    <pic:cNvPicPr/>
                  </pic:nvPicPr>
                  <pic:blipFill>
                    <a:blip r:embed="rId12"/>
                    <a:stretch>
                      <a:fillRect/>
                    </a:stretch>
                  </pic:blipFill>
                  <pic:spPr>
                    <a:xfrm>
                      <a:off x="0" y="0"/>
                      <a:ext cx="5760720" cy="4707748"/>
                    </a:xfrm>
                    <a:prstGeom prst="rect"/>
                  </pic:spPr>
                </pic:pic>
              </a:graphicData>
            </a:graphic>
          </wp:inline>
        </w:drawing>
      </w:r>
    </w:p>
    <w:p>
      <w:pPr>
        <w:spacing w:after="200" w:before="0"/>
        <w:jc w:val="center"/>
      </w:pPr>
      <w:r>
        <w:rPr>
          <w:rFonts w:ascii="Times New Roman" w:hAnsi="Times New Roman" w:eastAsia="Times New Roman"/>
          <w:b w:val="0"/>
          <w:i/>
          <w:sz w:val="20"/>
        </w:rPr>
        <w:t>Figure 3.1 – Layered, segmented financial network: perimeter NGFW, DMZ, internal firewall, and function-based VLANs.</w:t>
      </w:r>
    </w:p>
    <w:p>
      <w:pPr>
        <w:spacing w:after="120" w:before="280"/>
      </w:pPr>
      <w:r>
        <w:rPr>
          <w:rFonts w:ascii="Times New Roman" w:hAnsi="Times New Roman" w:eastAsia="Times New Roman"/>
          <w:b/>
          <w:i w:val="0"/>
          <w:color w:val="1F4E79"/>
          <w:sz w:val="26"/>
        </w:rPr>
        <w:t>Firewall Deployment</w:t>
      </w:r>
    </w:p>
    <w:p>
      <w:pPr>
        <w:spacing w:after="160" w:before="0"/>
        <w:ind w:left="0"/>
        <w:jc w:val="both"/>
      </w:pPr>
      <w:r>
        <w:rPr>
          <w:rFonts w:ascii="Times New Roman" w:hAnsi="Times New Roman" w:eastAsia="Times New Roman"/>
          <w:b w:val="0"/>
          <w:i w:val="0"/>
          <w:sz w:val="24"/>
        </w:rPr>
        <w:t>A perimeter Next-Generation Firewall (NGFW) sits at the internet edge, performing deep packet inspection and blocking malicious traffic before it ever reaches internal systems. Public-facing online banking web/application servers are placed in a DMZ (demilitarized zone) between two firewall boundaries — isolated from both the raw internet and the internal network — so that even if a public-facing server were compromised, the attacker would still have to breach a second firewall boundary to reach any internal segment. An additional internal firewall sits between the DMZ/core network and the internal VLANs, and the most sensitive database VLAN is protected by its own dedicated firewall ruleset on top of the shared core ACLs — a defense-in-depth approach where no single control failure exposes the whole network.</w:t>
      </w:r>
    </w:p>
    <w:p>
      <w:pPr>
        <w:spacing w:after="120" w:before="280"/>
      </w:pPr>
      <w:r>
        <w:rPr>
          <w:rFonts w:ascii="Times New Roman" w:hAnsi="Times New Roman" w:eastAsia="Times New Roman"/>
          <w:b/>
          <w:i w:val="0"/>
          <w:color w:val="1F4E79"/>
          <w:sz w:val="26"/>
        </w:rPr>
        <w:t>Authentication Methods</w:t>
      </w:r>
    </w:p>
    <w:p>
      <w:pPr>
        <w:spacing w:after="160" w:before="0"/>
        <w:ind w:left="0"/>
        <w:jc w:val="both"/>
      </w:pPr>
      <w:r>
        <w:rPr>
          <w:rFonts w:ascii="Times New Roman" w:hAnsi="Times New Roman" w:eastAsia="Times New Roman"/>
          <w:b w:val="0"/>
          <w:i w:val="0"/>
          <w:sz w:val="24"/>
        </w:rPr>
        <w:t>All employee access to sensitive systems requires Multi-Factor Authentication (MFA) — a password combined with a one-time code or hardware token — so that a stolen password alone is not sufficient to gain access. Centralized identity management (Active Directory, paired with RADIUS or TACACS+ for authenticating administrative access to network devices themselves) enforces Role-Based Access Control (RBAC), ensuring employees can only reach the specific systems and data relevant to their job function, directly supporting the segmentation design above.</w:t>
      </w:r>
    </w:p>
    <w:p>
      <w:pPr>
        <w:spacing w:after="120" w:before="280"/>
      </w:pPr>
      <w:r>
        <w:rPr>
          <w:rFonts w:ascii="Times New Roman" w:hAnsi="Times New Roman" w:eastAsia="Times New Roman"/>
          <w:b/>
          <w:i w:val="0"/>
          <w:color w:val="1F4E79"/>
          <w:sz w:val="26"/>
        </w:rPr>
        <w:t>Intrusion Detection &amp; Prevention</w:t>
      </w:r>
    </w:p>
    <w:p>
      <w:pPr>
        <w:spacing w:after="160" w:before="0"/>
        <w:ind w:left="0"/>
        <w:jc w:val="both"/>
      </w:pPr>
      <w:r>
        <w:rPr>
          <w:rFonts w:ascii="Times New Roman" w:hAnsi="Times New Roman" w:eastAsia="Times New Roman"/>
          <w:b w:val="0"/>
          <w:i w:val="0"/>
          <w:sz w:val="24"/>
        </w:rPr>
        <w:t>An Intrusion Detection/Prevention System (IDS/IPS) is deployed at the network perimeter and specifically around the sensitive customer database segment, monitoring for known attack signatures and anomalous traffic patterns in real time. Because this sits alongside (rather than fully in-line with) most internal traffic, and only the smaller, high-value database segment requires full in-line IPS enforcement, the performance overhead is concentrated only where the security payoff is highest.</w:t>
      </w:r>
    </w:p>
    <w:p>
      <w:pPr>
        <w:spacing w:after="120" w:before="280"/>
      </w:pPr>
      <w:r>
        <w:rPr>
          <w:rFonts w:ascii="Times New Roman" w:hAnsi="Times New Roman" w:eastAsia="Times New Roman"/>
          <w:b/>
          <w:i w:val="0"/>
          <w:color w:val="1F4E79"/>
          <w:sz w:val="26"/>
        </w:rPr>
        <w:t>Justification Against Security, Performance, Compliance, and Budget</w:t>
      </w:r>
    </w:p>
    <w:p>
      <w:pPr>
        <w:spacing w:after="160" w:before="0"/>
        <w:ind w:left="0"/>
        <w:jc w:val="both"/>
      </w:pPr>
      <w:r>
        <w:rPr>
          <w:rFonts w:ascii="Times New Roman" w:hAnsi="Times New Roman" w:eastAsia="Times New Roman"/>
          <w:b w:val="0"/>
          <w:i w:val="0"/>
          <w:sz w:val="24"/>
        </w:rPr>
        <w:t>Security is achieved through defense-in-depth: multiple independent layers (perimeter NGFW, DMZ isolation, internal firewall, per-VLAN segmentation, MFA, and IDS/IPS) mean a single failure or breach at any one layer does not automatically compromise the entire network. Performance is protected because segmentation and ACL enforcement are handled by the core L3 switch's existing hardware-accelerated forwarding, and dedicated deep inspection (the more computationally expensive control) is concentrated only at the perimeter and around the highest-value database segment rather than applied uniformly everywhere. Compliance is directly supported because network segmentation is a core, explicitly recommended control under frameworks such as PCI-DSS — isolating the systems that actually handle sensitive payment/customer data into their own tightly controlled segment substantially reduces the scope of what must be audited in full compliance detail. Budget is respected because the design reuses the organization's existing core switch for VLAN/ACL-based internal segmentation instead of purchasing a separate physical firewall for every segment boundary, reserving the cost of dedicated NGFW/IDS hardware for only the perimeter and the single most sensitive segment where the investment matters most.</w:t>
      </w:r>
    </w:p>
    <w:p w14:paraId="7D9E9629" w14:textId="77777777" w:rsidR="0016129A" w:rsidRDefault="0016129A">
      <w:pPr>
        <w:pBdr>
          <w:top w:val="nil"/>
          <w:left w:val="nil"/>
          <w:bottom w:val="nil"/>
          <w:right w:val="nil"/>
          <w:between w:val="nil"/>
        </w:pBdr>
        <w:spacing w:after="160" w:line="259" w:lineRule="auto"/>
        <w:ind w:left="720"/>
        <w:rPr>
          <w:rFonts w:ascii="Cambria" w:eastAsia="Cambria" w:hAnsi="Cambria" w:cs="Cambria"/>
          <w:color w:val="000000"/>
          <w:sz w:val="22"/>
          <w:szCs w:val="22"/>
        </w:rPr>
      </w:pPr>
    </w:p>
    <w:p w14:paraId="7D9E962A" w14:textId="77777777" w:rsidR="0016129A" w:rsidRDefault="0016129A">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9A19E94" w14:textId="77777777" w:rsidR="00C97973" w:rsidRDefault="00C97973">
      <w:pPr>
        <w:pBdr>
          <w:top w:val="nil"/>
          <w:left w:val="nil"/>
          <w:bottom w:val="nil"/>
          <w:right w:val="nil"/>
          <w:between w:val="nil"/>
        </w:pBdr>
        <w:jc w:val="both"/>
        <w:rPr>
          <w:rFonts w:ascii="Arial" w:eastAsia="Arial" w:hAnsi="Arial" w:cs="Arial"/>
          <w:b/>
          <w:bCs/>
          <w:color w:val="000000"/>
        </w:rPr>
      </w:pPr>
    </w:p>
    <w:p w14:paraId="2B0B80A8" w14:textId="77777777" w:rsidR="00C97973" w:rsidRDefault="00C97973">
      <w:pPr>
        <w:pBdr>
          <w:top w:val="nil"/>
          <w:left w:val="nil"/>
          <w:bottom w:val="nil"/>
          <w:right w:val="nil"/>
          <w:between w:val="nil"/>
        </w:pBdr>
        <w:jc w:val="both"/>
        <w:rPr>
          <w:rFonts w:ascii="Arial" w:eastAsia="Arial" w:hAnsi="Arial" w:cs="Arial"/>
          <w:b/>
          <w:bCs/>
          <w:color w:val="000000"/>
        </w:rPr>
      </w:pPr>
    </w:p>
    <w:p w14:paraId="66476C3C" w14:textId="77777777" w:rsidR="00C97973" w:rsidRDefault="00C97973">
      <w:pPr>
        <w:pBdr>
          <w:top w:val="nil"/>
          <w:left w:val="nil"/>
          <w:bottom w:val="nil"/>
          <w:right w:val="nil"/>
          <w:between w:val="nil"/>
        </w:pBdr>
        <w:jc w:val="both"/>
        <w:rPr>
          <w:rFonts w:ascii="Arial" w:eastAsia="Arial" w:hAnsi="Arial" w:cs="Arial"/>
          <w:b/>
          <w:bCs/>
          <w:color w:val="000000"/>
        </w:rPr>
      </w:pPr>
    </w:p>
    <w:p w14:paraId="4E6C1343" w14:textId="77777777" w:rsidR="00C97973" w:rsidRDefault="00C97973">
      <w:pPr>
        <w:pBdr>
          <w:top w:val="nil"/>
          <w:left w:val="nil"/>
          <w:bottom w:val="nil"/>
          <w:right w:val="nil"/>
          <w:between w:val="nil"/>
        </w:pBdr>
        <w:jc w:val="both"/>
        <w:rPr>
          <w:rFonts w:ascii="Arial" w:eastAsia="Arial" w:hAnsi="Arial" w:cs="Arial"/>
          <w:b/>
          <w:bCs/>
          <w:color w:val="000000"/>
        </w:rPr>
      </w:pPr>
    </w:p>
    <w:p w14:paraId="651B12FB" w14:textId="77777777" w:rsidR="00C97973" w:rsidRDefault="00C97973">
      <w:pPr>
        <w:pBdr>
          <w:top w:val="nil"/>
          <w:left w:val="nil"/>
          <w:bottom w:val="nil"/>
          <w:right w:val="nil"/>
          <w:between w:val="nil"/>
        </w:pBdr>
        <w:jc w:val="both"/>
        <w:rPr>
          <w:rFonts w:ascii="Arial" w:eastAsia="Arial" w:hAnsi="Arial" w:cs="Arial"/>
          <w:b/>
          <w:bCs/>
          <w:color w:val="000000"/>
        </w:rPr>
      </w:pPr>
    </w:p>
    <w:p w14:paraId="48F9796F" w14:textId="77777777" w:rsidR="00C97973" w:rsidRDefault="00C97973">
      <w:pPr>
        <w:pBdr>
          <w:top w:val="nil"/>
          <w:left w:val="nil"/>
          <w:bottom w:val="nil"/>
          <w:right w:val="nil"/>
          <w:between w:val="nil"/>
        </w:pBdr>
        <w:jc w:val="both"/>
        <w:rPr>
          <w:rFonts w:ascii="Arial" w:eastAsia="Arial" w:hAnsi="Arial" w:cs="Arial"/>
          <w:b/>
          <w:bCs/>
          <w:color w:val="000000"/>
        </w:rPr>
      </w:pPr>
    </w:p>
    <w:p w14:paraId="17A25BB5" w14:textId="77777777" w:rsidR="00C97973" w:rsidRDefault="00C97973">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sectPr w:rsidR="0016129A">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1FC66F2-4151-4AE8-B2F2-E6CA5CDB8EC4}"/>
  </w:font>
  <w:font w:name="Calibri">
    <w:panose1 w:val="020F0502020204030204"/>
    <w:charset w:val="00"/>
    <w:family w:val="swiss"/>
    <w:pitch w:val="variable"/>
    <w:sig w:usb0="E4002EFF" w:usb1="C000247B" w:usb2="00000009" w:usb3="00000000" w:csb0="000001FF" w:csb1="00000000"/>
    <w:embedRegular r:id="rId2" w:fontKey="{A778CE08-CEF4-4C9A-8A33-502B2DEC77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1626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16129A"/>
    <w:rsid w:val="001952A9"/>
    <w:rsid w:val="00B025EF"/>
    <w:rsid w:val="00C97973"/>
    <w:rsid w:val="00D80D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6" Type="http://schemas.openxmlformats.org/officeDocument/2006/relationships/image" Target="media/image1.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Jesu Jayarin</cp:lastModifiedBy>
  <cp:revision>4</cp:revision>
  <dcterms:created xsi:type="dcterms:W3CDTF">2026-07-10T03:41:00Z</dcterms:created>
  <dcterms:modified xsi:type="dcterms:W3CDTF">2026-07-10T03:45:00Z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