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0A42B" w14:textId="77777777" w:rsidR="007B6069" w:rsidRDefault="00000000">
      <w:pPr>
        <w:spacing w:after="0" w:line="259" w:lineRule="auto"/>
        <w:ind w:left="0" w:firstLine="0"/>
        <w:jc w:val="center"/>
      </w:pPr>
      <w:r>
        <w:rPr>
          <w:b/>
          <w:sz w:val="36"/>
        </w:rPr>
        <w:t>SIMATS ENGINEERING</w:t>
      </w:r>
    </w:p>
    <w:p w14:paraId="4886EDFF" w14:textId="77777777" w:rsidR="007B6069" w:rsidRDefault="00000000">
      <w:pPr>
        <w:spacing w:after="127" w:line="259" w:lineRule="auto"/>
        <w:jc w:val="center"/>
      </w:pPr>
      <w:r>
        <w:rPr>
          <w:color w:val="444444"/>
          <w:sz w:val="22"/>
        </w:rPr>
        <w:t>ASSESSMENT TOOL 02</w:t>
      </w:r>
    </w:p>
    <w:p w14:paraId="7B652A72" w14:textId="77777777" w:rsidR="007B6069" w:rsidRDefault="00000000">
      <w:pPr>
        <w:spacing w:after="0" w:line="259" w:lineRule="auto"/>
        <w:jc w:val="center"/>
      </w:pPr>
      <w:r>
        <w:rPr>
          <w:color w:val="444444"/>
          <w:sz w:val="22"/>
        </w:rPr>
        <w:t>COURSE NAME: Ethical Hacking       COURSE CODE: ITA1410</w:t>
      </w:r>
    </w:p>
    <w:p w14:paraId="731A5D4F" w14:textId="77777777" w:rsidR="007B6069" w:rsidRDefault="00000000">
      <w:pPr>
        <w:spacing w:after="390" w:line="259" w:lineRule="auto"/>
        <w:ind w:left="0" w:firstLine="0"/>
        <w:jc w:val="left"/>
      </w:pPr>
      <w:r>
        <w:rPr>
          <w:rFonts w:ascii="Calibri" w:eastAsia="Calibri" w:hAnsi="Calibri" w:cs="Calibri"/>
          <w:noProof/>
          <w:sz w:val="22"/>
        </w:rPr>
        <mc:AlternateContent>
          <mc:Choice Requires="wpg">
            <w:drawing>
              <wp:inline distT="0" distB="0" distL="0" distR="0" wp14:anchorId="20CFD9AA" wp14:editId="60DE0AB3">
                <wp:extent cx="6111600" cy="15240"/>
                <wp:effectExtent l="0" t="0" r="0" b="0"/>
                <wp:docPr id="5278" name="Group 5278"/>
                <wp:cNvGraphicFramePr/>
                <a:graphic xmlns:a="http://schemas.openxmlformats.org/drawingml/2006/main">
                  <a:graphicData uri="http://schemas.microsoft.com/office/word/2010/wordprocessingGroup">
                    <wpg:wgp>
                      <wpg:cNvGrpSpPr/>
                      <wpg:grpSpPr>
                        <a:xfrm>
                          <a:off x="0" y="0"/>
                          <a:ext cx="6111600" cy="15240"/>
                          <a:chOff x="0" y="0"/>
                          <a:chExt cx="6111600" cy="15240"/>
                        </a:xfrm>
                      </wpg:grpSpPr>
                      <wps:wsp>
                        <wps:cNvPr id="9" name="Shape 9"/>
                        <wps:cNvSpPr/>
                        <wps:spPr>
                          <a:xfrm>
                            <a:off x="0" y="0"/>
                            <a:ext cx="6111600" cy="0"/>
                          </a:xfrm>
                          <a:custGeom>
                            <a:avLst/>
                            <a:gdLst/>
                            <a:ahLst/>
                            <a:cxnLst/>
                            <a:rect l="0" t="0" r="0" b="0"/>
                            <a:pathLst>
                              <a:path w="6111600">
                                <a:moveTo>
                                  <a:pt x="0" y="0"/>
                                </a:moveTo>
                                <a:lnTo>
                                  <a:pt x="6111600" y="0"/>
                                </a:lnTo>
                              </a:path>
                            </a:pathLst>
                          </a:custGeom>
                          <a:ln w="15240" cap="rnd">
                            <a:miter lim="127000"/>
                          </a:ln>
                        </wps:spPr>
                        <wps:style>
                          <a:lnRef idx="1">
                            <a:srgbClr val="1A3A5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78" style="width:481.228pt;height:1.2pt;mso-position-horizontal-relative:char;mso-position-vertical-relative:line" coordsize="61116,152">
                <v:shape id="Shape 9" style="position:absolute;width:61116;height:0;left:0;top:0;" coordsize="6111600,0" path="m0,0l6111600,0">
                  <v:stroke weight="1.2pt" endcap="round" joinstyle="miter" miterlimit="10" on="true" color="#1a3a5c"/>
                  <v:fill on="false" color="#000000" opacity="0"/>
                </v:shape>
              </v:group>
            </w:pict>
          </mc:Fallback>
        </mc:AlternateContent>
      </w:r>
    </w:p>
    <w:p w14:paraId="557A9051" w14:textId="77777777" w:rsidR="007B6069" w:rsidRDefault="00000000">
      <w:pPr>
        <w:pStyle w:val="Heading1"/>
      </w:pPr>
      <w:r>
        <w:t>VULNERABILITY ASSESSMENT REPORT</w:t>
      </w:r>
    </w:p>
    <w:p w14:paraId="59FF4D90" w14:textId="77777777" w:rsidR="007B6069" w:rsidRDefault="00000000">
      <w:pPr>
        <w:spacing w:after="86" w:line="259" w:lineRule="auto"/>
        <w:ind w:left="0" w:firstLine="0"/>
        <w:jc w:val="center"/>
      </w:pPr>
      <w:r>
        <w:rPr>
          <w:color w:val="444444"/>
          <w:sz w:val="25"/>
        </w:rPr>
        <w:t>Incident: TJX Companies Wireless Network Breach, 2005–2007</w:t>
      </w:r>
    </w:p>
    <w:p w14:paraId="324F7ADC" w14:textId="77777777" w:rsidR="007B6069" w:rsidRDefault="00000000">
      <w:pPr>
        <w:spacing w:after="707"/>
      </w:pPr>
      <w:r>
        <w:rPr>
          <w:b/>
        </w:rPr>
        <w:t>Course Outcome (CO4):</w:t>
      </w:r>
      <w:r>
        <w:t xml:space="preserve"> Implement network security testing methods by performing web server attacks, </w:t>
      </w:r>
      <w:proofErr w:type="spellStart"/>
      <w:r>
        <w:t>analyzing</w:t>
      </w:r>
      <w:proofErr w:type="spellEnd"/>
      <w:r>
        <w:t xml:space="preserve"> web application vulnerabilities, and assessing wireless network security using Kali Linux.</w:t>
      </w:r>
    </w:p>
    <w:p w14:paraId="2E2912D4" w14:textId="77777777" w:rsidR="007B6069" w:rsidRDefault="00000000">
      <w:pPr>
        <w:pStyle w:val="Heading2"/>
        <w:spacing w:after="148"/>
        <w:ind w:left="-5"/>
      </w:pPr>
      <w:r>
        <w:rPr>
          <w:sz w:val="24"/>
        </w:rPr>
        <w:t>Code of Conduct</w:t>
      </w:r>
    </w:p>
    <w:p w14:paraId="78C41EBC" w14:textId="6511C65D" w:rsidR="007B6069" w:rsidRDefault="00000000">
      <w:pPr>
        <w:spacing w:after="673"/>
      </w:pPr>
      <w:r>
        <w:t xml:space="preserve">I </w:t>
      </w:r>
      <w:r w:rsidR="00C92ADE">
        <w:t>Atchaya Chandran R (192521394)</w:t>
      </w:r>
      <w:r>
        <w:t xml:space="preserve"> (Name / Reg. No.) certify that this submission is my original work and that I have adhered to the guidelines specified for this assessment. I understand that any violation of academic integrity rules will result in disciplinary action.</w:t>
      </w:r>
    </w:p>
    <w:p w14:paraId="10F34FD7" w14:textId="77777777" w:rsidR="00C92ADE" w:rsidRDefault="00000000">
      <w:pPr>
        <w:spacing w:line="259" w:lineRule="auto"/>
      </w:pPr>
      <w:r>
        <w:t>Signature of the student</w:t>
      </w:r>
    </w:p>
    <w:p w14:paraId="16DC1CB1" w14:textId="5420FF69" w:rsidR="007B6069" w:rsidRDefault="00000000">
      <w:pPr>
        <w:spacing w:line="259" w:lineRule="auto"/>
      </w:pPr>
      <w:r>
        <w:br w:type="page"/>
      </w:r>
    </w:p>
    <w:p w14:paraId="154578A9" w14:textId="77777777" w:rsidR="007B6069" w:rsidRDefault="00000000">
      <w:pPr>
        <w:pStyle w:val="Heading2"/>
        <w:ind w:left="-5"/>
      </w:pPr>
      <w:r>
        <w:lastRenderedPageBreak/>
        <w:t>1. Incident Background and Technical Understanding</w:t>
      </w:r>
    </w:p>
    <w:p w14:paraId="2532B460" w14:textId="77777777" w:rsidR="007B6069" w:rsidRDefault="00000000">
      <w:pPr>
        <w:pStyle w:val="Heading3"/>
        <w:ind w:left="-5"/>
      </w:pPr>
      <w:r>
        <w:t>1.1 Overview</w:t>
      </w:r>
    </w:p>
    <w:p w14:paraId="253E9D92" w14:textId="77777777" w:rsidR="007B6069" w:rsidRDefault="00000000">
      <w:r>
        <w:t>Between July 2005 and January 2007, the TJX Companies, Inc. — the parent company of retail chains including T.J. Maxx and Marshalls — suffered one of the largest payment-card data breaches recorded at the time. Attackers gained unauthorized access to the corporate network through the wireless local area network (WLAN) deployed at a retail store, and subsequently pivoted through internal systems to reach centralized databases that stored transaction records. Investigations estimated that more than 45 million payment-card numbers were exposed, with some analyses suggesting the true figure exceeded 90 million records once undetected card data was accounted for.</w:t>
      </w:r>
    </w:p>
    <w:p w14:paraId="6E2FA395" w14:textId="77777777" w:rsidR="007B6069" w:rsidRDefault="00000000">
      <w:pPr>
        <w:pStyle w:val="Heading3"/>
        <w:spacing w:after="0"/>
        <w:ind w:left="-5"/>
      </w:pPr>
      <w:r>
        <w:t>1.2 Timeline of the Incident</w:t>
      </w:r>
    </w:p>
    <w:tbl>
      <w:tblPr>
        <w:tblStyle w:val="TableGrid"/>
        <w:tblW w:w="8787" w:type="dxa"/>
        <w:tblInd w:w="419" w:type="dxa"/>
        <w:tblCellMar>
          <w:top w:w="0" w:type="dxa"/>
          <w:left w:w="120" w:type="dxa"/>
          <w:bottom w:w="0" w:type="dxa"/>
          <w:right w:w="0" w:type="dxa"/>
        </w:tblCellMar>
        <w:tblLook w:val="04A0" w:firstRow="1" w:lastRow="0" w:firstColumn="1" w:lastColumn="0" w:noHBand="0" w:noVBand="1"/>
      </w:tblPr>
      <w:tblGrid>
        <w:gridCol w:w="1701"/>
        <w:gridCol w:w="7086"/>
      </w:tblGrid>
      <w:tr w:rsidR="007B6069" w14:paraId="3F1EAF79" w14:textId="77777777">
        <w:trPr>
          <w:trHeight w:val="440"/>
        </w:trPr>
        <w:tc>
          <w:tcPr>
            <w:tcW w:w="1701" w:type="dxa"/>
            <w:tcBorders>
              <w:top w:val="single" w:sz="4" w:space="0" w:color="BBBBBB"/>
              <w:left w:val="single" w:sz="4" w:space="0" w:color="BBBBBB"/>
              <w:bottom w:val="single" w:sz="4" w:space="0" w:color="BBBBBB"/>
              <w:right w:val="single" w:sz="4" w:space="0" w:color="BBBBBB"/>
            </w:tcBorders>
            <w:shd w:val="clear" w:color="auto" w:fill="1A3A5C"/>
            <w:vAlign w:val="center"/>
          </w:tcPr>
          <w:p w14:paraId="34A37827" w14:textId="77777777" w:rsidR="007B6069" w:rsidRDefault="00000000">
            <w:pPr>
              <w:spacing w:after="0" w:line="259" w:lineRule="auto"/>
              <w:ind w:left="0" w:firstLine="0"/>
              <w:jc w:val="left"/>
            </w:pPr>
            <w:r>
              <w:rPr>
                <w:b/>
                <w:color w:val="FFFFFF"/>
                <w:sz w:val="18"/>
              </w:rPr>
              <w:t>Period</w:t>
            </w:r>
          </w:p>
        </w:tc>
        <w:tc>
          <w:tcPr>
            <w:tcW w:w="7087" w:type="dxa"/>
            <w:tcBorders>
              <w:top w:val="single" w:sz="4" w:space="0" w:color="BBBBBB"/>
              <w:left w:val="single" w:sz="4" w:space="0" w:color="BBBBBB"/>
              <w:bottom w:val="single" w:sz="4" w:space="0" w:color="BBBBBB"/>
              <w:right w:val="single" w:sz="4" w:space="0" w:color="BBBBBB"/>
            </w:tcBorders>
            <w:shd w:val="clear" w:color="auto" w:fill="1A3A5C"/>
            <w:vAlign w:val="center"/>
          </w:tcPr>
          <w:p w14:paraId="7E452EBB" w14:textId="77777777" w:rsidR="007B6069" w:rsidRDefault="00000000">
            <w:pPr>
              <w:spacing w:after="0" w:line="259" w:lineRule="auto"/>
              <w:ind w:left="0" w:firstLine="0"/>
              <w:jc w:val="left"/>
            </w:pPr>
            <w:r>
              <w:rPr>
                <w:b/>
                <w:color w:val="FFFFFF"/>
                <w:sz w:val="18"/>
              </w:rPr>
              <w:t>Event</w:t>
            </w:r>
          </w:p>
        </w:tc>
      </w:tr>
      <w:tr w:rsidR="007B6069" w14:paraId="78C721CB" w14:textId="77777777">
        <w:trPr>
          <w:trHeight w:val="440"/>
        </w:trPr>
        <w:tc>
          <w:tcPr>
            <w:tcW w:w="1701"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173E9265" w14:textId="77777777" w:rsidR="007B6069" w:rsidRDefault="00000000">
            <w:pPr>
              <w:spacing w:after="0" w:line="259" w:lineRule="auto"/>
              <w:ind w:left="0" w:firstLine="0"/>
              <w:jc w:val="left"/>
            </w:pPr>
            <w:r>
              <w:rPr>
                <w:sz w:val="18"/>
              </w:rPr>
              <w:t>Jul 2005</w:t>
            </w:r>
          </w:p>
        </w:tc>
        <w:tc>
          <w:tcPr>
            <w:tcW w:w="7087"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5682F393" w14:textId="77777777" w:rsidR="007B6069" w:rsidRDefault="00000000">
            <w:pPr>
              <w:spacing w:after="0" w:line="259" w:lineRule="auto"/>
              <w:ind w:left="0" w:right="-1567" w:firstLine="0"/>
              <w:jc w:val="left"/>
            </w:pPr>
            <w:r>
              <w:rPr>
                <w:sz w:val="18"/>
              </w:rPr>
              <w:t>Initial unauthorized wireless access is believed to have occurred at a Marshalls store in St. Paul, Minnesota</w:t>
            </w:r>
          </w:p>
        </w:tc>
      </w:tr>
      <w:tr w:rsidR="007B6069" w14:paraId="40F88360" w14:textId="77777777">
        <w:trPr>
          <w:trHeight w:val="440"/>
        </w:trPr>
        <w:tc>
          <w:tcPr>
            <w:tcW w:w="1701" w:type="dxa"/>
            <w:tcBorders>
              <w:top w:val="single" w:sz="4" w:space="0" w:color="BBBBBB"/>
              <w:left w:val="single" w:sz="4" w:space="0" w:color="BBBBBB"/>
              <w:bottom w:val="single" w:sz="4" w:space="0" w:color="BBBBBB"/>
              <w:right w:val="single" w:sz="4" w:space="0" w:color="BBBBBB"/>
            </w:tcBorders>
            <w:shd w:val="clear" w:color="auto" w:fill="F2F5F8"/>
            <w:vAlign w:val="center"/>
          </w:tcPr>
          <w:p w14:paraId="0A686F52" w14:textId="77777777" w:rsidR="007B6069" w:rsidRDefault="00000000">
            <w:pPr>
              <w:spacing w:after="0" w:line="259" w:lineRule="auto"/>
              <w:ind w:left="0" w:firstLine="0"/>
              <w:jc w:val="left"/>
            </w:pPr>
            <w:r>
              <w:rPr>
                <w:sz w:val="18"/>
              </w:rPr>
              <w:t>2005 &amp;</w:t>
            </w:r>
            <w:proofErr w:type="spellStart"/>
            <w:r>
              <w:rPr>
                <w:sz w:val="18"/>
              </w:rPr>
              <w:t>ndash</w:t>
            </w:r>
            <w:proofErr w:type="spellEnd"/>
            <w:r>
              <w:rPr>
                <w:sz w:val="18"/>
              </w:rPr>
              <w:t>; 2006</w:t>
            </w:r>
          </w:p>
        </w:tc>
        <w:tc>
          <w:tcPr>
            <w:tcW w:w="7087" w:type="dxa"/>
            <w:tcBorders>
              <w:top w:val="single" w:sz="4" w:space="0" w:color="BBBBBB"/>
              <w:left w:val="single" w:sz="4" w:space="0" w:color="BBBBBB"/>
              <w:bottom w:val="single" w:sz="4" w:space="0" w:color="BBBBBB"/>
              <w:right w:val="single" w:sz="4" w:space="0" w:color="BBBBBB"/>
            </w:tcBorders>
            <w:shd w:val="clear" w:color="auto" w:fill="F2F5F8"/>
            <w:vAlign w:val="center"/>
          </w:tcPr>
          <w:p w14:paraId="638358F4" w14:textId="77777777" w:rsidR="007B6069" w:rsidRDefault="00000000">
            <w:pPr>
              <w:spacing w:after="0" w:line="259" w:lineRule="auto"/>
              <w:ind w:left="0" w:right="-1561" w:firstLine="0"/>
              <w:jc w:val="left"/>
            </w:pPr>
            <w:r>
              <w:rPr>
                <w:sz w:val="18"/>
              </w:rPr>
              <w:t>Attackers used the initial wireless foothold to capture network credentials and move laterally into TJX's cent</w:t>
            </w:r>
          </w:p>
        </w:tc>
      </w:tr>
      <w:tr w:rsidR="007B6069" w14:paraId="3F35C904" w14:textId="77777777">
        <w:trPr>
          <w:trHeight w:val="440"/>
        </w:trPr>
        <w:tc>
          <w:tcPr>
            <w:tcW w:w="1701"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18D4C196" w14:textId="77777777" w:rsidR="007B6069" w:rsidRDefault="00000000">
            <w:pPr>
              <w:spacing w:after="0" w:line="259" w:lineRule="auto"/>
              <w:ind w:left="0" w:firstLine="0"/>
              <w:jc w:val="left"/>
            </w:pPr>
            <w:r>
              <w:rPr>
                <w:sz w:val="18"/>
              </w:rPr>
              <w:t>Dec 2006</w:t>
            </w:r>
          </w:p>
        </w:tc>
        <w:tc>
          <w:tcPr>
            <w:tcW w:w="7087"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35134473" w14:textId="77777777" w:rsidR="007B6069" w:rsidRDefault="00000000">
            <w:pPr>
              <w:spacing w:after="0" w:line="259" w:lineRule="auto"/>
              <w:ind w:left="0" w:right="-1577" w:firstLine="0"/>
              <w:jc w:val="left"/>
            </w:pPr>
            <w:r>
              <w:rPr>
                <w:sz w:val="18"/>
              </w:rPr>
              <w:t>TJX detected suspicious activity on its computer systems and began an internal investigation with external f</w:t>
            </w:r>
          </w:p>
        </w:tc>
      </w:tr>
      <w:tr w:rsidR="007B6069" w14:paraId="12951A11" w14:textId="77777777">
        <w:trPr>
          <w:trHeight w:val="440"/>
        </w:trPr>
        <w:tc>
          <w:tcPr>
            <w:tcW w:w="1701" w:type="dxa"/>
            <w:tcBorders>
              <w:top w:val="single" w:sz="4" w:space="0" w:color="BBBBBB"/>
              <w:left w:val="single" w:sz="4" w:space="0" w:color="BBBBBB"/>
              <w:bottom w:val="single" w:sz="4" w:space="0" w:color="BBBBBB"/>
              <w:right w:val="single" w:sz="4" w:space="0" w:color="BBBBBB"/>
            </w:tcBorders>
            <w:shd w:val="clear" w:color="auto" w:fill="F2F5F8"/>
            <w:vAlign w:val="center"/>
          </w:tcPr>
          <w:p w14:paraId="0D6D851C" w14:textId="77777777" w:rsidR="007B6069" w:rsidRDefault="00000000">
            <w:pPr>
              <w:spacing w:after="0" w:line="259" w:lineRule="auto"/>
              <w:ind w:left="0" w:firstLine="0"/>
              <w:jc w:val="left"/>
            </w:pPr>
            <w:r>
              <w:rPr>
                <w:sz w:val="18"/>
              </w:rPr>
              <w:t>Jan 2007</w:t>
            </w:r>
          </w:p>
        </w:tc>
        <w:tc>
          <w:tcPr>
            <w:tcW w:w="7087" w:type="dxa"/>
            <w:tcBorders>
              <w:top w:val="single" w:sz="4" w:space="0" w:color="BBBBBB"/>
              <w:left w:val="single" w:sz="4" w:space="0" w:color="BBBBBB"/>
              <w:bottom w:val="single" w:sz="4" w:space="0" w:color="BBBBBB"/>
              <w:right w:val="single" w:sz="4" w:space="0" w:color="BBBBBB"/>
            </w:tcBorders>
            <w:shd w:val="clear" w:color="auto" w:fill="F2F5F8"/>
            <w:vAlign w:val="center"/>
          </w:tcPr>
          <w:p w14:paraId="3D9830CE" w14:textId="77777777" w:rsidR="007B6069" w:rsidRDefault="00000000">
            <w:pPr>
              <w:spacing w:after="0" w:line="259" w:lineRule="auto"/>
              <w:ind w:left="0" w:right="-1657" w:firstLine="0"/>
              <w:jc w:val="left"/>
            </w:pPr>
            <w:r>
              <w:rPr>
                <w:sz w:val="18"/>
              </w:rPr>
              <w:t>TJX publicly disclosed the breach, informing regulators, banks, and customers that payment-card data had b</w:t>
            </w:r>
          </w:p>
        </w:tc>
      </w:tr>
      <w:tr w:rsidR="007B6069" w14:paraId="5A541797" w14:textId="77777777">
        <w:trPr>
          <w:trHeight w:val="440"/>
        </w:trPr>
        <w:tc>
          <w:tcPr>
            <w:tcW w:w="1701"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7D15BFBC" w14:textId="77777777" w:rsidR="007B6069" w:rsidRDefault="00000000">
            <w:pPr>
              <w:spacing w:after="0" w:line="259" w:lineRule="auto"/>
              <w:ind w:left="0" w:firstLine="0"/>
              <w:jc w:val="left"/>
            </w:pPr>
            <w:r>
              <w:rPr>
                <w:sz w:val="18"/>
              </w:rPr>
              <w:t>2007 &amp;</w:t>
            </w:r>
            <w:proofErr w:type="spellStart"/>
            <w:r>
              <w:rPr>
                <w:sz w:val="18"/>
              </w:rPr>
              <w:t>ndash</w:t>
            </w:r>
            <w:proofErr w:type="spellEnd"/>
            <w:r>
              <w:rPr>
                <w:sz w:val="18"/>
              </w:rPr>
              <w:t>; 2009</w:t>
            </w:r>
          </w:p>
        </w:tc>
        <w:tc>
          <w:tcPr>
            <w:tcW w:w="7087"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46698D07" w14:textId="77777777" w:rsidR="007B6069" w:rsidRDefault="00000000">
            <w:pPr>
              <w:spacing w:after="0" w:line="259" w:lineRule="auto"/>
              <w:ind w:left="0" w:right="-1587" w:firstLine="0"/>
              <w:jc w:val="left"/>
            </w:pPr>
            <w:r>
              <w:rPr>
                <w:sz w:val="18"/>
              </w:rPr>
              <w:t xml:space="preserve">Multiple state and federal investigations, class-action settlements, and payment-card industry penalties </w:t>
            </w:r>
            <w:proofErr w:type="spellStart"/>
            <w:r>
              <w:rPr>
                <w:sz w:val="18"/>
              </w:rPr>
              <w:t>follo</w:t>
            </w:r>
            <w:proofErr w:type="spellEnd"/>
          </w:p>
        </w:tc>
      </w:tr>
    </w:tbl>
    <w:p w14:paraId="6719D1B9" w14:textId="77777777" w:rsidR="007B6069" w:rsidRDefault="00000000">
      <w:pPr>
        <w:pStyle w:val="Heading3"/>
        <w:ind w:left="-5"/>
      </w:pPr>
      <w:r>
        <w:t>1.3 Affected Organization</w:t>
      </w:r>
    </w:p>
    <w:p w14:paraId="648F8630" w14:textId="77777777" w:rsidR="007B6069" w:rsidRDefault="00000000">
      <w:r>
        <w:t>TJX Companies, Inc. is a large American off-price retail corporation operating chains such as T.J. Maxx, Marshalls, and HomeGoods across thousands of stores. At the time of the breach, TJX processed and stored large volumes of customer payment-card transactions across a distributed retail network connected to centralized servers.</w:t>
      </w:r>
    </w:p>
    <w:p w14:paraId="711BD36C" w14:textId="77777777" w:rsidR="007B6069" w:rsidRDefault="00000000">
      <w:pPr>
        <w:pStyle w:val="Heading3"/>
        <w:ind w:left="-5"/>
      </w:pPr>
      <w:r>
        <w:t>1.4 Threat Actor</w:t>
      </w:r>
    </w:p>
    <w:p w14:paraId="538ADD54" w14:textId="77777777" w:rsidR="007B6069" w:rsidRDefault="00000000">
      <w:r>
        <w:t>The intrusion was later attributed to an organized cyber-criminal group associated with Albert Gonzalez, who was subsequently convicted for his role in this and other large-scale payment-card theft schemes (including the Heartland Payment Systems breach). The group specialized in wardriving — scanning for poorly secured retail wireless networks — followed by network intrusion and large-scale data exfiltration for resale on underground card-fraud markets.</w:t>
      </w:r>
    </w:p>
    <w:p w14:paraId="1159CC8A" w14:textId="77777777" w:rsidR="007B6069" w:rsidRDefault="00000000">
      <w:pPr>
        <w:pStyle w:val="Heading3"/>
        <w:ind w:left="-5"/>
      </w:pPr>
      <w:r>
        <w:t>1.5 Wireless Technology and Attack Context</w:t>
      </w:r>
    </w:p>
    <w:p w14:paraId="3D0888A0" w14:textId="77777777" w:rsidR="007B6069" w:rsidRDefault="00000000">
      <w:r>
        <w:t>At the time of the breach, TJX stores used in-store 802.11 wireless networks to transmit price-management and inventory data between handheld scanning devices, registers, and store servers. Several stores were still operating with WEP encryption — a protocol that was already known to be cryptographically weak and crackable within minutes using widely available tools — while the organization was in the process of migrating to the stronger WPA standard. This uneven and incomplete migration meant that some store locations, including the entry point believed to have been used in the attack, remained protected only by WEP, creating an accessible entry vector into the wider corporate network.</w:t>
      </w:r>
    </w:p>
    <w:p w14:paraId="0B6E2856" w14:textId="77777777" w:rsidR="007B6069" w:rsidRDefault="00000000">
      <w:pPr>
        <w:pStyle w:val="Heading2"/>
        <w:ind w:left="-5"/>
      </w:pPr>
      <w:r>
        <w:lastRenderedPageBreak/>
        <w:t>2. Identification of Wireless Vulnerabilities</w:t>
      </w:r>
    </w:p>
    <w:p w14:paraId="1C0E264A" w14:textId="77777777" w:rsidR="007B6069" w:rsidRDefault="00000000">
      <w:pPr>
        <w:pStyle w:val="Heading3"/>
        <w:ind w:left="-5"/>
      </w:pPr>
      <w:r>
        <w:t>2.1 Weak Wireless Encryption (WEP)</w:t>
      </w:r>
    </w:p>
    <w:p w14:paraId="65DF9D74" w14:textId="77777777" w:rsidR="007B6069" w:rsidRDefault="00000000">
      <w:r>
        <w:t xml:space="preserve">The most significant vulnerability was the continued use of WEP at store locations. WEP relies on a static RC4 key and a short 24-bit initialization vector (IV), which is reused frequently enough that an attacker capturing sufficient traffic can statistically recover the encryption key, typically within minutes using tools such as </w:t>
      </w:r>
      <w:proofErr w:type="spellStart"/>
      <w:r>
        <w:t>Aircrack</w:t>
      </w:r>
      <w:proofErr w:type="spellEnd"/>
      <w:r>
        <w:t>-ng. WEP therefore provided little practical protection against an attacker parked near a store with a laptop and a directional antenna.</w:t>
      </w:r>
    </w:p>
    <w:p w14:paraId="4EA84A4D" w14:textId="77777777" w:rsidR="007B6069" w:rsidRDefault="00000000">
      <w:pPr>
        <w:pStyle w:val="Heading3"/>
        <w:ind w:left="-5"/>
      </w:pPr>
      <w:r>
        <w:t>2.2 Inadequate Authentication Controls</w:t>
      </w:r>
    </w:p>
    <w:p w14:paraId="293739AD" w14:textId="77777777" w:rsidR="007B6069" w:rsidRDefault="00000000">
      <w:r>
        <w:t>Store wireless networks appear to have relied on shared, static pre-shared keys rather than per-user, certificate-based enterprise authentication (such as WPA-Enterprise with 802.1X/EAP). This meant that once the shared key was recovered, an attacker obtained the same level of network access as any legitimate device, with no mechanism to detect or revoke a single compromised credential.</w:t>
      </w:r>
    </w:p>
    <w:p w14:paraId="46AC632F" w14:textId="77777777" w:rsidR="007B6069" w:rsidRDefault="00000000">
      <w:pPr>
        <w:pStyle w:val="Heading3"/>
        <w:ind w:left="-5"/>
      </w:pPr>
      <w:r>
        <w:t>2.3 Absence of Network Segmentation</w:t>
      </w:r>
    </w:p>
    <w:p w14:paraId="5E65EAE6" w14:textId="77777777" w:rsidR="007B6069" w:rsidRDefault="00000000">
      <w:r>
        <w:t>A critical architectural weakness was that the compromised in-store wireless segment was not adequately isolated from the broader corporate network and central transaction-processing systems. This allowed the attackers to pivot from a single store's wireless network to systems that stored and transmitted payment-card data company-wide, effectively giving a local wireless compromise a national-scale impact.</w:t>
      </w:r>
    </w:p>
    <w:p w14:paraId="06F157D1" w14:textId="77777777" w:rsidR="007B6069" w:rsidRDefault="00000000">
      <w:pPr>
        <w:pStyle w:val="Heading3"/>
        <w:ind w:left="-5"/>
      </w:pPr>
      <w:r>
        <w:t>2.4 Insecure Transmission and Storage of Payment Data</w:t>
      </w:r>
    </w:p>
    <w:p w14:paraId="73C2B3BB" w14:textId="77777777" w:rsidR="007B6069" w:rsidRDefault="00000000">
      <w:r>
        <w:t>Investigations indicated that TJX retained transaction data, including magnetic-stripe track data in some cases, for longer than necessary and did not consistently encrypt this data in transit across internal systems. This violated core data-minimization and encryption expectations later formalized more strictly under the Payment Card Industry Data Security Standard (PCI DSS).</w:t>
      </w:r>
    </w:p>
    <w:p w14:paraId="0F75FFBA" w14:textId="77777777" w:rsidR="007B6069" w:rsidRDefault="00000000">
      <w:pPr>
        <w:pStyle w:val="Heading3"/>
        <w:ind w:left="-5"/>
      </w:pPr>
      <w:r>
        <w:t>2.5 Insufficient Monitoring and Detection</w:t>
      </w:r>
    </w:p>
    <w:p w14:paraId="3CE04089" w14:textId="77777777" w:rsidR="007B6069" w:rsidRDefault="00000000">
      <w:r>
        <w:t>The intrusion went undetected for approximately 18 months, indicating an absence of effective wireless intrusion detection, log correlation, and anomaly-based monitoring capable of identifying rogue devices, unusual authentication patterns, or abnormal data flows between store networks and central databases.</w:t>
      </w:r>
    </w:p>
    <w:p w14:paraId="0218A9EE" w14:textId="77777777" w:rsidR="007B6069" w:rsidRDefault="00000000">
      <w:pPr>
        <w:pStyle w:val="Heading3"/>
        <w:spacing w:after="0"/>
        <w:ind w:left="-5"/>
      </w:pPr>
      <w:r>
        <w:t>2.6 Vulnerability Summary Table</w:t>
      </w:r>
    </w:p>
    <w:tbl>
      <w:tblPr>
        <w:tblStyle w:val="TableGrid"/>
        <w:tblW w:w="8787" w:type="dxa"/>
        <w:tblInd w:w="419" w:type="dxa"/>
        <w:tblCellMar>
          <w:top w:w="0" w:type="dxa"/>
          <w:left w:w="0" w:type="dxa"/>
          <w:bottom w:w="0" w:type="dxa"/>
          <w:right w:w="7" w:type="dxa"/>
        </w:tblCellMar>
        <w:tblLook w:val="04A0" w:firstRow="1" w:lastRow="0" w:firstColumn="1" w:lastColumn="0" w:noHBand="0" w:noVBand="1"/>
      </w:tblPr>
      <w:tblGrid>
        <w:gridCol w:w="4648"/>
        <w:gridCol w:w="2438"/>
        <w:gridCol w:w="1701"/>
      </w:tblGrid>
      <w:tr w:rsidR="007B6069" w14:paraId="44258157" w14:textId="77777777">
        <w:trPr>
          <w:trHeight w:val="440"/>
        </w:trPr>
        <w:tc>
          <w:tcPr>
            <w:tcW w:w="4649" w:type="dxa"/>
            <w:tcBorders>
              <w:top w:val="single" w:sz="4" w:space="0" w:color="BBBBBB"/>
              <w:left w:val="single" w:sz="4" w:space="0" w:color="BBBBBB"/>
              <w:bottom w:val="single" w:sz="4" w:space="0" w:color="BBBBBB"/>
              <w:right w:val="single" w:sz="4" w:space="0" w:color="BBBBBB"/>
            </w:tcBorders>
            <w:shd w:val="clear" w:color="auto" w:fill="1A3A5C"/>
            <w:vAlign w:val="center"/>
          </w:tcPr>
          <w:p w14:paraId="073BC0FE" w14:textId="77777777" w:rsidR="007B6069" w:rsidRDefault="00000000">
            <w:pPr>
              <w:spacing w:after="0" w:line="259" w:lineRule="auto"/>
              <w:ind w:left="120" w:firstLine="0"/>
              <w:jc w:val="left"/>
            </w:pPr>
            <w:r>
              <w:rPr>
                <w:b/>
                <w:color w:val="FFFFFF"/>
                <w:sz w:val="18"/>
              </w:rPr>
              <w:t>Vulnerability</w:t>
            </w:r>
          </w:p>
        </w:tc>
        <w:tc>
          <w:tcPr>
            <w:tcW w:w="2438" w:type="dxa"/>
            <w:tcBorders>
              <w:top w:val="single" w:sz="4" w:space="0" w:color="BBBBBB"/>
              <w:left w:val="single" w:sz="4" w:space="0" w:color="BBBBBB"/>
              <w:bottom w:val="single" w:sz="4" w:space="0" w:color="BBBBBB"/>
              <w:right w:val="single" w:sz="4" w:space="0" w:color="BBBBBB"/>
            </w:tcBorders>
            <w:shd w:val="clear" w:color="auto" w:fill="1A3A5C"/>
            <w:vAlign w:val="center"/>
          </w:tcPr>
          <w:p w14:paraId="1A67863A" w14:textId="77777777" w:rsidR="007B6069" w:rsidRDefault="00000000">
            <w:pPr>
              <w:spacing w:after="0" w:line="259" w:lineRule="auto"/>
              <w:ind w:left="120" w:firstLine="0"/>
              <w:jc w:val="left"/>
            </w:pPr>
            <w:r>
              <w:rPr>
                <w:b/>
                <w:color w:val="FFFFFF"/>
                <w:sz w:val="18"/>
              </w:rPr>
              <w:t>Category</w:t>
            </w:r>
          </w:p>
        </w:tc>
        <w:tc>
          <w:tcPr>
            <w:tcW w:w="1701" w:type="dxa"/>
            <w:tcBorders>
              <w:top w:val="single" w:sz="4" w:space="0" w:color="BBBBBB"/>
              <w:left w:val="single" w:sz="4" w:space="0" w:color="BBBBBB"/>
              <w:bottom w:val="single" w:sz="4" w:space="0" w:color="BBBBBB"/>
              <w:right w:val="single" w:sz="4" w:space="0" w:color="BBBBBB"/>
            </w:tcBorders>
            <w:shd w:val="clear" w:color="auto" w:fill="1A3A5C"/>
            <w:vAlign w:val="center"/>
          </w:tcPr>
          <w:p w14:paraId="10952127" w14:textId="77777777" w:rsidR="007B6069" w:rsidRDefault="00000000">
            <w:pPr>
              <w:spacing w:after="0" w:line="259" w:lineRule="auto"/>
              <w:ind w:left="120" w:firstLine="0"/>
              <w:jc w:val="left"/>
            </w:pPr>
            <w:r>
              <w:rPr>
                <w:b/>
                <w:color w:val="FFFFFF"/>
                <w:sz w:val="18"/>
              </w:rPr>
              <w:t>Severity</w:t>
            </w:r>
          </w:p>
        </w:tc>
      </w:tr>
      <w:tr w:rsidR="007B6069" w14:paraId="6CF46EDF" w14:textId="77777777">
        <w:trPr>
          <w:trHeight w:val="440"/>
        </w:trPr>
        <w:tc>
          <w:tcPr>
            <w:tcW w:w="4649"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6DDFB038" w14:textId="77777777" w:rsidR="007B6069" w:rsidRDefault="00000000">
            <w:pPr>
              <w:spacing w:after="0" w:line="259" w:lineRule="auto"/>
              <w:ind w:left="120" w:firstLine="0"/>
              <w:jc w:val="left"/>
            </w:pPr>
            <w:r>
              <w:rPr>
                <w:sz w:val="18"/>
              </w:rPr>
              <w:t>Use of WEP encryption on store wireless networks</w:t>
            </w:r>
          </w:p>
        </w:tc>
        <w:tc>
          <w:tcPr>
            <w:tcW w:w="2438"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39785320" w14:textId="77777777" w:rsidR="007B6069" w:rsidRDefault="00000000">
            <w:pPr>
              <w:spacing w:after="0" w:line="259" w:lineRule="auto"/>
              <w:ind w:left="120" w:firstLine="0"/>
              <w:jc w:val="left"/>
            </w:pPr>
            <w:r>
              <w:rPr>
                <w:sz w:val="18"/>
              </w:rPr>
              <w:t>Encryption</w:t>
            </w:r>
          </w:p>
        </w:tc>
        <w:tc>
          <w:tcPr>
            <w:tcW w:w="1701"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5819B2FD" w14:textId="77777777" w:rsidR="007B6069" w:rsidRDefault="00000000">
            <w:pPr>
              <w:spacing w:after="0" w:line="259" w:lineRule="auto"/>
              <w:ind w:left="120" w:firstLine="0"/>
              <w:jc w:val="left"/>
            </w:pPr>
            <w:r>
              <w:rPr>
                <w:sz w:val="18"/>
              </w:rPr>
              <w:t>Critical</w:t>
            </w:r>
          </w:p>
        </w:tc>
      </w:tr>
      <w:tr w:rsidR="007B6069" w14:paraId="55C010D1" w14:textId="77777777">
        <w:trPr>
          <w:trHeight w:val="440"/>
        </w:trPr>
        <w:tc>
          <w:tcPr>
            <w:tcW w:w="4649" w:type="dxa"/>
            <w:tcBorders>
              <w:top w:val="single" w:sz="4" w:space="0" w:color="BBBBBB"/>
              <w:left w:val="single" w:sz="4" w:space="0" w:color="BBBBBB"/>
              <w:bottom w:val="single" w:sz="4" w:space="0" w:color="BBBBBB"/>
              <w:right w:val="single" w:sz="4" w:space="0" w:color="BBBBBB"/>
            </w:tcBorders>
            <w:shd w:val="clear" w:color="auto" w:fill="F2F5F8"/>
            <w:vAlign w:val="center"/>
          </w:tcPr>
          <w:p w14:paraId="784E4E7B" w14:textId="77777777" w:rsidR="007B6069" w:rsidRDefault="00000000">
            <w:pPr>
              <w:spacing w:after="0" w:line="259" w:lineRule="auto"/>
              <w:ind w:left="120" w:firstLine="0"/>
              <w:jc w:val="left"/>
            </w:pPr>
            <w:r>
              <w:rPr>
                <w:sz w:val="18"/>
              </w:rPr>
              <w:t>Shared/static wireless credentials, no 802.1X</w:t>
            </w:r>
          </w:p>
        </w:tc>
        <w:tc>
          <w:tcPr>
            <w:tcW w:w="2438" w:type="dxa"/>
            <w:tcBorders>
              <w:top w:val="single" w:sz="4" w:space="0" w:color="BBBBBB"/>
              <w:left w:val="single" w:sz="4" w:space="0" w:color="BBBBBB"/>
              <w:bottom w:val="single" w:sz="4" w:space="0" w:color="BBBBBB"/>
              <w:right w:val="single" w:sz="4" w:space="0" w:color="BBBBBB"/>
            </w:tcBorders>
            <w:shd w:val="clear" w:color="auto" w:fill="F2F5F8"/>
            <w:vAlign w:val="center"/>
          </w:tcPr>
          <w:p w14:paraId="6F25AD0E" w14:textId="77777777" w:rsidR="007B6069" w:rsidRDefault="00000000">
            <w:pPr>
              <w:spacing w:after="0" w:line="259" w:lineRule="auto"/>
              <w:ind w:left="120" w:firstLine="0"/>
              <w:jc w:val="left"/>
            </w:pPr>
            <w:r>
              <w:rPr>
                <w:sz w:val="18"/>
              </w:rPr>
              <w:t>Authentication</w:t>
            </w:r>
          </w:p>
        </w:tc>
        <w:tc>
          <w:tcPr>
            <w:tcW w:w="1701" w:type="dxa"/>
            <w:tcBorders>
              <w:top w:val="single" w:sz="4" w:space="0" w:color="BBBBBB"/>
              <w:left w:val="single" w:sz="4" w:space="0" w:color="BBBBBB"/>
              <w:bottom w:val="single" w:sz="4" w:space="0" w:color="BBBBBB"/>
              <w:right w:val="single" w:sz="4" w:space="0" w:color="BBBBBB"/>
            </w:tcBorders>
            <w:shd w:val="clear" w:color="auto" w:fill="F2F5F8"/>
            <w:vAlign w:val="center"/>
          </w:tcPr>
          <w:p w14:paraId="136CF357" w14:textId="77777777" w:rsidR="007B6069" w:rsidRDefault="00000000">
            <w:pPr>
              <w:spacing w:after="0" w:line="259" w:lineRule="auto"/>
              <w:ind w:left="120" w:firstLine="0"/>
              <w:jc w:val="left"/>
            </w:pPr>
            <w:r>
              <w:rPr>
                <w:sz w:val="18"/>
              </w:rPr>
              <w:t>High</w:t>
            </w:r>
          </w:p>
        </w:tc>
      </w:tr>
      <w:tr w:rsidR="007B6069" w14:paraId="4FAB1B92" w14:textId="77777777">
        <w:trPr>
          <w:trHeight w:val="440"/>
        </w:trPr>
        <w:tc>
          <w:tcPr>
            <w:tcW w:w="4649"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44521551" w14:textId="77777777" w:rsidR="007B6069" w:rsidRDefault="00000000">
            <w:pPr>
              <w:spacing w:after="0" w:line="259" w:lineRule="auto"/>
              <w:ind w:left="120" w:firstLine="0"/>
              <w:jc w:val="left"/>
            </w:pPr>
            <w:r>
              <w:rPr>
                <w:sz w:val="18"/>
              </w:rPr>
              <w:t>Flat network with no segmentation between WLAN and c</w:t>
            </w:r>
          </w:p>
        </w:tc>
        <w:tc>
          <w:tcPr>
            <w:tcW w:w="2438"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1C0893C7" w14:textId="77777777" w:rsidR="007B6069" w:rsidRDefault="00000000">
            <w:pPr>
              <w:spacing w:after="0" w:line="259" w:lineRule="auto"/>
              <w:ind w:left="-7" w:firstLine="0"/>
              <w:jc w:val="left"/>
            </w:pPr>
            <w:r>
              <w:rPr>
                <w:sz w:val="18"/>
              </w:rPr>
              <w:t xml:space="preserve">ore </w:t>
            </w:r>
            <w:proofErr w:type="spellStart"/>
            <w:r>
              <w:rPr>
                <w:sz w:val="18"/>
              </w:rPr>
              <w:t>systemsArchitecture</w:t>
            </w:r>
            <w:proofErr w:type="spellEnd"/>
          </w:p>
        </w:tc>
        <w:tc>
          <w:tcPr>
            <w:tcW w:w="1701"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1019FA7C" w14:textId="77777777" w:rsidR="007B6069" w:rsidRDefault="00000000">
            <w:pPr>
              <w:spacing w:after="0" w:line="259" w:lineRule="auto"/>
              <w:ind w:left="120" w:firstLine="0"/>
              <w:jc w:val="left"/>
            </w:pPr>
            <w:r>
              <w:rPr>
                <w:sz w:val="18"/>
              </w:rPr>
              <w:t>Critical</w:t>
            </w:r>
          </w:p>
        </w:tc>
      </w:tr>
      <w:tr w:rsidR="007B6069" w14:paraId="033F8723" w14:textId="77777777">
        <w:trPr>
          <w:trHeight w:val="440"/>
        </w:trPr>
        <w:tc>
          <w:tcPr>
            <w:tcW w:w="4649" w:type="dxa"/>
            <w:tcBorders>
              <w:top w:val="single" w:sz="4" w:space="0" w:color="BBBBBB"/>
              <w:left w:val="single" w:sz="4" w:space="0" w:color="BBBBBB"/>
              <w:bottom w:val="single" w:sz="4" w:space="0" w:color="BBBBBB"/>
              <w:right w:val="single" w:sz="4" w:space="0" w:color="BBBBBB"/>
            </w:tcBorders>
            <w:shd w:val="clear" w:color="auto" w:fill="F2F5F8"/>
            <w:vAlign w:val="center"/>
          </w:tcPr>
          <w:p w14:paraId="724D968A" w14:textId="77777777" w:rsidR="007B6069" w:rsidRDefault="00000000">
            <w:pPr>
              <w:spacing w:after="0" w:line="259" w:lineRule="auto"/>
              <w:ind w:left="120" w:firstLine="0"/>
              <w:jc w:val="left"/>
            </w:pPr>
            <w:r>
              <w:rPr>
                <w:sz w:val="18"/>
              </w:rPr>
              <w:t>Prolonged retention/insecure transmission of card data</w:t>
            </w:r>
          </w:p>
        </w:tc>
        <w:tc>
          <w:tcPr>
            <w:tcW w:w="2438" w:type="dxa"/>
            <w:tcBorders>
              <w:top w:val="single" w:sz="4" w:space="0" w:color="BBBBBB"/>
              <w:left w:val="single" w:sz="4" w:space="0" w:color="BBBBBB"/>
              <w:bottom w:val="single" w:sz="4" w:space="0" w:color="BBBBBB"/>
              <w:right w:val="single" w:sz="4" w:space="0" w:color="BBBBBB"/>
            </w:tcBorders>
            <w:shd w:val="clear" w:color="auto" w:fill="F2F5F8"/>
            <w:vAlign w:val="center"/>
          </w:tcPr>
          <w:p w14:paraId="2595188E" w14:textId="77777777" w:rsidR="007B6069" w:rsidRDefault="00000000">
            <w:pPr>
              <w:spacing w:after="0" w:line="259" w:lineRule="auto"/>
              <w:ind w:left="120" w:firstLine="0"/>
              <w:jc w:val="left"/>
            </w:pPr>
            <w:r>
              <w:rPr>
                <w:sz w:val="18"/>
              </w:rPr>
              <w:t>Data Protection</w:t>
            </w:r>
          </w:p>
        </w:tc>
        <w:tc>
          <w:tcPr>
            <w:tcW w:w="1701" w:type="dxa"/>
            <w:tcBorders>
              <w:top w:val="single" w:sz="4" w:space="0" w:color="BBBBBB"/>
              <w:left w:val="single" w:sz="4" w:space="0" w:color="BBBBBB"/>
              <w:bottom w:val="single" w:sz="4" w:space="0" w:color="BBBBBB"/>
              <w:right w:val="single" w:sz="4" w:space="0" w:color="BBBBBB"/>
            </w:tcBorders>
            <w:shd w:val="clear" w:color="auto" w:fill="F2F5F8"/>
            <w:vAlign w:val="center"/>
          </w:tcPr>
          <w:p w14:paraId="63DBD321" w14:textId="77777777" w:rsidR="007B6069" w:rsidRDefault="00000000">
            <w:pPr>
              <w:spacing w:after="0" w:line="259" w:lineRule="auto"/>
              <w:ind w:left="120" w:firstLine="0"/>
              <w:jc w:val="left"/>
            </w:pPr>
            <w:r>
              <w:rPr>
                <w:sz w:val="18"/>
              </w:rPr>
              <w:t>High</w:t>
            </w:r>
          </w:p>
        </w:tc>
      </w:tr>
      <w:tr w:rsidR="007B6069" w14:paraId="7A8ACF11" w14:textId="77777777">
        <w:trPr>
          <w:trHeight w:val="440"/>
        </w:trPr>
        <w:tc>
          <w:tcPr>
            <w:tcW w:w="4649"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372FFDA4" w14:textId="77777777" w:rsidR="007B6069" w:rsidRDefault="00000000">
            <w:pPr>
              <w:spacing w:after="0" w:line="259" w:lineRule="auto"/>
              <w:ind w:left="120" w:firstLine="0"/>
              <w:jc w:val="left"/>
            </w:pPr>
            <w:r>
              <w:rPr>
                <w:sz w:val="18"/>
              </w:rPr>
              <w:t>No wireless intrusion detection or anomaly monitoring</w:t>
            </w:r>
          </w:p>
        </w:tc>
        <w:tc>
          <w:tcPr>
            <w:tcW w:w="2438"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472251B3" w14:textId="77777777" w:rsidR="007B6069" w:rsidRDefault="00000000">
            <w:pPr>
              <w:spacing w:after="0" w:line="259" w:lineRule="auto"/>
              <w:ind w:left="120" w:firstLine="0"/>
              <w:jc w:val="left"/>
            </w:pPr>
            <w:r>
              <w:rPr>
                <w:sz w:val="18"/>
              </w:rPr>
              <w:t>Monitoring</w:t>
            </w:r>
          </w:p>
        </w:tc>
        <w:tc>
          <w:tcPr>
            <w:tcW w:w="1701"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0AA517B2" w14:textId="77777777" w:rsidR="007B6069" w:rsidRDefault="00000000">
            <w:pPr>
              <w:spacing w:after="0" w:line="259" w:lineRule="auto"/>
              <w:ind w:left="120" w:firstLine="0"/>
              <w:jc w:val="left"/>
            </w:pPr>
            <w:r>
              <w:rPr>
                <w:sz w:val="18"/>
              </w:rPr>
              <w:t>High</w:t>
            </w:r>
          </w:p>
        </w:tc>
      </w:tr>
    </w:tbl>
    <w:p w14:paraId="3A36C35A" w14:textId="77777777" w:rsidR="007B6069" w:rsidRDefault="00000000">
      <w:pPr>
        <w:pStyle w:val="Heading2"/>
        <w:ind w:left="-5"/>
      </w:pPr>
      <w:r>
        <w:lastRenderedPageBreak/>
        <w:t>3. Risk, Impact, and Root-Cause Analysis</w:t>
      </w:r>
    </w:p>
    <w:p w14:paraId="61F1170E" w14:textId="77777777" w:rsidR="007B6069" w:rsidRDefault="00000000">
      <w:pPr>
        <w:pStyle w:val="Heading3"/>
        <w:ind w:left="-5"/>
      </w:pPr>
      <w:r>
        <w:t>3.1 Attack Vector Analysis</w:t>
      </w:r>
    </w:p>
    <w:p w14:paraId="790E593C" w14:textId="77777777" w:rsidR="007B6069" w:rsidRDefault="00000000">
      <w:r>
        <w:t>The attack followed a classic wireless pivot pattern: (1) reconnaissance via wardriving to identify stores broadcasting WEP-secured or poorly configured wireless networks; (2) key recovery through passive traffic capture and offline cracking; (3) initial access to the in-store network; (4) lateral movement into central systems due to insufficient segmentation; and (5) long-term, low-noise data exfiltration of payment-card records to external infrastructure controlled by the attackers.</w:t>
      </w:r>
    </w:p>
    <w:p w14:paraId="36825B3E" w14:textId="77777777" w:rsidR="007B6069" w:rsidRDefault="00000000">
      <w:pPr>
        <w:pStyle w:val="Heading3"/>
        <w:spacing w:after="179"/>
        <w:ind w:left="-5"/>
      </w:pPr>
      <w:r>
        <w:t>3.2 Root-Cause Analysis</w:t>
      </w:r>
    </w:p>
    <w:p w14:paraId="41F32A85" w14:textId="77777777" w:rsidR="007B6069" w:rsidRDefault="00000000">
      <w:pPr>
        <w:numPr>
          <w:ilvl w:val="0"/>
          <w:numId w:val="1"/>
        </w:numPr>
        <w:spacing w:after="100"/>
        <w:ind w:hanging="480"/>
      </w:pPr>
      <w:r>
        <w:rPr>
          <w:b/>
        </w:rPr>
        <w:t>Delayed security migration:</w:t>
      </w:r>
      <w:r>
        <w:t xml:space="preserve"> TJX had begun migrating from WEP to WPA but had not completed the rollout across all locations, leaving weaker segments as the path of least resistance.</w:t>
      </w:r>
    </w:p>
    <w:p w14:paraId="28B317B8" w14:textId="77777777" w:rsidR="007B6069" w:rsidRDefault="00000000">
      <w:pPr>
        <w:numPr>
          <w:ilvl w:val="0"/>
          <w:numId w:val="1"/>
        </w:numPr>
        <w:spacing w:after="100"/>
        <w:ind w:hanging="480"/>
      </w:pPr>
      <w:r>
        <w:rPr>
          <w:b/>
        </w:rPr>
        <w:t>Flat network design:</w:t>
      </w:r>
      <w:r>
        <w:t xml:space="preserve"> No meaningful boundary existed between store-level wireless access and centralized payment systems, so a local compromise had national reach.</w:t>
      </w:r>
    </w:p>
    <w:p w14:paraId="79A1BACB" w14:textId="77777777" w:rsidR="007B6069" w:rsidRDefault="00000000">
      <w:pPr>
        <w:numPr>
          <w:ilvl w:val="0"/>
          <w:numId w:val="1"/>
        </w:numPr>
        <w:spacing w:after="102"/>
        <w:ind w:hanging="480"/>
      </w:pPr>
      <w:r>
        <w:rPr>
          <w:b/>
        </w:rPr>
        <w:t>Weak governance over legacy technology:</w:t>
      </w:r>
      <w:r>
        <w:t xml:space="preserve"> There was no enforced policy requiring immediate deprecation of WEP once it was known to be broken, reflecting a gap between security policy and operational execution.</w:t>
      </w:r>
    </w:p>
    <w:p w14:paraId="4C87EC7D" w14:textId="77777777" w:rsidR="007B6069" w:rsidRDefault="00000000">
      <w:pPr>
        <w:numPr>
          <w:ilvl w:val="0"/>
          <w:numId w:val="1"/>
        </w:numPr>
        <w:spacing w:after="100"/>
        <w:ind w:hanging="480"/>
      </w:pPr>
      <w:r>
        <w:rPr>
          <w:b/>
        </w:rPr>
        <w:t>Data retention beyond necessity:</w:t>
      </w:r>
      <w:r>
        <w:t xml:space="preserve"> Storing more transaction data than required for business purposes increased the scale of exposure once the network was compromised.</w:t>
      </w:r>
    </w:p>
    <w:p w14:paraId="1588633C" w14:textId="77777777" w:rsidR="007B6069" w:rsidRDefault="00000000">
      <w:pPr>
        <w:numPr>
          <w:ilvl w:val="0"/>
          <w:numId w:val="1"/>
        </w:numPr>
        <w:ind w:hanging="480"/>
      </w:pPr>
      <w:r>
        <w:rPr>
          <w:b/>
        </w:rPr>
        <w:t>Detection blind spots:</w:t>
      </w:r>
      <w:r>
        <w:t xml:space="preserve"> The absence of wireless-aware monitoring meant unauthorized access persisted for well over a year without triggering an internal alert.</w:t>
      </w:r>
    </w:p>
    <w:p w14:paraId="2C53B6E3" w14:textId="77777777" w:rsidR="007B6069" w:rsidRDefault="00000000">
      <w:pPr>
        <w:pStyle w:val="Heading3"/>
        <w:spacing w:after="0"/>
        <w:ind w:left="-5"/>
      </w:pPr>
      <w:r>
        <w:t>3.3 Likelihood and Impact Assessment</w:t>
      </w:r>
    </w:p>
    <w:tbl>
      <w:tblPr>
        <w:tblStyle w:val="TableGrid"/>
        <w:tblW w:w="8787" w:type="dxa"/>
        <w:tblInd w:w="419" w:type="dxa"/>
        <w:tblCellMar>
          <w:top w:w="0" w:type="dxa"/>
          <w:left w:w="0" w:type="dxa"/>
          <w:bottom w:w="0" w:type="dxa"/>
          <w:right w:w="0" w:type="dxa"/>
        </w:tblCellMar>
        <w:tblLook w:val="04A0" w:firstRow="1" w:lastRow="0" w:firstColumn="1" w:lastColumn="0" w:noHBand="0" w:noVBand="1"/>
      </w:tblPr>
      <w:tblGrid>
        <w:gridCol w:w="3911"/>
        <w:gridCol w:w="1701"/>
        <w:gridCol w:w="1474"/>
        <w:gridCol w:w="1701"/>
      </w:tblGrid>
      <w:tr w:rsidR="007B6069" w14:paraId="21DB1C91" w14:textId="77777777">
        <w:trPr>
          <w:trHeight w:val="440"/>
        </w:trPr>
        <w:tc>
          <w:tcPr>
            <w:tcW w:w="3912" w:type="dxa"/>
            <w:tcBorders>
              <w:top w:val="single" w:sz="4" w:space="0" w:color="BBBBBB"/>
              <w:left w:val="single" w:sz="4" w:space="0" w:color="BBBBBB"/>
              <w:bottom w:val="single" w:sz="4" w:space="0" w:color="BBBBBB"/>
              <w:right w:val="single" w:sz="4" w:space="0" w:color="BBBBBB"/>
            </w:tcBorders>
            <w:shd w:val="clear" w:color="auto" w:fill="1A3A5C"/>
            <w:vAlign w:val="center"/>
          </w:tcPr>
          <w:p w14:paraId="229BDDE3" w14:textId="77777777" w:rsidR="007B6069" w:rsidRDefault="00000000">
            <w:pPr>
              <w:spacing w:after="0" w:line="259" w:lineRule="auto"/>
              <w:ind w:left="120" w:firstLine="0"/>
              <w:jc w:val="left"/>
            </w:pPr>
            <w:r>
              <w:rPr>
                <w:b/>
                <w:color w:val="FFFFFF"/>
                <w:sz w:val="18"/>
              </w:rPr>
              <w:t>Risk Area</w:t>
            </w:r>
          </w:p>
        </w:tc>
        <w:tc>
          <w:tcPr>
            <w:tcW w:w="1701" w:type="dxa"/>
            <w:tcBorders>
              <w:top w:val="single" w:sz="4" w:space="0" w:color="BBBBBB"/>
              <w:left w:val="single" w:sz="4" w:space="0" w:color="BBBBBB"/>
              <w:bottom w:val="single" w:sz="4" w:space="0" w:color="BBBBBB"/>
              <w:right w:val="single" w:sz="4" w:space="0" w:color="BBBBBB"/>
            </w:tcBorders>
            <w:shd w:val="clear" w:color="auto" w:fill="1A3A5C"/>
            <w:vAlign w:val="center"/>
          </w:tcPr>
          <w:p w14:paraId="509C0283" w14:textId="77777777" w:rsidR="007B6069" w:rsidRDefault="00000000">
            <w:pPr>
              <w:spacing w:after="0" w:line="259" w:lineRule="auto"/>
              <w:ind w:left="120" w:firstLine="0"/>
              <w:jc w:val="left"/>
            </w:pPr>
            <w:r>
              <w:rPr>
                <w:b/>
                <w:color w:val="FFFFFF"/>
                <w:sz w:val="18"/>
              </w:rPr>
              <w:t>Likelihood</w:t>
            </w:r>
          </w:p>
        </w:tc>
        <w:tc>
          <w:tcPr>
            <w:tcW w:w="1474" w:type="dxa"/>
            <w:tcBorders>
              <w:top w:val="single" w:sz="4" w:space="0" w:color="BBBBBB"/>
              <w:left w:val="single" w:sz="4" w:space="0" w:color="BBBBBB"/>
              <w:bottom w:val="single" w:sz="4" w:space="0" w:color="BBBBBB"/>
              <w:right w:val="single" w:sz="4" w:space="0" w:color="BBBBBB"/>
            </w:tcBorders>
            <w:shd w:val="clear" w:color="auto" w:fill="1A3A5C"/>
            <w:vAlign w:val="center"/>
          </w:tcPr>
          <w:p w14:paraId="0C194C83" w14:textId="77777777" w:rsidR="007B6069" w:rsidRDefault="00000000">
            <w:pPr>
              <w:spacing w:after="0" w:line="259" w:lineRule="auto"/>
              <w:ind w:left="120" w:firstLine="0"/>
              <w:jc w:val="left"/>
            </w:pPr>
            <w:r>
              <w:rPr>
                <w:b/>
                <w:color w:val="FFFFFF"/>
                <w:sz w:val="18"/>
              </w:rPr>
              <w:t>Impact</w:t>
            </w:r>
          </w:p>
        </w:tc>
        <w:tc>
          <w:tcPr>
            <w:tcW w:w="1701" w:type="dxa"/>
            <w:tcBorders>
              <w:top w:val="single" w:sz="4" w:space="0" w:color="BBBBBB"/>
              <w:left w:val="single" w:sz="4" w:space="0" w:color="BBBBBB"/>
              <w:bottom w:val="single" w:sz="4" w:space="0" w:color="BBBBBB"/>
              <w:right w:val="single" w:sz="4" w:space="0" w:color="BBBBBB"/>
            </w:tcBorders>
            <w:shd w:val="clear" w:color="auto" w:fill="1A3A5C"/>
            <w:vAlign w:val="center"/>
          </w:tcPr>
          <w:p w14:paraId="4198E6CD" w14:textId="77777777" w:rsidR="007B6069" w:rsidRDefault="00000000">
            <w:pPr>
              <w:spacing w:after="0" w:line="259" w:lineRule="auto"/>
              <w:ind w:left="120" w:right="-70" w:firstLine="0"/>
              <w:jc w:val="left"/>
            </w:pPr>
            <w:r>
              <w:rPr>
                <w:b/>
                <w:color w:val="FFFFFF"/>
                <w:sz w:val="18"/>
              </w:rPr>
              <w:t>Overall Risk Rating</w:t>
            </w:r>
          </w:p>
        </w:tc>
      </w:tr>
      <w:tr w:rsidR="007B6069" w14:paraId="31A0F7C9" w14:textId="77777777">
        <w:trPr>
          <w:trHeight w:val="440"/>
        </w:trPr>
        <w:tc>
          <w:tcPr>
            <w:tcW w:w="3912"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6DE3B533" w14:textId="77777777" w:rsidR="007B6069" w:rsidRDefault="00000000">
            <w:pPr>
              <w:spacing w:after="0" w:line="259" w:lineRule="auto"/>
              <w:ind w:left="120" w:firstLine="0"/>
              <w:jc w:val="left"/>
            </w:pPr>
            <w:r>
              <w:rPr>
                <w:sz w:val="18"/>
              </w:rPr>
              <w:t>WEP key compromise via wardriving</w:t>
            </w:r>
          </w:p>
        </w:tc>
        <w:tc>
          <w:tcPr>
            <w:tcW w:w="1701"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53AB4D27" w14:textId="77777777" w:rsidR="007B6069" w:rsidRDefault="00000000">
            <w:pPr>
              <w:spacing w:after="0" w:line="259" w:lineRule="auto"/>
              <w:ind w:left="120" w:firstLine="0"/>
              <w:jc w:val="left"/>
            </w:pPr>
            <w:r>
              <w:rPr>
                <w:sz w:val="18"/>
              </w:rPr>
              <w:t>High</w:t>
            </w:r>
          </w:p>
        </w:tc>
        <w:tc>
          <w:tcPr>
            <w:tcW w:w="1474"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6DBBB319" w14:textId="77777777" w:rsidR="007B6069" w:rsidRDefault="00000000">
            <w:pPr>
              <w:spacing w:after="0" w:line="259" w:lineRule="auto"/>
              <w:ind w:left="120" w:firstLine="0"/>
              <w:jc w:val="left"/>
            </w:pPr>
            <w:r>
              <w:rPr>
                <w:sz w:val="18"/>
              </w:rPr>
              <w:t>Severe</w:t>
            </w:r>
          </w:p>
        </w:tc>
        <w:tc>
          <w:tcPr>
            <w:tcW w:w="1701"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54D2AF6E" w14:textId="77777777" w:rsidR="007B6069" w:rsidRDefault="00000000">
            <w:pPr>
              <w:spacing w:after="0" w:line="259" w:lineRule="auto"/>
              <w:ind w:left="120" w:firstLine="0"/>
              <w:jc w:val="left"/>
            </w:pPr>
            <w:r>
              <w:rPr>
                <w:sz w:val="18"/>
              </w:rPr>
              <w:t>Critical</w:t>
            </w:r>
          </w:p>
        </w:tc>
      </w:tr>
      <w:tr w:rsidR="007B6069" w14:paraId="52844C14" w14:textId="77777777">
        <w:trPr>
          <w:trHeight w:val="440"/>
        </w:trPr>
        <w:tc>
          <w:tcPr>
            <w:tcW w:w="3912" w:type="dxa"/>
            <w:tcBorders>
              <w:top w:val="single" w:sz="4" w:space="0" w:color="BBBBBB"/>
              <w:left w:val="single" w:sz="4" w:space="0" w:color="BBBBBB"/>
              <w:bottom w:val="single" w:sz="4" w:space="0" w:color="BBBBBB"/>
              <w:right w:val="single" w:sz="4" w:space="0" w:color="BBBBBB"/>
            </w:tcBorders>
            <w:shd w:val="clear" w:color="auto" w:fill="F2F5F8"/>
            <w:vAlign w:val="center"/>
          </w:tcPr>
          <w:p w14:paraId="074EB848" w14:textId="77777777" w:rsidR="007B6069" w:rsidRDefault="00000000">
            <w:pPr>
              <w:spacing w:after="0" w:line="259" w:lineRule="auto"/>
              <w:ind w:left="120" w:firstLine="0"/>
              <w:jc w:val="left"/>
            </w:pPr>
            <w:r>
              <w:rPr>
                <w:sz w:val="18"/>
              </w:rPr>
              <w:t xml:space="preserve">Lateral movement to core systems (no </w:t>
            </w:r>
            <w:proofErr w:type="spellStart"/>
            <w:r>
              <w:rPr>
                <w:sz w:val="18"/>
              </w:rPr>
              <w:t>segmen</w:t>
            </w:r>
            <w:proofErr w:type="spellEnd"/>
          </w:p>
        </w:tc>
        <w:tc>
          <w:tcPr>
            <w:tcW w:w="1701" w:type="dxa"/>
            <w:tcBorders>
              <w:top w:val="single" w:sz="4" w:space="0" w:color="BBBBBB"/>
              <w:left w:val="single" w:sz="4" w:space="0" w:color="BBBBBB"/>
              <w:bottom w:val="single" w:sz="4" w:space="0" w:color="BBBBBB"/>
              <w:right w:val="single" w:sz="4" w:space="0" w:color="BBBBBB"/>
            </w:tcBorders>
            <w:shd w:val="clear" w:color="auto" w:fill="F2F5F8"/>
            <w:vAlign w:val="center"/>
          </w:tcPr>
          <w:p w14:paraId="720068F6" w14:textId="77777777" w:rsidR="007B6069" w:rsidRDefault="00000000">
            <w:pPr>
              <w:spacing w:after="0" w:line="259" w:lineRule="auto"/>
              <w:ind w:left="-40" w:firstLine="0"/>
              <w:jc w:val="left"/>
            </w:pPr>
            <w:proofErr w:type="spellStart"/>
            <w:proofErr w:type="gramStart"/>
            <w:r>
              <w:rPr>
                <w:sz w:val="18"/>
              </w:rPr>
              <w:t>tation</w:t>
            </w:r>
            <w:proofErr w:type="spellEnd"/>
            <w:r>
              <w:rPr>
                <w:sz w:val="18"/>
              </w:rPr>
              <w:t>)High</w:t>
            </w:r>
            <w:proofErr w:type="gramEnd"/>
          </w:p>
        </w:tc>
        <w:tc>
          <w:tcPr>
            <w:tcW w:w="1474" w:type="dxa"/>
            <w:tcBorders>
              <w:top w:val="single" w:sz="4" w:space="0" w:color="BBBBBB"/>
              <w:left w:val="single" w:sz="4" w:space="0" w:color="BBBBBB"/>
              <w:bottom w:val="single" w:sz="4" w:space="0" w:color="BBBBBB"/>
              <w:right w:val="single" w:sz="4" w:space="0" w:color="BBBBBB"/>
            </w:tcBorders>
            <w:shd w:val="clear" w:color="auto" w:fill="F2F5F8"/>
            <w:vAlign w:val="center"/>
          </w:tcPr>
          <w:p w14:paraId="14C79829" w14:textId="77777777" w:rsidR="007B6069" w:rsidRDefault="00000000">
            <w:pPr>
              <w:spacing w:after="0" w:line="259" w:lineRule="auto"/>
              <w:ind w:left="120" w:firstLine="0"/>
              <w:jc w:val="left"/>
            </w:pPr>
            <w:r>
              <w:rPr>
                <w:sz w:val="18"/>
              </w:rPr>
              <w:t>Severe</w:t>
            </w:r>
          </w:p>
        </w:tc>
        <w:tc>
          <w:tcPr>
            <w:tcW w:w="1701" w:type="dxa"/>
            <w:tcBorders>
              <w:top w:val="single" w:sz="4" w:space="0" w:color="BBBBBB"/>
              <w:left w:val="single" w:sz="4" w:space="0" w:color="BBBBBB"/>
              <w:bottom w:val="single" w:sz="4" w:space="0" w:color="BBBBBB"/>
              <w:right w:val="single" w:sz="4" w:space="0" w:color="BBBBBB"/>
            </w:tcBorders>
            <w:shd w:val="clear" w:color="auto" w:fill="F2F5F8"/>
            <w:vAlign w:val="center"/>
          </w:tcPr>
          <w:p w14:paraId="48251ADC" w14:textId="77777777" w:rsidR="007B6069" w:rsidRDefault="00000000">
            <w:pPr>
              <w:spacing w:after="0" w:line="259" w:lineRule="auto"/>
              <w:ind w:left="120" w:firstLine="0"/>
              <w:jc w:val="left"/>
            </w:pPr>
            <w:r>
              <w:rPr>
                <w:sz w:val="18"/>
              </w:rPr>
              <w:t>Critical</w:t>
            </w:r>
          </w:p>
        </w:tc>
      </w:tr>
      <w:tr w:rsidR="007B6069" w14:paraId="5975C704" w14:textId="77777777">
        <w:trPr>
          <w:trHeight w:val="440"/>
        </w:trPr>
        <w:tc>
          <w:tcPr>
            <w:tcW w:w="3912"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38677328" w14:textId="77777777" w:rsidR="007B6069" w:rsidRDefault="00000000">
            <w:pPr>
              <w:spacing w:after="0" w:line="259" w:lineRule="auto"/>
              <w:ind w:left="120" w:firstLine="0"/>
              <w:jc w:val="left"/>
            </w:pPr>
            <w:r>
              <w:rPr>
                <w:sz w:val="18"/>
              </w:rPr>
              <w:t>Undetected long-term data exfiltration</w:t>
            </w:r>
          </w:p>
        </w:tc>
        <w:tc>
          <w:tcPr>
            <w:tcW w:w="1701"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73B9A1D7" w14:textId="77777777" w:rsidR="007B6069" w:rsidRDefault="00000000">
            <w:pPr>
              <w:spacing w:after="0" w:line="259" w:lineRule="auto"/>
              <w:ind w:left="120" w:firstLine="0"/>
              <w:jc w:val="left"/>
            </w:pPr>
            <w:r>
              <w:rPr>
                <w:sz w:val="18"/>
              </w:rPr>
              <w:t>Medium-High</w:t>
            </w:r>
          </w:p>
        </w:tc>
        <w:tc>
          <w:tcPr>
            <w:tcW w:w="1474"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3382ACEB" w14:textId="77777777" w:rsidR="007B6069" w:rsidRDefault="00000000">
            <w:pPr>
              <w:spacing w:after="0" w:line="259" w:lineRule="auto"/>
              <w:ind w:left="120" w:firstLine="0"/>
              <w:jc w:val="left"/>
            </w:pPr>
            <w:r>
              <w:rPr>
                <w:sz w:val="18"/>
              </w:rPr>
              <w:t>Severe</w:t>
            </w:r>
          </w:p>
        </w:tc>
        <w:tc>
          <w:tcPr>
            <w:tcW w:w="1701"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373077EE" w14:textId="77777777" w:rsidR="007B6069" w:rsidRDefault="00000000">
            <w:pPr>
              <w:spacing w:after="0" w:line="259" w:lineRule="auto"/>
              <w:ind w:left="120" w:firstLine="0"/>
              <w:jc w:val="left"/>
            </w:pPr>
            <w:r>
              <w:rPr>
                <w:sz w:val="18"/>
              </w:rPr>
              <w:t>High</w:t>
            </w:r>
          </w:p>
        </w:tc>
      </w:tr>
      <w:tr w:rsidR="007B6069" w14:paraId="5C5586A7" w14:textId="77777777">
        <w:trPr>
          <w:trHeight w:val="440"/>
        </w:trPr>
        <w:tc>
          <w:tcPr>
            <w:tcW w:w="3912" w:type="dxa"/>
            <w:tcBorders>
              <w:top w:val="single" w:sz="4" w:space="0" w:color="BBBBBB"/>
              <w:left w:val="single" w:sz="4" w:space="0" w:color="BBBBBB"/>
              <w:bottom w:val="single" w:sz="4" w:space="0" w:color="BBBBBB"/>
              <w:right w:val="single" w:sz="4" w:space="0" w:color="BBBBBB"/>
            </w:tcBorders>
            <w:shd w:val="clear" w:color="auto" w:fill="F2F5F8"/>
            <w:vAlign w:val="center"/>
          </w:tcPr>
          <w:p w14:paraId="1660D154" w14:textId="77777777" w:rsidR="007B6069" w:rsidRDefault="00000000">
            <w:pPr>
              <w:spacing w:after="0" w:line="259" w:lineRule="auto"/>
              <w:ind w:left="120" w:firstLine="0"/>
              <w:jc w:val="left"/>
            </w:pPr>
            <w:r>
              <w:rPr>
                <w:sz w:val="18"/>
              </w:rPr>
              <w:t xml:space="preserve">Regulatory / PCI DSS non-compliance </w:t>
            </w:r>
            <w:proofErr w:type="spellStart"/>
            <w:r>
              <w:rPr>
                <w:sz w:val="18"/>
              </w:rPr>
              <w:t>exposur</w:t>
            </w:r>
            <w:proofErr w:type="spellEnd"/>
          </w:p>
        </w:tc>
        <w:tc>
          <w:tcPr>
            <w:tcW w:w="1701" w:type="dxa"/>
            <w:tcBorders>
              <w:top w:val="single" w:sz="4" w:space="0" w:color="BBBBBB"/>
              <w:left w:val="single" w:sz="4" w:space="0" w:color="BBBBBB"/>
              <w:bottom w:val="single" w:sz="4" w:space="0" w:color="BBBBBB"/>
              <w:right w:val="single" w:sz="4" w:space="0" w:color="BBBBBB"/>
            </w:tcBorders>
            <w:shd w:val="clear" w:color="auto" w:fill="F2F5F8"/>
            <w:vAlign w:val="center"/>
          </w:tcPr>
          <w:p w14:paraId="1B4B3412" w14:textId="77777777" w:rsidR="007B6069" w:rsidRDefault="00000000">
            <w:pPr>
              <w:spacing w:after="0" w:line="259" w:lineRule="auto"/>
              <w:ind w:left="-40" w:firstLine="0"/>
              <w:jc w:val="left"/>
            </w:pPr>
            <w:r>
              <w:rPr>
                <w:sz w:val="18"/>
              </w:rPr>
              <w:t>e High</w:t>
            </w:r>
          </w:p>
        </w:tc>
        <w:tc>
          <w:tcPr>
            <w:tcW w:w="1474" w:type="dxa"/>
            <w:tcBorders>
              <w:top w:val="single" w:sz="4" w:space="0" w:color="BBBBBB"/>
              <w:left w:val="single" w:sz="4" w:space="0" w:color="BBBBBB"/>
              <w:bottom w:val="single" w:sz="4" w:space="0" w:color="BBBBBB"/>
              <w:right w:val="single" w:sz="4" w:space="0" w:color="BBBBBB"/>
            </w:tcBorders>
            <w:shd w:val="clear" w:color="auto" w:fill="F2F5F8"/>
            <w:vAlign w:val="center"/>
          </w:tcPr>
          <w:p w14:paraId="2F1964FE" w14:textId="77777777" w:rsidR="007B6069" w:rsidRDefault="00000000">
            <w:pPr>
              <w:spacing w:after="0" w:line="259" w:lineRule="auto"/>
              <w:ind w:left="120" w:firstLine="0"/>
              <w:jc w:val="left"/>
            </w:pPr>
            <w:r>
              <w:rPr>
                <w:sz w:val="18"/>
              </w:rPr>
              <w:t>High</w:t>
            </w:r>
          </w:p>
        </w:tc>
        <w:tc>
          <w:tcPr>
            <w:tcW w:w="1701" w:type="dxa"/>
            <w:tcBorders>
              <w:top w:val="single" w:sz="4" w:space="0" w:color="BBBBBB"/>
              <w:left w:val="single" w:sz="4" w:space="0" w:color="BBBBBB"/>
              <w:bottom w:val="single" w:sz="4" w:space="0" w:color="BBBBBB"/>
              <w:right w:val="single" w:sz="4" w:space="0" w:color="BBBBBB"/>
            </w:tcBorders>
            <w:shd w:val="clear" w:color="auto" w:fill="F2F5F8"/>
            <w:vAlign w:val="center"/>
          </w:tcPr>
          <w:p w14:paraId="7C441E90" w14:textId="77777777" w:rsidR="007B6069" w:rsidRDefault="00000000">
            <w:pPr>
              <w:spacing w:after="0" w:line="259" w:lineRule="auto"/>
              <w:ind w:left="120" w:firstLine="0"/>
              <w:jc w:val="left"/>
            </w:pPr>
            <w:r>
              <w:rPr>
                <w:sz w:val="18"/>
              </w:rPr>
              <w:t>High</w:t>
            </w:r>
          </w:p>
        </w:tc>
      </w:tr>
    </w:tbl>
    <w:p w14:paraId="581B96BF" w14:textId="77777777" w:rsidR="007B6069" w:rsidRDefault="00000000">
      <w:pPr>
        <w:pStyle w:val="Heading3"/>
        <w:spacing w:after="179"/>
        <w:ind w:left="-5"/>
      </w:pPr>
      <w:r>
        <w:t>3.4 Operational, Financial, Privacy, Legal, and Reputational Impact</w:t>
      </w:r>
    </w:p>
    <w:p w14:paraId="357314AC" w14:textId="77777777" w:rsidR="007B6069" w:rsidRDefault="00000000">
      <w:pPr>
        <w:numPr>
          <w:ilvl w:val="0"/>
          <w:numId w:val="2"/>
        </w:numPr>
        <w:spacing w:after="100"/>
        <w:ind w:hanging="480"/>
      </w:pPr>
      <w:r>
        <w:rPr>
          <w:b/>
        </w:rPr>
        <w:t>Operational:</w:t>
      </w:r>
      <w:r>
        <w:t xml:space="preserve"> Significant resources were diverted to incident response, forensic investigation, network re-architecture, and remediation across thousands of store locations.</w:t>
      </w:r>
    </w:p>
    <w:p w14:paraId="1AECEAEB" w14:textId="77777777" w:rsidR="007B6069" w:rsidRDefault="00000000">
      <w:pPr>
        <w:numPr>
          <w:ilvl w:val="0"/>
          <w:numId w:val="2"/>
        </w:numPr>
        <w:spacing w:after="100"/>
        <w:ind w:hanging="480"/>
      </w:pPr>
      <w:r>
        <w:rPr>
          <w:b/>
        </w:rPr>
        <w:t>Financial:</w:t>
      </w:r>
      <w:r>
        <w:t xml:space="preserve"> TJX reported breach-related costs exceeding US $250 million, including forensic investigation, legal fees, card-reissuance costs, and settlements with banks and card networks.</w:t>
      </w:r>
    </w:p>
    <w:p w14:paraId="0DFD0A72" w14:textId="77777777" w:rsidR="007B6069" w:rsidRDefault="00000000">
      <w:pPr>
        <w:numPr>
          <w:ilvl w:val="0"/>
          <w:numId w:val="2"/>
        </w:numPr>
        <w:spacing w:after="100"/>
        <w:ind w:hanging="480"/>
      </w:pPr>
      <w:r>
        <w:rPr>
          <w:b/>
        </w:rPr>
        <w:t>Privacy:</w:t>
      </w:r>
      <w:r>
        <w:t xml:space="preserve"> Tens of millions of customers had payment-card and, in some cases, personal identification data exposed, creating downstream fraud risk for affected individuals.</w:t>
      </w:r>
    </w:p>
    <w:p w14:paraId="3F867F6C" w14:textId="77777777" w:rsidR="007B6069" w:rsidRDefault="00000000">
      <w:pPr>
        <w:numPr>
          <w:ilvl w:val="0"/>
          <w:numId w:val="2"/>
        </w:numPr>
        <w:spacing w:after="102"/>
        <w:ind w:hanging="480"/>
      </w:pPr>
      <w:r>
        <w:rPr>
          <w:b/>
        </w:rPr>
        <w:t>Legal / Regulatory:</w:t>
      </w:r>
      <w:r>
        <w:t xml:space="preserve"> The incident led to multi-state attorney general investigations, class-action lawsuits, and Federal Trade Commission scrutiny, along with heightened obligations under evolving PCI DSS requirements.</w:t>
      </w:r>
    </w:p>
    <w:p w14:paraId="25D31B11" w14:textId="77777777" w:rsidR="007B6069" w:rsidRDefault="00000000">
      <w:pPr>
        <w:numPr>
          <w:ilvl w:val="0"/>
          <w:numId w:val="2"/>
        </w:numPr>
        <w:ind w:hanging="480"/>
      </w:pPr>
      <w:r>
        <w:rPr>
          <w:b/>
        </w:rPr>
        <w:lastRenderedPageBreak/>
        <w:t>Reputational:</w:t>
      </w:r>
      <w:r>
        <w:t xml:space="preserve"> The breach became a widely cited case study in retail cybersecurity failures, damaging customer trust and prompting long-term reputational monitoring.</w:t>
      </w:r>
    </w:p>
    <w:p w14:paraId="2EC223EF" w14:textId="77777777" w:rsidR="007B6069" w:rsidRDefault="00000000">
      <w:pPr>
        <w:pStyle w:val="Heading2"/>
        <w:ind w:left="-5"/>
      </w:pPr>
      <w:r>
        <w:t>4. Security Recommendations and Mitigation Measures</w:t>
      </w:r>
    </w:p>
    <w:p w14:paraId="68E9499C" w14:textId="77777777" w:rsidR="007B6069" w:rsidRDefault="00000000">
      <w:pPr>
        <w:pStyle w:val="Heading3"/>
        <w:ind w:left="-5"/>
      </w:pPr>
      <w:r>
        <w:t>4.1 Upgrade to WPA2/WPA3 with Strong Cryptography</w:t>
      </w:r>
    </w:p>
    <w:p w14:paraId="58B9D1F1" w14:textId="77777777" w:rsidR="007B6069" w:rsidRDefault="00000000">
      <w:r>
        <w:t>All store wireless networks should have been migrated to WPA2 (and, if implemented today, WPA3) using AES-CCMP/GCMP encryption rather than the legacy RC4-based WEP or TKIP. WPA3 additionally provides Simultaneous Authentication of Equals (SAE), which resists offline dictionary attacks even when weaker passphrases are used, and mandates Protected Management Frames.</w:t>
      </w:r>
    </w:p>
    <w:p w14:paraId="6BB7F672" w14:textId="77777777" w:rsidR="007B6069" w:rsidRDefault="00000000">
      <w:pPr>
        <w:pStyle w:val="Heading3"/>
        <w:ind w:left="-5"/>
      </w:pPr>
      <w:r>
        <w:t>4.2 Enterprise Authentication (WPA2/WPA3-Enterprise, 802.1X/EAP)</w:t>
      </w:r>
    </w:p>
    <w:p w14:paraId="0B7662D6" w14:textId="77777777" w:rsidR="007B6069" w:rsidRDefault="00000000">
      <w:r>
        <w:t>Rather than a single shared pre-shared key, each device or user should authenticate individually through 802.1X with a RADIUS server and per-device digital certificates or unique credentials. This allows individual credential revocation, eliminates the single-point-of-compromise risk of a shared key, and provides an audit trail tied to specific devices or users.</w:t>
      </w:r>
    </w:p>
    <w:p w14:paraId="57BA631D" w14:textId="77777777" w:rsidR="007B6069" w:rsidRDefault="00000000">
      <w:pPr>
        <w:pStyle w:val="Heading3"/>
        <w:ind w:left="-5"/>
      </w:pPr>
      <w:r>
        <w:t>4.3 Network Segmentation and Least Privilege</w:t>
      </w:r>
    </w:p>
    <w:p w14:paraId="2479324B" w14:textId="77777777" w:rsidR="007B6069" w:rsidRDefault="00000000">
      <w:r>
        <w:t>In-store wireless networks should be placed on isolated VLANs with strict, explicitly defined firewall rules limiting communication to only the specific systems required (e.g., price-lookup servers), with no direct path to central payment-processing databases. A dedicated, tightly controlled and monitored gateway should mediate any necessary communication between store and corporate networks.</w:t>
      </w:r>
    </w:p>
    <w:p w14:paraId="588B2A28" w14:textId="77777777" w:rsidR="007B6069" w:rsidRDefault="00000000">
      <w:pPr>
        <w:pStyle w:val="Heading3"/>
        <w:ind w:left="-5"/>
      </w:pPr>
      <w:r>
        <w:t>4.4 Rogue Access Point Detection and Wireless Intrusion Prevention</w:t>
      </w:r>
    </w:p>
    <w:p w14:paraId="6DDD223C" w14:textId="77777777" w:rsidR="007B6069" w:rsidRDefault="00000000">
      <w:r>
        <w:t xml:space="preserve">Deploying a Wireless Intrusion Detection/Prevention System (WIDS/WIPS) would allow continuous scanning for unauthorized access points, abnormal authentication attempts, and </w:t>
      </w:r>
      <w:proofErr w:type="spellStart"/>
      <w:r>
        <w:t>deauthentication</w:t>
      </w:r>
      <w:proofErr w:type="spellEnd"/>
      <w:r>
        <w:t xml:space="preserve"> or key-cracking activity, enabling real-time alerting rather than 18-month-delayed discovery.</w:t>
      </w:r>
    </w:p>
    <w:p w14:paraId="5777529A" w14:textId="77777777" w:rsidR="007B6069" w:rsidRDefault="00000000">
      <w:pPr>
        <w:pStyle w:val="Heading3"/>
        <w:spacing w:after="185"/>
        <w:ind w:left="-5"/>
      </w:pPr>
      <w:r>
        <w:t>4.5 PCI DSS-Aligned Data Protection Controls</w:t>
      </w:r>
    </w:p>
    <w:p w14:paraId="17A8D310" w14:textId="77777777" w:rsidR="007B6069" w:rsidRDefault="00000000">
      <w:pPr>
        <w:numPr>
          <w:ilvl w:val="0"/>
          <w:numId w:val="3"/>
        </w:numPr>
        <w:spacing w:after="106"/>
        <w:ind w:hanging="480"/>
      </w:pPr>
      <w:r>
        <w:t>Encrypt cardholder data both in transit (TLS) and at rest (strong encryption with proper key management).</w:t>
      </w:r>
    </w:p>
    <w:p w14:paraId="42B5BC9E" w14:textId="77777777" w:rsidR="007B6069" w:rsidRDefault="00000000">
      <w:pPr>
        <w:numPr>
          <w:ilvl w:val="0"/>
          <w:numId w:val="3"/>
        </w:numPr>
        <w:spacing w:after="106"/>
        <w:ind w:hanging="480"/>
      </w:pPr>
      <w:r>
        <w:t>Minimize data retention — do not store full magnetic-stripe/track data after transaction authorization.</w:t>
      </w:r>
    </w:p>
    <w:p w14:paraId="5111CEE4" w14:textId="77777777" w:rsidR="007B6069" w:rsidRDefault="00000000">
      <w:pPr>
        <w:numPr>
          <w:ilvl w:val="0"/>
          <w:numId w:val="3"/>
        </w:numPr>
        <w:spacing w:after="106"/>
        <w:ind w:hanging="480"/>
      </w:pPr>
      <w:r>
        <w:t>Implement strong access control, ensuring only authorized systems and personnel can access cardholder data.</w:t>
      </w:r>
    </w:p>
    <w:p w14:paraId="333AE456" w14:textId="77777777" w:rsidR="007B6069" w:rsidRDefault="00000000">
      <w:pPr>
        <w:numPr>
          <w:ilvl w:val="0"/>
          <w:numId w:val="3"/>
        </w:numPr>
        <w:spacing w:after="106"/>
        <w:ind w:hanging="480"/>
      </w:pPr>
      <w:r>
        <w:t>Conduct regular vulnerability scans and penetration testing of wireless and wired network segments.</w:t>
      </w:r>
    </w:p>
    <w:p w14:paraId="7556731B" w14:textId="77777777" w:rsidR="007B6069" w:rsidRDefault="00000000">
      <w:pPr>
        <w:numPr>
          <w:ilvl w:val="0"/>
          <w:numId w:val="3"/>
        </w:numPr>
        <w:spacing w:after="263" w:line="259" w:lineRule="auto"/>
        <w:ind w:hanging="480"/>
      </w:pPr>
      <w:r>
        <w:t>Maintain centralized logging and file-integrity monitoring across payment-processing systems.</w:t>
      </w:r>
    </w:p>
    <w:p w14:paraId="108AD809" w14:textId="77777777" w:rsidR="007B6069" w:rsidRDefault="00000000">
      <w:pPr>
        <w:pStyle w:val="Heading3"/>
        <w:spacing w:after="185"/>
        <w:ind w:left="-5"/>
      </w:pPr>
      <w:r>
        <w:t>4.6 Organizational and Process Controls</w:t>
      </w:r>
    </w:p>
    <w:p w14:paraId="398E833F" w14:textId="77777777" w:rsidR="007B6069" w:rsidRDefault="00000000">
      <w:pPr>
        <w:numPr>
          <w:ilvl w:val="0"/>
          <w:numId w:val="4"/>
        </w:numPr>
        <w:spacing w:after="106"/>
        <w:ind w:hanging="480"/>
      </w:pPr>
      <w:r>
        <w:t>Establish a formal policy mandating immediate decommissioning of deprecated protocols such as WEP, with no exceptions during migration periods.</w:t>
      </w:r>
    </w:p>
    <w:p w14:paraId="2B4DE7A6" w14:textId="77777777" w:rsidR="007B6069" w:rsidRDefault="00000000">
      <w:pPr>
        <w:numPr>
          <w:ilvl w:val="0"/>
          <w:numId w:val="4"/>
        </w:numPr>
        <w:spacing w:after="145" w:line="259" w:lineRule="auto"/>
        <w:ind w:hanging="480"/>
      </w:pPr>
      <w:r>
        <w:lastRenderedPageBreak/>
        <w:t>Conduct periodic wireless security audits and physical wardriving assessments of retail locations.</w:t>
      </w:r>
    </w:p>
    <w:p w14:paraId="66BC8406" w14:textId="77777777" w:rsidR="007B6069" w:rsidRDefault="00000000">
      <w:pPr>
        <w:numPr>
          <w:ilvl w:val="0"/>
          <w:numId w:val="4"/>
        </w:numPr>
        <w:spacing w:after="145" w:line="259" w:lineRule="auto"/>
        <w:ind w:hanging="480"/>
      </w:pPr>
      <w:r>
        <w:t>Provide security awareness training to store IT staff on secure wireless configuration practices.</w:t>
      </w:r>
    </w:p>
    <w:p w14:paraId="6921C746" w14:textId="77777777" w:rsidR="007B6069" w:rsidRDefault="00000000">
      <w:pPr>
        <w:numPr>
          <w:ilvl w:val="0"/>
          <w:numId w:val="4"/>
        </w:numPr>
        <w:ind w:hanging="480"/>
      </w:pPr>
      <w:r>
        <w:t xml:space="preserve">Adopt a </w:t>
      </w:r>
      <w:proofErr w:type="spellStart"/>
      <w:r>
        <w:t>defense</w:t>
      </w:r>
      <w:proofErr w:type="spellEnd"/>
      <w:r>
        <w:t>-in-depth architecture combining network, application, and endpoint-level protections so that a single-point failure (such as one store's WLAN) cannot compromise the entire enterprise.</w:t>
      </w:r>
    </w:p>
    <w:p w14:paraId="4FE6B440" w14:textId="77777777" w:rsidR="007B6069" w:rsidRDefault="00000000">
      <w:pPr>
        <w:pStyle w:val="Heading2"/>
        <w:ind w:left="-5"/>
      </w:pPr>
      <w:r>
        <w:t>5. Risk-Rating Summary and Conclusion</w:t>
      </w:r>
    </w:p>
    <w:p w14:paraId="609DE3B3" w14:textId="77777777" w:rsidR="007B6069" w:rsidRDefault="00000000">
      <w:pPr>
        <w:pStyle w:val="Heading3"/>
        <w:spacing w:after="0"/>
        <w:ind w:left="-5"/>
      </w:pPr>
      <w:r>
        <w:t>5.1 Consolidated Risk-Rating Summary</w:t>
      </w:r>
    </w:p>
    <w:tbl>
      <w:tblPr>
        <w:tblStyle w:val="TableGrid"/>
        <w:tblW w:w="8787" w:type="dxa"/>
        <w:tblInd w:w="419" w:type="dxa"/>
        <w:tblCellMar>
          <w:top w:w="0" w:type="dxa"/>
          <w:left w:w="0" w:type="dxa"/>
          <w:bottom w:w="0" w:type="dxa"/>
          <w:right w:w="37" w:type="dxa"/>
        </w:tblCellMar>
        <w:tblLook w:val="04A0" w:firstRow="1" w:lastRow="0" w:firstColumn="1" w:lastColumn="0" w:noHBand="0" w:noVBand="1"/>
      </w:tblPr>
      <w:tblGrid>
        <w:gridCol w:w="2607"/>
        <w:gridCol w:w="1361"/>
        <w:gridCol w:w="3628"/>
        <w:gridCol w:w="1191"/>
      </w:tblGrid>
      <w:tr w:rsidR="007B6069" w14:paraId="0A7E160F" w14:textId="77777777">
        <w:trPr>
          <w:trHeight w:val="440"/>
        </w:trPr>
        <w:tc>
          <w:tcPr>
            <w:tcW w:w="2608" w:type="dxa"/>
            <w:tcBorders>
              <w:top w:val="single" w:sz="4" w:space="0" w:color="BBBBBB"/>
              <w:left w:val="single" w:sz="4" w:space="0" w:color="BBBBBB"/>
              <w:bottom w:val="single" w:sz="4" w:space="0" w:color="BBBBBB"/>
              <w:right w:val="single" w:sz="4" w:space="0" w:color="BBBBBB"/>
            </w:tcBorders>
            <w:shd w:val="clear" w:color="auto" w:fill="1A3A5C"/>
            <w:vAlign w:val="center"/>
          </w:tcPr>
          <w:p w14:paraId="24352BD0" w14:textId="77777777" w:rsidR="007B6069" w:rsidRDefault="00000000">
            <w:pPr>
              <w:spacing w:after="0" w:line="259" w:lineRule="auto"/>
              <w:ind w:left="120" w:firstLine="0"/>
              <w:jc w:val="left"/>
            </w:pPr>
            <w:r>
              <w:rPr>
                <w:b/>
                <w:color w:val="FFFFFF"/>
                <w:sz w:val="17"/>
              </w:rPr>
              <w:t>Vulnerability Area</w:t>
            </w:r>
          </w:p>
        </w:tc>
        <w:tc>
          <w:tcPr>
            <w:tcW w:w="1361" w:type="dxa"/>
            <w:tcBorders>
              <w:top w:val="single" w:sz="4" w:space="0" w:color="BBBBBB"/>
              <w:left w:val="single" w:sz="4" w:space="0" w:color="BBBBBB"/>
              <w:bottom w:val="single" w:sz="4" w:space="0" w:color="BBBBBB"/>
              <w:right w:val="single" w:sz="4" w:space="0" w:color="BBBBBB"/>
            </w:tcBorders>
            <w:shd w:val="clear" w:color="auto" w:fill="1A3A5C"/>
            <w:vAlign w:val="center"/>
          </w:tcPr>
          <w:p w14:paraId="26DE7F9D" w14:textId="77777777" w:rsidR="007B6069" w:rsidRDefault="00000000">
            <w:pPr>
              <w:spacing w:after="0" w:line="259" w:lineRule="auto"/>
              <w:ind w:left="120" w:firstLine="0"/>
              <w:jc w:val="left"/>
            </w:pPr>
            <w:r>
              <w:rPr>
                <w:b/>
                <w:color w:val="FFFFFF"/>
                <w:sz w:val="17"/>
              </w:rPr>
              <w:t>Risk Rating</w:t>
            </w:r>
          </w:p>
        </w:tc>
        <w:tc>
          <w:tcPr>
            <w:tcW w:w="3628" w:type="dxa"/>
            <w:tcBorders>
              <w:top w:val="single" w:sz="4" w:space="0" w:color="BBBBBB"/>
              <w:left w:val="single" w:sz="4" w:space="0" w:color="BBBBBB"/>
              <w:bottom w:val="single" w:sz="4" w:space="0" w:color="BBBBBB"/>
              <w:right w:val="single" w:sz="4" w:space="0" w:color="BBBBBB"/>
            </w:tcBorders>
            <w:shd w:val="clear" w:color="auto" w:fill="1A3A5C"/>
            <w:vAlign w:val="center"/>
          </w:tcPr>
          <w:p w14:paraId="40D27497" w14:textId="77777777" w:rsidR="007B6069" w:rsidRDefault="00000000">
            <w:pPr>
              <w:spacing w:after="0" w:line="259" w:lineRule="auto"/>
              <w:ind w:left="120" w:firstLine="0"/>
              <w:jc w:val="left"/>
            </w:pPr>
            <w:r>
              <w:rPr>
                <w:b/>
                <w:color w:val="FFFFFF"/>
                <w:sz w:val="17"/>
              </w:rPr>
              <w:t>Recommended Control</w:t>
            </w:r>
          </w:p>
        </w:tc>
        <w:tc>
          <w:tcPr>
            <w:tcW w:w="1191" w:type="dxa"/>
            <w:tcBorders>
              <w:top w:val="single" w:sz="4" w:space="0" w:color="BBBBBB"/>
              <w:left w:val="single" w:sz="4" w:space="0" w:color="BBBBBB"/>
              <w:bottom w:val="single" w:sz="4" w:space="0" w:color="BBBBBB"/>
              <w:right w:val="single" w:sz="4" w:space="0" w:color="BBBBBB"/>
            </w:tcBorders>
            <w:shd w:val="clear" w:color="auto" w:fill="1A3A5C"/>
            <w:vAlign w:val="center"/>
          </w:tcPr>
          <w:p w14:paraId="64CF946D" w14:textId="77777777" w:rsidR="007B6069" w:rsidRDefault="00000000">
            <w:pPr>
              <w:spacing w:after="0" w:line="259" w:lineRule="auto"/>
              <w:ind w:left="120" w:firstLine="0"/>
              <w:jc w:val="left"/>
            </w:pPr>
            <w:r>
              <w:rPr>
                <w:b/>
                <w:color w:val="FFFFFF"/>
                <w:sz w:val="17"/>
              </w:rPr>
              <w:t>Priority</w:t>
            </w:r>
          </w:p>
        </w:tc>
      </w:tr>
      <w:tr w:rsidR="007B6069" w14:paraId="21695278" w14:textId="77777777">
        <w:trPr>
          <w:trHeight w:val="440"/>
        </w:trPr>
        <w:tc>
          <w:tcPr>
            <w:tcW w:w="2608"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2220E59D" w14:textId="77777777" w:rsidR="007B6069" w:rsidRDefault="00000000">
            <w:pPr>
              <w:spacing w:after="0" w:line="259" w:lineRule="auto"/>
              <w:ind w:left="120" w:firstLine="0"/>
              <w:jc w:val="left"/>
            </w:pPr>
            <w:r>
              <w:rPr>
                <w:sz w:val="17"/>
              </w:rPr>
              <w:t>WEP encryption in use</w:t>
            </w:r>
          </w:p>
        </w:tc>
        <w:tc>
          <w:tcPr>
            <w:tcW w:w="1361"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6315794C" w14:textId="77777777" w:rsidR="007B6069" w:rsidRDefault="00000000">
            <w:pPr>
              <w:spacing w:after="0" w:line="259" w:lineRule="auto"/>
              <w:ind w:left="120" w:firstLine="0"/>
              <w:jc w:val="left"/>
            </w:pPr>
            <w:r>
              <w:rPr>
                <w:sz w:val="17"/>
              </w:rPr>
              <w:t>Critical</w:t>
            </w:r>
          </w:p>
        </w:tc>
        <w:tc>
          <w:tcPr>
            <w:tcW w:w="3628"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49DB3A77" w14:textId="77777777" w:rsidR="007B6069" w:rsidRDefault="00000000">
            <w:pPr>
              <w:spacing w:after="0" w:line="259" w:lineRule="auto"/>
              <w:ind w:left="120" w:firstLine="0"/>
              <w:jc w:val="left"/>
            </w:pPr>
            <w:r>
              <w:rPr>
                <w:sz w:val="17"/>
              </w:rPr>
              <w:t>Migrate to WPA2/WPA3-AES</w:t>
            </w:r>
          </w:p>
        </w:tc>
        <w:tc>
          <w:tcPr>
            <w:tcW w:w="1191"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7A5EC99C" w14:textId="77777777" w:rsidR="007B6069" w:rsidRDefault="00000000">
            <w:pPr>
              <w:spacing w:after="0" w:line="259" w:lineRule="auto"/>
              <w:ind w:left="120" w:firstLine="0"/>
              <w:jc w:val="left"/>
            </w:pPr>
            <w:r>
              <w:rPr>
                <w:sz w:val="17"/>
              </w:rPr>
              <w:t>Immediate</w:t>
            </w:r>
          </w:p>
        </w:tc>
      </w:tr>
      <w:tr w:rsidR="007B6069" w14:paraId="118A149D" w14:textId="77777777">
        <w:trPr>
          <w:trHeight w:val="440"/>
        </w:trPr>
        <w:tc>
          <w:tcPr>
            <w:tcW w:w="2608" w:type="dxa"/>
            <w:tcBorders>
              <w:top w:val="single" w:sz="4" w:space="0" w:color="BBBBBB"/>
              <w:left w:val="single" w:sz="4" w:space="0" w:color="BBBBBB"/>
              <w:bottom w:val="single" w:sz="4" w:space="0" w:color="BBBBBB"/>
              <w:right w:val="single" w:sz="4" w:space="0" w:color="BBBBBB"/>
            </w:tcBorders>
            <w:shd w:val="clear" w:color="auto" w:fill="F2F5F8"/>
            <w:vAlign w:val="center"/>
          </w:tcPr>
          <w:p w14:paraId="608D958A" w14:textId="77777777" w:rsidR="007B6069" w:rsidRDefault="00000000">
            <w:pPr>
              <w:spacing w:after="0" w:line="259" w:lineRule="auto"/>
              <w:ind w:left="120" w:firstLine="0"/>
              <w:jc w:val="left"/>
            </w:pPr>
            <w:r>
              <w:rPr>
                <w:sz w:val="17"/>
              </w:rPr>
              <w:t>Shared wireless credentials</w:t>
            </w:r>
          </w:p>
        </w:tc>
        <w:tc>
          <w:tcPr>
            <w:tcW w:w="1361" w:type="dxa"/>
            <w:tcBorders>
              <w:top w:val="single" w:sz="4" w:space="0" w:color="BBBBBB"/>
              <w:left w:val="single" w:sz="4" w:space="0" w:color="BBBBBB"/>
              <w:bottom w:val="single" w:sz="4" w:space="0" w:color="BBBBBB"/>
              <w:right w:val="single" w:sz="4" w:space="0" w:color="BBBBBB"/>
            </w:tcBorders>
            <w:shd w:val="clear" w:color="auto" w:fill="F2F5F8"/>
            <w:vAlign w:val="center"/>
          </w:tcPr>
          <w:p w14:paraId="32AEC811" w14:textId="77777777" w:rsidR="007B6069" w:rsidRDefault="00000000">
            <w:pPr>
              <w:spacing w:after="0" w:line="259" w:lineRule="auto"/>
              <w:ind w:left="120" w:firstLine="0"/>
              <w:jc w:val="left"/>
            </w:pPr>
            <w:r>
              <w:rPr>
                <w:sz w:val="17"/>
              </w:rPr>
              <w:t>High</w:t>
            </w:r>
          </w:p>
        </w:tc>
        <w:tc>
          <w:tcPr>
            <w:tcW w:w="3628" w:type="dxa"/>
            <w:tcBorders>
              <w:top w:val="single" w:sz="4" w:space="0" w:color="BBBBBB"/>
              <w:left w:val="single" w:sz="4" w:space="0" w:color="BBBBBB"/>
              <w:bottom w:val="single" w:sz="4" w:space="0" w:color="BBBBBB"/>
              <w:right w:val="single" w:sz="4" w:space="0" w:color="BBBBBB"/>
            </w:tcBorders>
            <w:shd w:val="clear" w:color="auto" w:fill="F2F5F8"/>
            <w:vAlign w:val="center"/>
          </w:tcPr>
          <w:p w14:paraId="763E1475" w14:textId="77777777" w:rsidR="007B6069" w:rsidRDefault="00000000">
            <w:pPr>
              <w:spacing w:after="0" w:line="259" w:lineRule="auto"/>
              <w:ind w:left="120" w:firstLine="0"/>
              <w:jc w:val="left"/>
            </w:pPr>
            <w:r>
              <w:rPr>
                <w:sz w:val="17"/>
              </w:rPr>
              <w:t>802.1X / WPA-Enterprise</w:t>
            </w:r>
          </w:p>
        </w:tc>
        <w:tc>
          <w:tcPr>
            <w:tcW w:w="1191" w:type="dxa"/>
            <w:tcBorders>
              <w:top w:val="single" w:sz="4" w:space="0" w:color="BBBBBB"/>
              <w:left w:val="single" w:sz="4" w:space="0" w:color="BBBBBB"/>
              <w:bottom w:val="single" w:sz="4" w:space="0" w:color="BBBBBB"/>
              <w:right w:val="single" w:sz="4" w:space="0" w:color="BBBBBB"/>
            </w:tcBorders>
            <w:shd w:val="clear" w:color="auto" w:fill="F2F5F8"/>
            <w:vAlign w:val="center"/>
          </w:tcPr>
          <w:p w14:paraId="46A3B601" w14:textId="77777777" w:rsidR="007B6069" w:rsidRDefault="00000000">
            <w:pPr>
              <w:spacing w:after="0" w:line="259" w:lineRule="auto"/>
              <w:ind w:left="120" w:firstLine="0"/>
              <w:jc w:val="left"/>
            </w:pPr>
            <w:r>
              <w:rPr>
                <w:sz w:val="17"/>
              </w:rPr>
              <w:t>Immediate</w:t>
            </w:r>
          </w:p>
        </w:tc>
      </w:tr>
      <w:tr w:rsidR="007B6069" w14:paraId="7EE7F0E1" w14:textId="77777777">
        <w:trPr>
          <w:trHeight w:val="440"/>
        </w:trPr>
        <w:tc>
          <w:tcPr>
            <w:tcW w:w="2608"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7945931D" w14:textId="77777777" w:rsidR="007B6069" w:rsidRDefault="00000000">
            <w:pPr>
              <w:spacing w:after="0" w:line="259" w:lineRule="auto"/>
              <w:ind w:left="120" w:firstLine="0"/>
              <w:jc w:val="left"/>
            </w:pPr>
            <w:r>
              <w:rPr>
                <w:sz w:val="17"/>
              </w:rPr>
              <w:t>Flat network architecture</w:t>
            </w:r>
          </w:p>
        </w:tc>
        <w:tc>
          <w:tcPr>
            <w:tcW w:w="1361"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7D29B5B2" w14:textId="77777777" w:rsidR="007B6069" w:rsidRDefault="00000000">
            <w:pPr>
              <w:spacing w:after="0" w:line="259" w:lineRule="auto"/>
              <w:ind w:left="120" w:firstLine="0"/>
              <w:jc w:val="left"/>
            </w:pPr>
            <w:r>
              <w:rPr>
                <w:sz w:val="17"/>
              </w:rPr>
              <w:t>Critical</w:t>
            </w:r>
          </w:p>
        </w:tc>
        <w:tc>
          <w:tcPr>
            <w:tcW w:w="3628"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442C58BD" w14:textId="77777777" w:rsidR="007B6069" w:rsidRDefault="00000000">
            <w:pPr>
              <w:spacing w:after="0" w:line="259" w:lineRule="auto"/>
              <w:ind w:left="120" w:firstLine="0"/>
              <w:jc w:val="left"/>
            </w:pPr>
            <w:r>
              <w:rPr>
                <w:sz w:val="17"/>
              </w:rPr>
              <w:t>VLAN segmentation, restrictive firewalling</w:t>
            </w:r>
          </w:p>
        </w:tc>
        <w:tc>
          <w:tcPr>
            <w:tcW w:w="1191"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745513DD" w14:textId="77777777" w:rsidR="007B6069" w:rsidRDefault="00000000">
            <w:pPr>
              <w:spacing w:after="0" w:line="259" w:lineRule="auto"/>
              <w:ind w:left="120" w:firstLine="0"/>
              <w:jc w:val="left"/>
            </w:pPr>
            <w:r>
              <w:rPr>
                <w:sz w:val="17"/>
              </w:rPr>
              <w:t>Immediate</w:t>
            </w:r>
          </w:p>
        </w:tc>
      </w:tr>
      <w:tr w:rsidR="007B6069" w14:paraId="739946BB" w14:textId="77777777">
        <w:trPr>
          <w:trHeight w:val="440"/>
        </w:trPr>
        <w:tc>
          <w:tcPr>
            <w:tcW w:w="2608" w:type="dxa"/>
            <w:tcBorders>
              <w:top w:val="single" w:sz="4" w:space="0" w:color="BBBBBB"/>
              <w:left w:val="single" w:sz="4" w:space="0" w:color="BBBBBB"/>
              <w:bottom w:val="single" w:sz="4" w:space="0" w:color="BBBBBB"/>
              <w:right w:val="single" w:sz="4" w:space="0" w:color="BBBBBB"/>
            </w:tcBorders>
            <w:shd w:val="clear" w:color="auto" w:fill="F2F5F8"/>
            <w:vAlign w:val="center"/>
          </w:tcPr>
          <w:p w14:paraId="2310E1A6" w14:textId="77777777" w:rsidR="007B6069" w:rsidRDefault="00000000">
            <w:pPr>
              <w:spacing w:after="0" w:line="259" w:lineRule="auto"/>
              <w:ind w:left="120" w:firstLine="0"/>
              <w:jc w:val="left"/>
            </w:pPr>
            <w:r>
              <w:rPr>
                <w:sz w:val="17"/>
              </w:rPr>
              <w:t>No wireless monitoring</w:t>
            </w:r>
          </w:p>
        </w:tc>
        <w:tc>
          <w:tcPr>
            <w:tcW w:w="1361" w:type="dxa"/>
            <w:tcBorders>
              <w:top w:val="single" w:sz="4" w:space="0" w:color="BBBBBB"/>
              <w:left w:val="single" w:sz="4" w:space="0" w:color="BBBBBB"/>
              <w:bottom w:val="single" w:sz="4" w:space="0" w:color="BBBBBB"/>
              <w:right w:val="single" w:sz="4" w:space="0" w:color="BBBBBB"/>
            </w:tcBorders>
            <w:shd w:val="clear" w:color="auto" w:fill="F2F5F8"/>
            <w:vAlign w:val="center"/>
          </w:tcPr>
          <w:p w14:paraId="59AD6529" w14:textId="77777777" w:rsidR="007B6069" w:rsidRDefault="00000000">
            <w:pPr>
              <w:spacing w:after="0" w:line="259" w:lineRule="auto"/>
              <w:ind w:left="120" w:firstLine="0"/>
              <w:jc w:val="left"/>
            </w:pPr>
            <w:r>
              <w:rPr>
                <w:sz w:val="17"/>
              </w:rPr>
              <w:t>High</w:t>
            </w:r>
          </w:p>
        </w:tc>
        <w:tc>
          <w:tcPr>
            <w:tcW w:w="3628" w:type="dxa"/>
            <w:tcBorders>
              <w:top w:val="single" w:sz="4" w:space="0" w:color="BBBBBB"/>
              <w:left w:val="single" w:sz="4" w:space="0" w:color="BBBBBB"/>
              <w:bottom w:val="single" w:sz="4" w:space="0" w:color="BBBBBB"/>
              <w:right w:val="single" w:sz="4" w:space="0" w:color="BBBBBB"/>
            </w:tcBorders>
            <w:shd w:val="clear" w:color="auto" w:fill="F2F5F8"/>
            <w:vAlign w:val="center"/>
          </w:tcPr>
          <w:p w14:paraId="6C0EB726" w14:textId="77777777" w:rsidR="007B6069" w:rsidRDefault="00000000">
            <w:pPr>
              <w:spacing w:after="0" w:line="259" w:lineRule="auto"/>
              <w:ind w:left="120" w:firstLine="0"/>
              <w:jc w:val="left"/>
            </w:pPr>
            <w:r>
              <w:rPr>
                <w:sz w:val="17"/>
              </w:rPr>
              <w:t>Deploy WIDS/WIPS, centralized logging</w:t>
            </w:r>
          </w:p>
        </w:tc>
        <w:tc>
          <w:tcPr>
            <w:tcW w:w="1191" w:type="dxa"/>
            <w:tcBorders>
              <w:top w:val="single" w:sz="4" w:space="0" w:color="BBBBBB"/>
              <w:left w:val="single" w:sz="4" w:space="0" w:color="BBBBBB"/>
              <w:bottom w:val="single" w:sz="4" w:space="0" w:color="BBBBBB"/>
              <w:right w:val="single" w:sz="4" w:space="0" w:color="BBBBBB"/>
            </w:tcBorders>
            <w:shd w:val="clear" w:color="auto" w:fill="F2F5F8"/>
            <w:vAlign w:val="center"/>
          </w:tcPr>
          <w:p w14:paraId="0B95242B" w14:textId="77777777" w:rsidR="007B6069" w:rsidRDefault="00000000">
            <w:pPr>
              <w:spacing w:after="0" w:line="259" w:lineRule="auto"/>
              <w:ind w:left="120" w:firstLine="0"/>
              <w:jc w:val="left"/>
            </w:pPr>
            <w:r>
              <w:rPr>
                <w:sz w:val="17"/>
              </w:rPr>
              <w:t>High</w:t>
            </w:r>
          </w:p>
        </w:tc>
      </w:tr>
      <w:tr w:rsidR="007B6069" w14:paraId="08D5BE20" w14:textId="77777777">
        <w:trPr>
          <w:trHeight w:val="440"/>
        </w:trPr>
        <w:tc>
          <w:tcPr>
            <w:tcW w:w="2608"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5A3B6E37" w14:textId="77777777" w:rsidR="007B6069" w:rsidRDefault="00000000">
            <w:pPr>
              <w:spacing w:after="0" w:line="259" w:lineRule="auto"/>
              <w:ind w:left="120" w:firstLine="0"/>
              <w:jc w:val="left"/>
            </w:pPr>
            <w:r>
              <w:rPr>
                <w:sz w:val="17"/>
              </w:rPr>
              <w:t>Excess payment-data retention</w:t>
            </w:r>
          </w:p>
        </w:tc>
        <w:tc>
          <w:tcPr>
            <w:tcW w:w="1361"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35001E9B" w14:textId="77777777" w:rsidR="007B6069" w:rsidRDefault="00000000">
            <w:pPr>
              <w:spacing w:after="0" w:line="259" w:lineRule="auto"/>
              <w:ind w:left="120" w:firstLine="0"/>
              <w:jc w:val="left"/>
            </w:pPr>
            <w:r>
              <w:rPr>
                <w:sz w:val="17"/>
              </w:rPr>
              <w:t>High</w:t>
            </w:r>
          </w:p>
        </w:tc>
        <w:tc>
          <w:tcPr>
            <w:tcW w:w="3628"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60A2E5FE" w14:textId="77777777" w:rsidR="007B6069" w:rsidRDefault="00000000">
            <w:pPr>
              <w:spacing w:after="0" w:line="259" w:lineRule="auto"/>
              <w:ind w:left="120" w:firstLine="0"/>
              <w:jc w:val="left"/>
            </w:pPr>
            <w:r>
              <w:rPr>
                <w:sz w:val="17"/>
              </w:rPr>
              <w:t>PCI DSS-aligned data minimization/</w:t>
            </w:r>
            <w:proofErr w:type="spellStart"/>
            <w:r>
              <w:rPr>
                <w:sz w:val="17"/>
              </w:rPr>
              <w:t>encryptio</w:t>
            </w:r>
            <w:proofErr w:type="spellEnd"/>
          </w:p>
        </w:tc>
        <w:tc>
          <w:tcPr>
            <w:tcW w:w="1191"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645E1843" w14:textId="77777777" w:rsidR="007B6069" w:rsidRDefault="00000000">
            <w:pPr>
              <w:spacing w:after="0" w:line="259" w:lineRule="auto"/>
              <w:ind w:left="-37" w:firstLine="0"/>
              <w:jc w:val="left"/>
            </w:pPr>
            <w:r>
              <w:rPr>
                <w:sz w:val="17"/>
              </w:rPr>
              <w:t>n High</w:t>
            </w:r>
          </w:p>
        </w:tc>
      </w:tr>
    </w:tbl>
    <w:p w14:paraId="0AEB87CD" w14:textId="77777777" w:rsidR="007B6069" w:rsidRDefault="00000000">
      <w:pPr>
        <w:pStyle w:val="Heading3"/>
        <w:ind w:left="-5"/>
      </w:pPr>
      <w:r>
        <w:t>5.2 Conclusion</w:t>
      </w:r>
    </w:p>
    <w:p w14:paraId="08C58377" w14:textId="77777777" w:rsidR="007B6069" w:rsidRDefault="00000000">
      <w:r>
        <w:t>The TJX breach illustrates how a single weak wireless access point — still relying on the obsolete WEP protocol during an incomplete migration to WPA — can become the entry point for a nationwide, multi-year compromise when it is not paired with strong authentication, network segmentation, data-protection discipline, and active monitoring. Had TJX enforced WPA2/WPA3-Enterprise authentication, isolated store wireless networks from central payment systems, minimized retained card data in line with PCI DSS, and deployed wireless intrusion detection, the initial wireless compromise would most likely have been contained to a single store rather than escalating into one of the largest payment-card breaches of its time. The case remains a foundational example in wireless network security testing of why encryption strength, authentication design, and segmentation must be treated as interdependent controls rather than isolated safeguards.</w:t>
      </w:r>
    </w:p>
    <w:p w14:paraId="1C51245B" w14:textId="77777777" w:rsidR="007B6069" w:rsidRDefault="00000000">
      <w:pPr>
        <w:pStyle w:val="Heading3"/>
        <w:spacing w:after="122"/>
        <w:ind w:left="-5"/>
      </w:pPr>
      <w:r>
        <w:t>5.3 References</w:t>
      </w:r>
    </w:p>
    <w:p w14:paraId="6FEC6C68" w14:textId="77777777" w:rsidR="007B6069" w:rsidRDefault="00000000">
      <w:pPr>
        <w:numPr>
          <w:ilvl w:val="0"/>
          <w:numId w:val="5"/>
        </w:numPr>
        <w:spacing w:after="10" w:line="269" w:lineRule="auto"/>
        <w:ind w:hanging="200"/>
        <w:jc w:val="left"/>
      </w:pPr>
      <w:r>
        <w:rPr>
          <w:sz w:val="18"/>
        </w:rPr>
        <w:t xml:space="preserve">United States Federal Trade Commission, In the Matter of The TJX Companies, Inc., File No. 072-3055 (consent </w:t>
      </w:r>
      <w:proofErr w:type="spellStart"/>
      <w:r>
        <w:rPr>
          <w:sz w:val="18"/>
        </w:rPr>
        <w:t>orderand</w:t>
      </w:r>
      <w:proofErr w:type="spellEnd"/>
      <w:r>
        <w:rPr>
          <w:sz w:val="18"/>
        </w:rPr>
        <w:t xml:space="preserve"> case materials).</w:t>
      </w:r>
    </w:p>
    <w:p w14:paraId="5C07B835" w14:textId="77777777" w:rsidR="007B6069" w:rsidRDefault="00000000">
      <w:pPr>
        <w:numPr>
          <w:ilvl w:val="0"/>
          <w:numId w:val="5"/>
        </w:numPr>
        <w:spacing w:after="10" w:line="269" w:lineRule="auto"/>
        <w:ind w:hanging="200"/>
        <w:jc w:val="left"/>
      </w:pPr>
      <w:r>
        <w:rPr>
          <w:sz w:val="18"/>
        </w:rPr>
        <w:t>Payment Card Industry Security Standards Council, PCI DSS Requirements and Security Assessment Procedures.</w:t>
      </w:r>
    </w:p>
    <w:p w14:paraId="2F32AEC8" w14:textId="77777777" w:rsidR="007B6069" w:rsidRDefault="00000000">
      <w:pPr>
        <w:numPr>
          <w:ilvl w:val="0"/>
          <w:numId w:val="5"/>
        </w:numPr>
        <w:spacing w:after="10" w:line="269" w:lineRule="auto"/>
        <w:ind w:hanging="200"/>
        <w:jc w:val="left"/>
      </w:pPr>
      <w:r>
        <w:rPr>
          <w:sz w:val="18"/>
        </w:rPr>
        <w:t>IEEE 802.11 Standard documentation on WEP and WPA/WPA2/WPA3 security mechanisms.</w:t>
      </w:r>
    </w:p>
    <w:p w14:paraId="46680D37" w14:textId="77777777" w:rsidR="007B6069" w:rsidRDefault="00000000">
      <w:pPr>
        <w:numPr>
          <w:ilvl w:val="0"/>
          <w:numId w:val="5"/>
        </w:numPr>
        <w:spacing w:after="10" w:line="269" w:lineRule="auto"/>
        <w:ind w:hanging="200"/>
        <w:jc w:val="left"/>
      </w:pPr>
      <w:r>
        <w:rPr>
          <w:sz w:val="18"/>
        </w:rPr>
        <w:t xml:space="preserve">Public reporting and court records concerning United States v. Albert Gonzalez et al., relating to the TJX </w:t>
      </w:r>
      <w:proofErr w:type="spellStart"/>
      <w:r>
        <w:rPr>
          <w:sz w:val="18"/>
        </w:rPr>
        <w:t>andassociated</w:t>
      </w:r>
      <w:proofErr w:type="spellEnd"/>
      <w:r>
        <w:rPr>
          <w:sz w:val="18"/>
        </w:rPr>
        <w:t xml:space="preserve"> payment-card intrusions.</w:t>
      </w:r>
    </w:p>
    <w:sectPr w:rsidR="007B6069">
      <w:pgSz w:w="11906" w:h="16838"/>
      <w:pgMar w:top="1219" w:right="1140" w:bottom="1369" w:left="11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15F6"/>
    <w:multiLevelType w:val="hybridMultilevel"/>
    <w:tmpl w:val="5E7E60B8"/>
    <w:lvl w:ilvl="0" w:tplc="CAA6BEA2">
      <w:start w:val="1"/>
      <w:numFmt w:val="bullet"/>
      <w:lvlText w:val="•"/>
      <w:lvlJc w:val="left"/>
      <w:pPr>
        <w:ind w:left="5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763428">
      <w:start w:val="1"/>
      <w:numFmt w:val="bullet"/>
      <w:lvlText w:val="o"/>
      <w:lvlJc w:val="left"/>
      <w:pPr>
        <w:ind w:left="1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3C0A85E">
      <w:start w:val="1"/>
      <w:numFmt w:val="bullet"/>
      <w:lvlText w:val="▪"/>
      <w:lvlJc w:val="left"/>
      <w:pPr>
        <w:ind w:left="1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B6240C4">
      <w:start w:val="1"/>
      <w:numFmt w:val="bullet"/>
      <w:lvlText w:val="•"/>
      <w:lvlJc w:val="left"/>
      <w:pPr>
        <w:ind w:left="2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41ECB16">
      <w:start w:val="1"/>
      <w:numFmt w:val="bullet"/>
      <w:lvlText w:val="o"/>
      <w:lvlJc w:val="left"/>
      <w:pPr>
        <w:ind w:left="3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888B800">
      <w:start w:val="1"/>
      <w:numFmt w:val="bullet"/>
      <w:lvlText w:val="▪"/>
      <w:lvlJc w:val="left"/>
      <w:pPr>
        <w:ind w:left="4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E8ADFC6">
      <w:start w:val="1"/>
      <w:numFmt w:val="bullet"/>
      <w:lvlText w:val="•"/>
      <w:lvlJc w:val="left"/>
      <w:pPr>
        <w:ind w:left="4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04B16E">
      <w:start w:val="1"/>
      <w:numFmt w:val="bullet"/>
      <w:lvlText w:val="o"/>
      <w:lvlJc w:val="left"/>
      <w:pPr>
        <w:ind w:left="5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3464740">
      <w:start w:val="1"/>
      <w:numFmt w:val="bullet"/>
      <w:lvlText w:val="▪"/>
      <w:lvlJc w:val="left"/>
      <w:pPr>
        <w:ind w:left="6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E155A4"/>
    <w:multiLevelType w:val="hybridMultilevel"/>
    <w:tmpl w:val="76E48CF4"/>
    <w:lvl w:ilvl="0" w:tplc="D22A10DA">
      <w:start w:val="1"/>
      <w:numFmt w:val="decimal"/>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51664BE">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2F9E254A">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5A23CA2">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712081A">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AB0D608">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8D6CFD04">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B208BC8">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6205528">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59BD601E"/>
    <w:multiLevelType w:val="hybridMultilevel"/>
    <w:tmpl w:val="447E2C50"/>
    <w:lvl w:ilvl="0" w:tplc="51BE4DE6">
      <w:start w:val="1"/>
      <w:numFmt w:val="bullet"/>
      <w:lvlText w:val="•"/>
      <w:lvlJc w:val="left"/>
      <w:pPr>
        <w:ind w:left="5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7ED87C">
      <w:start w:val="1"/>
      <w:numFmt w:val="bullet"/>
      <w:lvlText w:val="o"/>
      <w:lvlJc w:val="left"/>
      <w:pPr>
        <w:ind w:left="1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D86A31C">
      <w:start w:val="1"/>
      <w:numFmt w:val="bullet"/>
      <w:lvlText w:val="▪"/>
      <w:lvlJc w:val="left"/>
      <w:pPr>
        <w:ind w:left="1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6BADE3A">
      <w:start w:val="1"/>
      <w:numFmt w:val="bullet"/>
      <w:lvlText w:val="•"/>
      <w:lvlJc w:val="left"/>
      <w:pPr>
        <w:ind w:left="2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406AA50">
      <w:start w:val="1"/>
      <w:numFmt w:val="bullet"/>
      <w:lvlText w:val="o"/>
      <w:lvlJc w:val="left"/>
      <w:pPr>
        <w:ind w:left="3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20C0688">
      <w:start w:val="1"/>
      <w:numFmt w:val="bullet"/>
      <w:lvlText w:val="▪"/>
      <w:lvlJc w:val="left"/>
      <w:pPr>
        <w:ind w:left="4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B8E96AE">
      <w:start w:val="1"/>
      <w:numFmt w:val="bullet"/>
      <w:lvlText w:val="•"/>
      <w:lvlJc w:val="left"/>
      <w:pPr>
        <w:ind w:left="4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AB248D0">
      <w:start w:val="1"/>
      <w:numFmt w:val="bullet"/>
      <w:lvlText w:val="o"/>
      <w:lvlJc w:val="left"/>
      <w:pPr>
        <w:ind w:left="5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A8A2D44">
      <w:start w:val="1"/>
      <w:numFmt w:val="bullet"/>
      <w:lvlText w:val="▪"/>
      <w:lvlJc w:val="left"/>
      <w:pPr>
        <w:ind w:left="6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A3274C3"/>
    <w:multiLevelType w:val="hybridMultilevel"/>
    <w:tmpl w:val="4F84FF88"/>
    <w:lvl w:ilvl="0" w:tplc="A40C1268">
      <w:start w:val="1"/>
      <w:numFmt w:val="bullet"/>
      <w:lvlText w:val="•"/>
      <w:lvlJc w:val="left"/>
      <w:pPr>
        <w:ind w:left="5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04C028">
      <w:start w:val="1"/>
      <w:numFmt w:val="bullet"/>
      <w:lvlText w:val="o"/>
      <w:lvlJc w:val="left"/>
      <w:pPr>
        <w:ind w:left="1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3C8AF7C">
      <w:start w:val="1"/>
      <w:numFmt w:val="bullet"/>
      <w:lvlText w:val="▪"/>
      <w:lvlJc w:val="left"/>
      <w:pPr>
        <w:ind w:left="1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6C6E0B4">
      <w:start w:val="1"/>
      <w:numFmt w:val="bullet"/>
      <w:lvlText w:val="•"/>
      <w:lvlJc w:val="left"/>
      <w:pPr>
        <w:ind w:left="2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107EB8">
      <w:start w:val="1"/>
      <w:numFmt w:val="bullet"/>
      <w:lvlText w:val="o"/>
      <w:lvlJc w:val="left"/>
      <w:pPr>
        <w:ind w:left="3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8BECC6A">
      <w:start w:val="1"/>
      <w:numFmt w:val="bullet"/>
      <w:lvlText w:val="▪"/>
      <w:lvlJc w:val="left"/>
      <w:pPr>
        <w:ind w:left="4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92EF19C">
      <w:start w:val="1"/>
      <w:numFmt w:val="bullet"/>
      <w:lvlText w:val="•"/>
      <w:lvlJc w:val="left"/>
      <w:pPr>
        <w:ind w:left="4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C837AE">
      <w:start w:val="1"/>
      <w:numFmt w:val="bullet"/>
      <w:lvlText w:val="o"/>
      <w:lvlJc w:val="left"/>
      <w:pPr>
        <w:ind w:left="5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3388280">
      <w:start w:val="1"/>
      <w:numFmt w:val="bullet"/>
      <w:lvlText w:val="▪"/>
      <w:lvlJc w:val="left"/>
      <w:pPr>
        <w:ind w:left="6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BDD43C8"/>
    <w:multiLevelType w:val="hybridMultilevel"/>
    <w:tmpl w:val="FF3C25B2"/>
    <w:lvl w:ilvl="0" w:tplc="80D26E88">
      <w:start w:val="1"/>
      <w:numFmt w:val="bullet"/>
      <w:lvlText w:val="•"/>
      <w:lvlJc w:val="left"/>
      <w:pPr>
        <w:ind w:left="5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184254">
      <w:start w:val="1"/>
      <w:numFmt w:val="bullet"/>
      <w:lvlText w:val="o"/>
      <w:lvlJc w:val="left"/>
      <w:pPr>
        <w:ind w:left="1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ADA3B0A">
      <w:start w:val="1"/>
      <w:numFmt w:val="bullet"/>
      <w:lvlText w:val="▪"/>
      <w:lvlJc w:val="left"/>
      <w:pPr>
        <w:ind w:left="1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F46BBE6">
      <w:start w:val="1"/>
      <w:numFmt w:val="bullet"/>
      <w:lvlText w:val="•"/>
      <w:lvlJc w:val="left"/>
      <w:pPr>
        <w:ind w:left="2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B6AAC6">
      <w:start w:val="1"/>
      <w:numFmt w:val="bullet"/>
      <w:lvlText w:val="o"/>
      <w:lvlJc w:val="left"/>
      <w:pPr>
        <w:ind w:left="3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4CA7742">
      <w:start w:val="1"/>
      <w:numFmt w:val="bullet"/>
      <w:lvlText w:val="▪"/>
      <w:lvlJc w:val="left"/>
      <w:pPr>
        <w:ind w:left="4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3B0130E">
      <w:start w:val="1"/>
      <w:numFmt w:val="bullet"/>
      <w:lvlText w:val="•"/>
      <w:lvlJc w:val="left"/>
      <w:pPr>
        <w:ind w:left="4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225242">
      <w:start w:val="1"/>
      <w:numFmt w:val="bullet"/>
      <w:lvlText w:val="o"/>
      <w:lvlJc w:val="left"/>
      <w:pPr>
        <w:ind w:left="5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E4E1AF2">
      <w:start w:val="1"/>
      <w:numFmt w:val="bullet"/>
      <w:lvlText w:val="▪"/>
      <w:lvlJc w:val="left"/>
      <w:pPr>
        <w:ind w:left="6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817722702">
    <w:abstractNumId w:val="0"/>
  </w:num>
  <w:num w:numId="2" w16cid:durableId="469442140">
    <w:abstractNumId w:val="2"/>
  </w:num>
  <w:num w:numId="3" w16cid:durableId="1970894082">
    <w:abstractNumId w:val="3"/>
  </w:num>
  <w:num w:numId="4" w16cid:durableId="1793133889">
    <w:abstractNumId w:val="4"/>
  </w:num>
  <w:num w:numId="5" w16cid:durableId="1182475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069"/>
    <w:rsid w:val="00523362"/>
    <w:rsid w:val="007B6069"/>
    <w:rsid w:val="00C92A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95660"/>
  <w15:docId w15:val="{82962C13-7A46-4C4B-B1EB-C9203E693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5" w:line="312" w:lineRule="auto"/>
      <w:ind w:left="10" w:hanging="10"/>
      <w:jc w:val="both"/>
    </w:pPr>
    <w:rPr>
      <w:rFonts w:ascii="Arial" w:eastAsia="Arial" w:hAnsi="Arial" w:cs="Arial"/>
      <w:color w:val="000000"/>
      <w:sz w:val="21"/>
    </w:rPr>
  </w:style>
  <w:style w:type="paragraph" w:styleId="Heading1">
    <w:name w:val="heading 1"/>
    <w:next w:val="Normal"/>
    <w:link w:val="Heading1Char"/>
    <w:uiPriority w:val="9"/>
    <w:qFormat/>
    <w:pPr>
      <w:keepNext/>
      <w:keepLines/>
      <w:spacing w:after="53" w:line="259" w:lineRule="auto"/>
      <w:jc w:val="center"/>
      <w:outlineLvl w:val="0"/>
    </w:pPr>
    <w:rPr>
      <w:rFonts w:ascii="Arial" w:eastAsia="Arial" w:hAnsi="Arial" w:cs="Arial"/>
      <w:b/>
      <w:color w:val="000000"/>
      <w:sz w:val="32"/>
    </w:rPr>
  </w:style>
  <w:style w:type="paragraph" w:styleId="Heading2">
    <w:name w:val="heading 2"/>
    <w:next w:val="Normal"/>
    <w:link w:val="Heading2Char"/>
    <w:uiPriority w:val="9"/>
    <w:unhideWhenUsed/>
    <w:qFormat/>
    <w:pPr>
      <w:keepNext/>
      <w:keepLines/>
      <w:spacing w:after="252" w:line="259" w:lineRule="auto"/>
      <w:ind w:left="10" w:hanging="10"/>
      <w:outlineLvl w:val="1"/>
    </w:pPr>
    <w:rPr>
      <w:rFonts w:ascii="Arial" w:eastAsia="Arial" w:hAnsi="Arial" w:cs="Arial"/>
      <w:b/>
      <w:color w:val="1A3A5C"/>
      <w:sz w:val="28"/>
    </w:rPr>
  </w:style>
  <w:style w:type="paragraph" w:styleId="Heading3">
    <w:name w:val="heading 3"/>
    <w:next w:val="Normal"/>
    <w:link w:val="Heading3Char"/>
    <w:uiPriority w:val="9"/>
    <w:unhideWhenUsed/>
    <w:qFormat/>
    <w:pPr>
      <w:keepNext/>
      <w:keepLines/>
      <w:spacing w:after="148" w:line="259" w:lineRule="auto"/>
      <w:ind w:left="10" w:hanging="10"/>
      <w:outlineLvl w:val="2"/>
    </w:pPr>
    <w:rPr>
      <w:rFonts w:ascii="Arial" w:eastAsia="Arial" w:hAnsi="Arial" w:cs="Arial"/>
      <w:b/>
      <w:color w:val="1A3A5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A3A5C"/>
      <w:sz w:val="28"/>
    </w:rPr>
  </w:style>
  <w:style w:type="character" w:customStyle="1" w:styleId="Heading1Char">
    <w:name w:val="Heading 1 Char"/>
    <w:link w:val="Heading1"/>
    <w:rPr>
      <w:rFonts w:ascii="Arial" w:eastAsia="Arial" w:hAnsi="Arial" w:cs="Arial"/>
      <w:b/>
      <w:color w:val="000000"/>
      <w:sz w:val="32"/>
    </w:rPr>
  </w:style>
  <w:style w:type="character" w:customStyle="1" w:styleId="Heading3Char">
    <w:name w:val="Heading 3 Char"/>
    <w:link w:val="Heading3"/>
    <w:rPr>
      <w:rFonts w:ascii="Arial" w:eastAsia="Arial" w:hAnsi="Arial" w:cs="Arial"/>
      <w:b/>
      <w:color w:val="1A3A5C"/>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2073</Words>
  <Characters>11818</Characters>
  <Application>Microsoft Office Word</Application>
  <DocSecurity>0</DocSecurity>
  <Lines>98</Lines>
  <Paragraphs>27</Paragraphs>
  <ScaleCrop>false</ScaleCrop>
  <Company/>
  <LinksUpToDate>false</LinksUpToDate>
  <CharactersWithSpaces>13864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Vulnerability Assessment Report - TJX Companies Wireless Breach</dc:title>
  <dc:subject>(unspecified)</dc:subject>
  <dc:creator>(anonymous)</dc:creator>
  <cp:keywords/>
  <cp:lastModifiedBy>Atchaya Chandran R</cp:lastModifiedBy>
  <cp:revision>2</cp:revision>
  <dcterms:created xsi:type="dcterms:W3CDTF">2026-08-17T04:41:00Z</dcterms:created>
  <dcterms:modified xsi:type="dcterms:W3CDTF">2026-08-17T04:41:00Z</dcterms:modified>
</cp:coreProperties>
</file>