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sz w:val="32"/>
          <w:szCs w:val="32"/>
        </w:rPr>
        <w:t xml:space="preserve">“Injury Risk Prediction System for Athletes Using Performance Data”</w:t>
      </w:r>
    </w:p>
    <w:p>
      <w:pPr>
        <w:spacing w:before="600"/>
        <w:jc w:val="center"/>
      </w:pPr>
      <w:r>
        <w:rPr>
          <w:rFonts w:ascii="Calibri" w:cs="Calibri" w:eastAsia="Calibri" w:hAnsi="Calibri"/>
          <w:b/>
          <w:bCs/>
          <w:sz w:val="24"/>
          <w:szCs w:val="24"/>
        </w:rPr>
        <w:t xml:space="preserve">CO5 ASSESSMENT TOOL 1 - RESEARCH PAPER REVIEW / LITERATURE SURVEY</w:t>
      </w:r>
    </w:p>
    <w:p>
      <w:pPr>
        <w:spacing w:before="600"/>
        <w:jc w:val="center"/>
      </w:pPr>
      <w:r>
        <w:rPr>
          <w:rFonts w:ascii="Calibri" w:cs="Calibri" w:eastAsia="Calibri" w:hAnsi="Calibri"/>
          <w:sz w:val="22"/>
          <w:szCs w:val="22"/>
        </w:rPr>
        <w:t xml:space="preserve">Submitted in partial fulfilment for the Course of</w:t>
      </w:r>
    </w:p>
    <w:p>
      <w:pPr>
        <w:jc w:val="center"/>
      </w:pPr>
      <w:r>
        <w:rPr>
          <w:rFonts w:ascii="Calibri" w:cs="Calibri" w:eastAsia="Calibri" w:hAnsi="Calibri"/>
          <w:b/>
          <w:bCs/>
          <w:sz w:val="22"/>
          <w:szCs w:val="22"/>
        </w:rPr>
        <w:t xml:space="preserve">CSA1063 - Software Engineering</w:t>
      </w:r>
    </w:p>
    <w:p>
      <w:pPr>
        <w:spacing w:before="400"/>
        <w:jc w:val="center"/>
      </w:pPr>
      <w:r>
        <w:rPr>
          <w:rFonts w:ascii="Calibri" w:cs="Calibri" w:eastAsia="Calibri" w:hAnsi="Calibri"/>
          <w:sz w:val="22"/>
          <w:szCs w:val="22"/>
        </w:rPr>
        <w:t xml:space="preserve">to the award of the degree of</w:t>
      </w:r>
    </w:p>
    <w:p>
      <w:pPr>
        <w:jc w:val="center"/>
      </w:pPr>
      <w:r>
        <w:rPr>
          <w:rFonts w:ascii="Calibri" w:cs="Calibri" w:eastAsia="Calibri" w:hAnsi="Calibri"/>
          <w:b/>
          <w:bCs/>
          <w:sz w:val="22"/>
          <w:szCs w:val="22"/>
        </w:rPr>
        <w:t xml:space="preserve">BACHELOR OF ENGINEERING / TECHNOLOGY IN</w:t>
      </w:r>
    </w:p>
    <w:p>
      <w:pPr>
        <w:jc w:val="center"/>
      </w:pPr>
      <w:r>
        <w:rPr>
          <w:rFonts w:ascii="Calibri" w:cs="Calibri" w:eastAsia="Calibri" w:hAnsi="Calibri"/>
          <w:b/>
          <w:bCs/>
          <w:sz w:val="22"/>
          <w:szCs w:val="22"/>
        </w:rPr>
        <w:t xml:space="preserve">Information Technology</w:t>
      </w:r>
    </w:p>
    <w:p>
      <w:pPr>
        <w:spacing w:before="600"/>
        <w:jc w:val="center"/>
      </w:pPr>
      <w:r>
        <w:rPr>
          <w:rFonts w:ascii="Calibri" w:cs="Calibri" w:eastAsia="Calibri" w:hAnsi="Calibri"/>
          <w:sz w:val="22"/>
          <w:szCs w:val="22"/>
        </w:rPr>
        <w:t xml:space="preserve">Submitted by</w:t>
      </w:r>
    </w:p>
    <w:p>
      <w:pPr>
        <w:jc w:val="center"/>
      </w:pPr>
      <w:r>
        <w:rPr>
          <w:rFonts w:ascii="Calibri" w:cs="Calibri" w:eastAsia="Calibri" w:hAnsi="Calibri"/>
          <w:b/>
          <w:bCs/>
          <w:sz w:val="26"/>
          <w:szCs w:val="26"/>
        </w:rPr>
        <w:t xml:space="preserve">DILLI BABU N</w:t>
      </w:r>
    </w:p>
    <w:p>
      <w:pPr>
        <w:jc w:val="center"/>
      </w:pPr>
      <w:r>
        <w:rPr>
          <w:rFonts w:ascii="Calibri" w:cs="Calibri" w:eastAsia="Calibri" w:hAnsi="Calibri"/>
          <w:sz w:val="22"/>
          <w:szCs w:val="22"/>
        </w:rPr>
        <w:t xml:space="preserve">Reg. No. 192521491</w:t>
      </w:r>
    </w:p>
    <w:p>
      <w:pPr>
        <w:spacing w:before="800"/>
        <w:jc w:val="center"/>
      </w:pPr>
      <w:r>
        <w:rPr>
          <w:rFonts w:ascii="Calibri" w:cs="Calibri" w:eastAsia="Calibri" w:hAnsi="Calibri"/>
          <w:sz w:val="22"/>
          <w:szCs w:val="22"/>
        </w:rPr>
        <w:t xml:space="preserve">Department of Computer Science and Engineering</w:t>
      </w:r>
    </w:p>
    <w:p>
      <w:pPr>
        <w:jc w:val="center"/>
      </w:pPr>
      <w:r>
        <w:rPr>
          <w:rFonts w:ascii="Calibri" w:cs="Calibri" w:eastAsia="Calibri" w:hAnsi="Calibri"/>
          <w:sz w:val="22"/>
          <w:szCs w:val="22"/>
        </w:rPr>
        <w:t xml:space="preserve">August 2026</w:t>
      </w:r>
    </w:p>
    <w:p>
      <w:pPr>
        <w:spacing w:before="800"/>
        <w:jc w:val="center"/>
      </w:pPr>
      <w:r>
        <w:rPr>
          <w:rFonts w:ascii="Calibri" w:cs="Calibri" w:eastAsia="Calibri" w:hAnsi="Calibri"/>
          <w:b/>
          <w:bCs/>
          <w:sz w:val="24"/>
          <w:szCs w:val="24"/>
        </w:rPr>
        <w:t xml:space="preserve">SIMATS ENGINEERING</w:t>
      </w:r>
    </w:p>
    <w:p>
      <w:pPr>
        <w:jc w:val="center"/>
      </w:pPr>
      <w:r>
        <w:rPr>
          <w:rFonts w:ascii="Calibri" w:cs="Calibri" w:eastAsia="Calibri" w:hAnsi="Calibri"/>
          <w:sz w:val="20"/>
          <w:szCs w:val="20"/>
        </w:rPr>
        <w:t xml:space="preserve">Saveetha Institute of Medical and Technical Sciences, Chennai - 602105</w:t>
      </w:r>
    </w:p>
    <w:p>
      <w:r>
        <w:br w:type="page"/>
      </w:r>
    </w:p>
    <w:p>
      <w:pPr>
        <w:pStyle w:val="Heading1"/>
        <w:spacing w:after="160" w:before="280"/>
      </w:pPr>
      <w:r>
        <w:rPr>
          <w:rFonts w:ascii="Calibri" w:cs="Calibri" w:eastAsia="Calibri" w:hAnsi="Calibri"/>
        </w:rPr>
        <w:t xml:space="preserve">DECLARATION</w:t>
      </w:r>
    </w:p>
    <w:p>
      <w:pPr>
        <w:spacing w:after="160"/>
      </w:pPr>
      <w:r>
        <w:rPr>
          <w:rFonts w:ascii="Calibri" w:cs="Calibri" w:eastAsia="Calibri" w:hAnsi="Calibri"/>
          <w:sz w:val="22"/>
          <w:szCs w:val="22"/>
        </w:rPr>
        <w:t xml:space="preserve">I, Dilli Babu N (Reg. No. 192521491), of the Department of Computer Science and Engineering, Saveetha Institute of Medical and Technical Sciences, Saveetha University, Chennai, hereby declare that the assignment work entitled “Injury Risk Prediction System for Athletes Using Performance Data - Research Paper Review / Literature Survey” is the result of my own bonafide effort. All research papers reviewed in this document are cited to their original authors and publication venues, and to the best of my knowledge, the work presented herein is original, accurate, and has been carried out in accordance with the principles of engineering ethics and academic integrity.</w:t>
      </w:r>
    </w:p>
    <w:p>
      <w:pPr>
        <w:spacing w:after="160"/>
      </w:pPr>
      <w:r>
        <w:rPr>
          <w:rFonts w:ascii="Calibri" w:cs="Calibri" w:eastAsia="Calibri" w:hAnsi="Calibri"/>
          <w:sz w:val="22"/>
          <w:szCs w:val="22"/>
        </w:rPr>
        <w:t xml:space="preserve">Place: Chennai</w:t>
      </w:r>
    </w:p>
    <w:p>
      <w:pPr>
        <w:spacing w:after="160"/>
      </w:pPr>
      <w:r>
        <w:rPr>
          <w:rFonts w:ascii="Calibri" w:cs="Calibri" w:eastAsia="Calibri" w:hAnsi="Calibri"/>
          <w:sz w:val="22"/>
          <w:szCs w:val="22"/>
        </w:rPr>
        <w:t xml:space="preserve">Date: 01/09/2026</w:t>
      </w:r>
    </w:p>
    <w:p>
      <w:pPr>
        <w:spacing w:after="160"/>
      </w:pPr>
      <w:r>
        <w:rPr>
          <w:rFonts w:ascii="Calibri" w:cs="Calibri" w:eastAsia="Calibri" w:hAnsi="Calibri"/>
          <w:sz w:val="22"/>
          <w:szCs w:val="22"/>
        </w:rPr>
        <w:t xml:space="preserve">Signature of the Student</w:t>
      </w:r>
    </w:p>
    <w:p>
      <w:r>
        <w:br w:type="page"/>
      </w:r>
    </w:p>
    <w:p>
      <w:pPr>
        <w:pStyle w:val="Heading1"/>
        <w:spacing w:after="160" w:before="280"/>
      </w:pPr>
      <w:r>
        <w:rPr>
          <w:rFonts w:ascii="Calibri" w:cs="Calibri" w:eastAsia="Calibri" w:hAnsi="Calibri"/>
        </w:rPr>
        <w:t xml:space="preserve">Table of Contents</w:t>
      </w:r>
    </w:p>
    <w:p>
      <w:pPr>
        <w:pStyle w:val="ListParagraph"/>
        <w:numPr>
          <w:ilvl w:val="0"/>
          <w:numId w:val="1"/>
        </w:numPr>
        <w:spacing w:after="100"/>
      </w:pPr>
      <w:r>
        <w:rPr>
          <w:rFonts w:ascii="Calibri" w:cs="Calibri" w:eastAsia="Calibri" w:hAnsi="Calibri"/>
          <w:sz w:val="22"/>
          <w:szCs w:val="22"/>
        </w:rPr>
        <w:t xml:space="preserve">1. Introduction</w:t>
      </w:r>
    </w:p>
    <w:p>
      <w:pPr>
        <w:pStyle w:val="ListParagraph"/>
        <w:numPr>
          <w:ilvl w:val="0"/>
          <w:numId w:val="1"/>
        </w:numPr>
        <w:spacing w:after="100"/>
      </w:pPr>
      <w:r>
        <w:rPr>
          <w:rFonts w:ascii="Calibri" w:cs="Calibri" w:eastAsia="Calibri" w:hAnsi="Calibri"/>
          <w:sz w:val="22"/>
          <w:szCs w:val="22"/>
        </w:rPr>
        <w:t xml:space="preserve">1.1 Problem Statement and Scope of the Survey</w:t>
      </w:r>
    </w:p>
    <w:p>
      <w:pPr>
        <w:pStyle w:val="ListParagraph"/>
        <w:numPr>
          <w:ilvl w:val="0"/>
          <w:numId w:val="1"/>
        </w:numPr>
        <w:spacing w:after="100"/>
      </w:pPr>
      <w:r>
        <w:rPr>
          <w:rFonts w:ascii="Calibri" w:cs="Calibri" w:eastAsia="Calibri" w:hAnsi="Calibri"/>
          <w:sz w:val="22"/>
          <w:szCs w:val="22"/>
        </w:rPr>
        <w:t xml:space="preserve">1.2 Objectives of the Literature Survey</w:t>
      </w:r>
    </w:p>
    <w:p>
      <w:pPr>
        <w:pStyle w:val="ListParagraph"/>
        <w:numPr>
          <w:ilvl w:val="0"/>
          <w:numId w:val="1"/>
        </w:numPr>
        <w:spacing w:after="100"/>
      </w:pPr>
      <w:r>
        <w:rPr>
          <w:rFonts w:ascii="Calibri" w:cs="Calibri" w:eastAsia="Calibri" w:hAnsi="Calibri"/>
          <w:sz w:val="22"/>
          <w:szCs w:val="22"/>
        </w:rPr>
        <w:t xml:space="preserve">1.3 Survey Methodology</w:t>
      </w:r>
    </w:p>
    <w:p>
      <w:pPr>
        <w:pStyle w:val="ListParagraph"/>
        <w:numPr>
          <w:ilvl w:val="0"/>
          <w:numId w:val="1"/>
        </w:numPr>
        <w:spacing w:after="100"/>
      </w:pPr>
      <w:r>
        <w:rPr>
          <w:rFonts w:ascii="Calibri" w:cs="Calibri" w:eastAsia="Calibri" w:hAnsi="Calibri"/>
          <w:sz w:val="22"/>
          <w:szCs w:val="22"/>
        </w:rPr>
        <w:t xml:space="preserve">2. Individual Paper Reviews</w:t>
      </w:r>
    </w:p>
    <w:p>
      <w:pPr>
        <w:pStyle w:val="ListParagraph"/>
        <w:numPr>
          <w:ilvl w:val="0"/>
          <w:numId w:val="1"/>
        </w:numPr>
        <w:spacing w:after="100"/>
      </w:pPr>
      <w:r>
        <w:rPr>
          <w:rFonts w:ascii="Calibri" w:cs="Calibri" w:eastAsia="Calibri" w:hAnsi="Calibri"/>
          <w:sz w:val="22"/>
          <w:szCs w:val="22"/>
        </w:rPr>
        <w:t xml:space="preserve">2.1 - 2.10 Reviews of the Ten Selected Papers</w:t>
      </w:r>
    </w:p>
    <w:p>
      <w:pPr>
        <w:pStyle w:val="ListParagraph"/>
        <w:numPr>
          <w:ilvl w:val="0"/>
          <w:numId w:val="1"/>
        </w:numPr>
        <w:spacing w:after="100"/>
      </w:pPr>
      <w:r>
        <w:rPr>
          <w:rFonts w:ascii="Calibri" w:cs="Calibri" w:eastAsia="Calibri" w:hAnsi="Calibri"/>
          <w:sz w:val="22"/>
          <w:szCs w:val="22"/>
        </w:rPr>
        <w:t xml:space="preserve">3. Comparative Analysis</w:t>
      </w:r>
    </w:p>
    <w:p>
      <w:pPr>
        <w:pStyle w:val="ListParagraph"/>
        <w:numPr>
          <w:ilvl w:val="0"/>
          <w:numId w:val="1"/>
        </w:numPr>
        <w:spacing w:after="100"/>
      </w:pPr>
      <w:r>
        <w:rPr>
          <w:rFonts w:ascii="Calibri" w:cs="Calibri" w:eastAsia="Calibri" w:hAnsi="Calibri"/>
          <w:sz w:val="22"/>
          <w:szCs w:val="22"/>
        </w:rPr>
        <w:t xml:space="preserve">3.1 Comparative Literature Survey Table</w:t>
      </w:r>
    </w:p>
    <w:p>
      <w:pPr>
        <w:pStyle w:val="ListParagraph"/>
        <w:numPr>
          <w:ilvl w:val="0"/>
          <w:numId w:val="1"/>
        </w:numPr>
        <w:spacing w:after="100"/>
      </w:pPr>
      <w:r>
        <w:rPr>
          <w:rFonts w:ascii="Calibri" w:cs="Calibri" w:eastAsia="Calibri" w:hAnsi="Calibri"/>
          <w:sz w:val="22"/>
          <w:szCs w:val="22"/>
        </w:rPr>
        <w:t xml:space="preserve">3.2 Comparison by Detection Performance</w:t>
      </w:r>
    </w:p>
    <w:p>
      <w:pPr>
        <w:pStyle w:val="ListParagraph"/>
        <w:numPr>
          <w:ilvl w:val="0"/>
          <w:numId w:val="1"/>
        </w:numPr>
        <w:spacing w:after="100"/>
      </w:pPr>
      <w:r>
        <w:rPr>
          <w:rFonts w:ascii="Calibri" w:cs="Calibri" w:eastAsia="Calibri" w:hAnsi="Calibri"/>
          <w:sz w:val="22"/>
          <w:szCs w:val="22"/>
        </w:rPr>
        <w:t xml:space="preserve">3.3 Comparison by Methodology Type</w:t>
      </w:r>
    </w:p>
    <w:p>
      <w:pPr>
        <w:pStyle w:val="ListParagraph"/>
        <w:numPr>
          <w:ilvl w:val="0"/>
          <w:numId w:val="1"/>
        </w:numPr>
        <w:spacing w:after="100"/>
      </w:pPr>
      <w:r>
        <w:rPr>
          <w:rFonts w:ascii="Calibri" w:cs="Calibri" w:eastAsia="Calibri" w:hAnsi="Calibri"/>
          <w:sz w:val="22"/>
          <w:szCs w:val="22"/>
        </w:rPr>
        <w:t xml:space="preserve">3.4 Comparison by Scalability and Deployment Readiness</w:t>
      </w:r>
    </w:p>
    <w:p>
      <w:pPr>
        <w:pStyle w:val="ListParagraph"/>
        <w:numPr>
          <w:ilvl w:val="0"/>
          <w:numId w:val="1"/>
        </w:numPr>
        <w:spacing w:after="100"/>
      </w:pPr>
      <w:r>
        <w:rPr>
          <w:rFonts w:ascii="Calibri" w:cs="Calibri" w:eastAsia="Calibri" w:hAnsi="Calibri"/>
          <w:sz w:val="22"/>
          <w:szCs w:val="22"/>
        </w:rPr>
        <w:t xml:space="preserve">4. Limitations and Challenges of Existing Approaches</w:t>
      </w:r>
    </w:p>
    <w:p>
      <w:pPr>
        <w:pStyle w:val="ListParagraph"/>
        <w:numPr>
          <w:ilvl w:val="0"/>
          <w:numId w:val="1"/>
        </w:numPr>
        <w:spacing w:after="100"/>
      </w:pPr>
      <w:r>
        <w:rPr>
          <w:rFonts w:ascii="Calibri" w:cs="Calibri" w:eastAsia="Calibri" w:hAnsi="Calibri"/>
          <w:sz w:val="22"/>
          <w:szCs w:val="22"/>
        </w:rPr>
        <w:t xml:space="preserve">5. Identified Research Gaps</w:t>
      </w:r>
    </w:p>
    <w:p>
      <w:pPr>
        <w:pStyle w:val="ListParagraph"/>
        <w:numPr>
          <w:ilvl w:val="0"/>
          <w:numId w:val="1"/>
        </w:numPr>
        <w:spacing w:after="100"/>
      </w:pPr>
      <w:r>
        <w:rPr>
          <w:rFonts w:ascii="Calibri" w:cs="Calibri" w:eastAsia="Calibri" w:hAnsi="Calibri"/>
          <w:sz w:val="22"/>
          <w:szCs w:val="22"/>
        </w:rPr>
        <w:t xml:space="preserve">6. Future Research Directions</w:t>
      </w:r>
    </w:p>
    <w:p>
      <w:pPr>
        <w:pStyle w:val="ListParagraph"/>
        <w:numPr>
          <w:ilvl w:val="0"/>
          <w:numId w:val="1"/>
        </w:numPr>
        <w:spacing w:after="100"/>
      </w:pPr>
      <w:r>
        <w:rPr>
          <w:rFonts w:ascii="Calibri" w:cs="Calibri" w:eastAsia="Calibri" w:hAnsi="Calibri"/>
          <w:sz w:val="22"/>
          <w:szCs w:val="22"/>
        </w:rPr>
        <w:t xml:space="preserve">7. Conclusion</w:t>
      </w:r>
    </w:p>
    <w:p>
      <w:pPr>
        <w:pStyle w:val="ListParagraph"/>
        <w:numPr>
          <w:ilvl w:val="0"/>
          <w:numId w:val="1"/>
        </w:numPr>
        <w:spacing w:after="100"/>
      </w:pPr>
      <w:r>
        <w:rPr>
          <w:rFonts w:ascii="Calibri" w:cs="Calibri" w:eastAsia="Calibri" w:hAnsi="Calibri"/>
          <w:sz w:val="22"/>
          <w:szCs w:val="22"/>
        </w:rPr>
        <w:t xml:space="preserve">8. References</w:t>
      </w:r>
    </w:p>
    <w:p>
      <w:r>
        <w:br w:type="page"/>
      </w:r>
    </w:p>
    <w:p>
      <w:pPr>
        <w:pStyle w:val="Heading1"/>
        <w:spacing w:after="160" w:before="280"/>
      </w:pPr>
      <w:r>
        <w:rPr>
          <w:rFonts w:ascii="Calibri" w:cs="Calibri" w:eastAsia="Calibri" w:hAnsi="Calibri"/>
        </w:rPr>
        <w:t xml:space="preserve">1. Introduction</w:t>
      </w:r>
    </w:p>
    <w:p>
      <w:pPr>
        <w:pStyle w:val="Heading2"/>
        <w:spacing w:after="160" w:before="280"/>
      </w:pPr>
      <w:r>
        <w:rPr>
          <w:rFonts w:ascii="Calibri" w:cs="Calibri" w:eastAsia="Calibri" w:hAnsi="Calibri"/>
        </w:rPr>
        <w:t xml:space="preserve">1.1 Problem Statement and Scope of the Survey</w:t>
      </w:r>
    </w:p>
    <w:p>
      <w:pPr>
        <w:spacing w:after="160"/>
      </w:pPr>
      <w:r>
        <w:rPr>
          <w:rFonts w:ascii="Calibri" w:cs="Calibri" w:eastAsia="Calibri" w:hAnsi="Calibri"/>
          <w:sz w:val="22"/>
          <w:szCs w:val="22"/>
        </w:rPr>
        <w:t xml:space="preserve">The assigned problem statement is an Injury Risk Prediction System for Athletes Using Performance Data: a monitoring platform that continuously collects training-load, wearable-sensor, physiological and performance telemetry for individual athletes, applies a predictive model to estimate short-term injury risk, raises alerts for coaches and medical staff, and supports evidence-based decisions on training-load adjustment and return-to-sport (RTS) readiness. Before designing or refining such a system, it is necessary to understand how the sports-science and sports-informatics research community has approached the same underlying problem: predicting the likelihood of injury in athletes from performance, workload and physiological data using machine learning and related analytics techniques.</w:t>
      </w:r>
    </w:p>
    <w:p>
      <w:pPr>
        <w:spacing w:after="160"/>
      </w:pPr>
      <w:r>
        <w:rPr>
          <w:rFonts w:ascii="Calibri" w:cs="Calibri" w:eastAsia="Calibri" w:hAnsi="Calibri"/>
          <w:sz w:val="22"/>
          <w:szCs w:val="22"/>
        </w:rPr>
        <w:t xml:space="preserve">This survey reviews ten peer-reviewed research papers and systematic/scoping reviews (2019–2026) that address athlete injury-risk prediction using classical machine learning, wearable and GPS-based sensing, deep learning, and evidence-synthesis methodologies. Together these papers span the sensing layer (GPS, IMU, wellness telemetry), the analytics layer (classical ML, ensemble methods, deep learning), and the operational layer (risk alerting and, more recently, return-to-sport decision support) that the assigned platform must also address.</w:t>
      </w:r>
    </w:p>
    <w:p>
      <w:pPr>
        <w:pStyle w:val="Heading2"/>
        <w:spacing w:after="160" w:before="280"/>
      </w:pPr>
      <w:r>
        <w:rPr>
          <w:rFonts w:ascii="Calibri" w:cs="Calibri" w:eastAsia="Calibri" w:hAnsi="Calibri"/>
        </w:rPr>
        <w:t xml:space="preserve">1.2 Objectives of the Literature Survey</w:t>
      </w:r>
    </w:p>
    <w:p>
      <w:pPr>
        <w:pStyle w:val="ListParagraph"/>
        <w:numPr>
          <w:ilvl w:val="0"/>
          <w:numId w:val="1"/>
        </w:numPr>
        <w:spacing w:after="100"/>
      </w:pPr>
      <w:r>
        <w:rPr>
          <w:rFonts w:ascii="Calibri" w:cs="Calibri" w:eastAsia="Calibri" w:hAnsi="Calibri"/>
          <w:sz w:val="22"/>
          <w:szCs w:val="22"/>
        </w:rPr>
        <w:t xml:space="preserve">To identify credible, relevant, recent research papers addressing ML-based, wearable/GPS-based, or deep-learning-based athlete injury-risk prediction.</w:t>
      </w:r>
    </w:p>
    <w:p>
      <w:pPr>
        <w:pStyle w:val="ListParagraph"/>
        <w:numPr>
          <w:ilvl w:val="0"/>
          <w:numId w:val="1"/>
        </w:numPr>
        <w:spacing w:after="100"/>
      </w:pPr>
      <w:r>
        <w:rPr>
          <w:rFonts w:ascii="Calibri" w:cs="Calibri" w:eastAsia="Calibri" w:hAnsi="Calibri"/>
          <w:sz w:val="22"/>
          <w:szCs w:val="22"/>
        </w:rPr>
        <w:t xml:space="preserve">To summarize each paper's objective, methodology, technology stack, dataset, and key findings in a consistent format.</w:t>
      </w:r>
    </w:p>
    <w:p>
      <w:pPr>
        <w:pStyle w:val="ListParagraph"/>
        <w:numPr>
          <w:ilvl w:val="0"/>
          <w:numId w:val="1"/>
        </w:numPr>
        <w:spacing w:after="100"/>
      </w:pPr>
      <w:r>
        <w:rPr>
          <w:rFonts w:ascii="Calibri" w:cs="Calibri" w:eastAsia="Calibri" w:hAnsi="Calibri"/>
          <w:sz w:val="22"/>
          <w:szCs w:val="22"/>
        </w:rPr>
        <w:t xml:space="preserve">To compare the reviewed approaches on methodology, reported detection performance, scalability and deployment readiness.</w:t>
      </w:r>
    </w:p>
    <w:p>
      <w:pPr>
        <w:pStyle w:val="ListParagraph"/>
        <w:numPr>
          <w:ilvl w:val="0"/>
          <w:numId w:val="1"/>
        </w:numPr>
        <w:spacing w:after="100"/>
      </w:pPr>
      <w:r>
        <w:rPr>
          <w:rFonts w:ascii="Calibri" w:cs="Calibri" w:eastAsia="Calibri" w:hAnsi="Calibri"/>
          <w:sz w:val="22"/>
          <w:szCs w:val="22"/>
        </w:rPr>
        <w:t xml:space="preserve">To identify the limitations and unresolved challenges shared across the existing body of research.</w:t>
      </w:r>
    </w:p>
    <w:p>
      <w:pPr>
        <w:pStyle w:val="ListParagraph"/>
        <w:numPr>
          <w:ilvl w:val="0"/>
          <w:numId w:val="1"/>
        </w:numPr>
        <w:spacing w:after="100"/>
      </w:pPr>
      <w:r>
        <w:rPr>
          <w:rFonts w:ascii="Calibri" w:cs="Calibri" w:eastAsia="Calibri" w:hAnsi="Calibri"/>
          <w:sz w:val="22"/>
          <w:szCs w:val="22"/>
        </w:rPr>
        <w:t xml:space="preserve">To derive concrete research gaps and future research directions that are directly relevant to the design of the assigned platform.</w:t>
      </w:r>
    </w:p>
    <w:p>
      <w:pPr>
        <w:pStyle w:val="Heading2"/>
        <w:spacing w:after="160" w:before="280"/>
      </w:pPr>
      <w:r>
        <w:rPr>
          <w:rFonts w:ascii="Calibri" w:cs="Calibri" w:eastAsia="Calibri" w:hAnsi="Calibri"/>
        </w:rPr>
        <w:t xml:space="preserve">1.3 Survey Methodology</w:t>
      </w:r>
    </w:p>
    <w:p>
      <w:pPr>
        <w:spacing w:after="160"/>
      </w:pPr>
      <w:r>
        <w:rPr>
          <w:rFonts w:ascii="Calibri" w:cs="Calibri" w:eastAsia="Calibri" w:hAnsi="Calibri"/>
          <w:sz w:val="22"/>
          <w:szCs w:val="22"/>
        </w:rPr>
        <w:t xml:space="preserve">Candidate papers were identified by keyword search across PubMed/MEDLINE, IEEE Xplore, ScienceDirect, Web of Science, SPORTDiscus and the Cureus and Frontiers platforms, using search terms including “machine learning injury risk prediction athletes”, “wearable sensor injury prediction sport”, “GPS workload injury prediction football”, “deep learning sports injury prediction” and “return to sport machine learning”. Candidates were screened for direct relevance to athlete injury-risk prediction from performance/telemetry data (excluding clinical-diagnosis-only and non-sport ML studies), for having an accessible, verifiable methodology, and for collectively covering the sensing, modeling and decision-support layers relevant to the assigned platform. The ten selected papers were organized into a taxonomy spanning broad reviews, wearable/GPS-sensing studies, classical ML comparison studies, deep-learning/biomechanics studies, and return-to-sport decision studies, mirroring the sensing, edge-analytics, alerting and decision-support components the assigned platform must implement.</w:t>
      </w:r>
    </w:p>
    <w:p>
      <w:pPr>
        <w:pStyle w:val="Heading1"/>
        <w:spacing w:after="160" w:before="280"/>
      </w:pPr>
      <w:r>
        <w:rPr>
          <w:rFonts w:ascii="Calibri" w:cs="Calibri" w:eastAsia="Calibri" w:hAnsi="Calibri"/>
        </w:rPr>
        <w:t xml:space="preserve">2. Individual Paper Reviews</w:t>
      </w:r>
    </w:p>
    <w:p>
      <w:pPr>
        <w:spacing w:after="160"/>
      </w:pPr>
      <w:r>
        <w:rPr>
          <w:rFonts w:ascii="Calibri" w:cs="Calibri" w:eastAsia="Calibri" w:hAnsi="Calibri"/>
          <w:sz w:val="22"/>
          <w:szCs w:val="22"/>
        </w:rPr>
        <w:t xml:space="preserve">Each of the ten selected papers is reviewed below in a consistent format covering its objective, methodology, technology and dataset, and key findings, in the order shown in the taxonomy: broad reviews first, followed by wearable/GPS-sensing studies, ML-pipeline and deep-learning/biomechanics studies, and finally the return-to-sport review.</w:t>
      </w:r>
    </w:p>
    <w:p>
      <w:pPr>
        <w:pStyle w:val="Heading2"/>
        <w:spacing w:after="160" w:before="280"/>
      </w:pPr>
      <w:r>
        <w:rPr>
          <w:rFonts w:ascii="Calibri" w:cs="Calibri" w:eastAsia="Calibri" w:hAnsi="Calibri"/>
        </w:rPr>
        <w:t xml:space="preserve">2.1 Claudino et al. (2019) — Current Approaches to the Use of Artificial Intelligence for Injury Risk Assessment and Performance Prediction in Team Sports: a Systematic Review [1]</w:t>
      </w:r>
    </w:p>
    <w:p>
      <w:pPr>
        <w:spacing w:after="160"/>
      </w:pPr>
      <w:r>
        <w:rPr>
          <w:rFonts w:ascii="Calibri" w:cs="Calibri" w:eastAsia="Calibri" w:hAnsi="Calibri"/>
          <w:sz w:val="22"/>
          <w:szCs w:val="22"/>
        </w:rPr>
        <w:t xml:space="preserve">This PRISMA-guided systematic review, published in Sports Medicine - Open, searched PubMed, Web of Science and Scopus up to May 2018 for studies applying AI to injury-risk assessment and performance prediction in team sports. It reports that artificial neural networks, decision-tree classifiers and support vector machines are the AI techniques most commonly used for injury risk assessment across soccer, basketball, American football, Australian football and handball. As one of the earliest systematic reviews in this space, it establishes the vocabulary and baseline taxonomy against which the more recent, more technical papers below can be read.</w:t>
      </w:r>
    </w:p>
    <w:p>
      <w:pPr>
        <w:pStyle w:val="Heading2"/>
        <w:spacing w:after="160" w:before="280"/>
      </w:pPr>
      <w:r>
        <w:rPr>
          <w:rFonts w:ascii="Calibri" w:cs="Calibri" w:eastAsia="Calibri" w:hAnsi="Calibri"/>
        </w:rPr>
        <w:t xml:space="preserve">2.2 Amendolara et al. (2023) — An Overview of Machine Learning Applications in Sports Injury Prediction [2]</w:t>
      </w:r>
    </w:p>
    <w:p>
      <w:pPr>
        <w:spacing w:after="160"/>
      </w:pPr>
      <w:r>
        <w:rPr>
          <w:rFonts w:ascii="Calibri" w:cs="Calibri" w:eastAsia="Calibri" w:hAnsi="Calibri"/>
          <w:sz w:val="22"/>
          <w:szCs w:val="22"/>
        </w:rPr>
        <w:t xml:space="preserve">Published in Cureus, this narrative review surveys ML techniques applied to overuse-injury prediction between 2017 and 2022, drawing on PubMed/Medline, IEEE/IET and ScienceDirect. It examines algorithms including K-Nearest Neighbour, K-means, decision tree, random forest, gradient boosting, AdaBoost and neural networks, and concludes that, given the current lack of open-source, uniform datasets and continued reliance on dated regression models, no strong conclusions can yet be drawn about ML's real-world efficacy for sports-injury prediction. The paper's central contribution is this cautionary, data-scarcity-focused perspective rather than a new detection algorithm.</w:t>
      </w:r>
    </w:p>
    <w:p>
      <w:pPr>
        <w:pStyle w:val="Heading2"/>
        <w:spacing w:after="160" w:before="280"/>
      </w:pPr>
      <w:r>
        <w:rPr>
          <w:rFonts w:ascii="Calibri" w:cs="Calibri" w:eastAsia="Calibri" w:hAnsi="Calibri"/>
        </w:rPr>
        <w:t xml:space="preserve">2.3 Leckey et al. (2025) — Machine Learning Approaches to Injury Risk Prediction in Sport: A Scoping Review with Evidence Synthesis [3]</w:t>
      </w:r>
    </w:p>
    <w:p>
      <w:pPr>
        <w:spacing w:after="160"/>
      </w:pPr>
      <w:r>
        <w:rPr>
          <w:rFonts w:ascii="Calibri" w:cs="Calibri" w:eastAsia="Calibri" w:hAnsi="Calibri"/>
          <w:sz w:val="22"/>
          <w:szCs w:val="22"/>
        </w:rPr>
        <w:t xml:space="preserve">This scoping review, published in the British Journal of Sports Medicine, searched PubMed, EMBASE, SportDiscus and IEEE Xplore and screened 1,241 studies down to 38 charted studies, with football (soccer) the most commonly investigated sport. The review reports that Area Under the Curve (AUC) was the most common evaluation metric (used in 71% of studies), and that tree-based models — particularly Random Forest and Extreme Gradient Boosting (XGBoost) — gave the highest statistical predictive performance in 60% of the reviewed studies. It also flags that wide prediction windows and inconsistent injury definitions limit the clinical utility of many reported results, a benchmarking-consistency concern that recurs throughout this survey.</w:t>
      </w:r>
    </w:p>
    <w:p>
      <w:pPr>
        <w:pStyle w:val="Heading2"/>
        <w:spacing w:after="160" w:before="280"/>
      </w:pPr>
      <w:r>
        <w:rPr>
          <w:rFonts w:ascii="Calibri" w:cs="Calibri" w:eastAsia="Calibri" w:hAnsi="Calibri"/>
        </w:rPr>
        <w:t xml:space="preserve">2.4 Van Eetvelde et al. (2021) — Machine Learning Methods in Sport Injury Prediction and Prevention: A Systematic Review [4]</w:t>
      </w:r>
    </w:p>
    <w:p>
      <w:pPr>
        <w:spacing w:after="160"/>
      </w:pPr>
      <w:r>
        <w:rPr>
          <w:rFonts w:ascii="Calibri" w:cs="Calibri" w:eastAsia="Calibri" w:hAnsi="Calibri"/>
          <w:sz w:val="22"/>
          <w:szCs w:val="22"/>
        </w:rPr>
        <w:t xml:space="preserve">Published in the Journal of Experimental Orthopaedics, this systematic review synthesizes how ML methods have been applied to sport-injury prediction and prevention across multiple sports and algorithm families. Its central finding is that current ML methods can identify athletes at elevated injury risk and can help surface the most influential injury-risk factors from heterogeneous performance and monitoring data, even though model interpretability and external validation remain limited across the reviewed studies.</w:t>
      </w:r>
    </w:p>
    <w:p>
      <w:pPr>
        <w:pStyle w:val="Heading2"/>
        <w:spacing w:after="160" w:before="280"/>
      </w:pPr>
      <w:r>
        <w:rPr>
          <w:rFonts w:ascii="Calibri" w:cs="Calibri" w:eastAsia="Calibri" w:hAnsi="Calibri"/>
        </w:rPr>
        <w:t xml:space="preserve">2.5 Piłka et al. (2023) — Predicting Injuries in Football Based on Data Collected from GPS-Based Wearable Sensors [5]</w:t>
      </w:r>
    </w:p>
    <w:p>
      <w:pPr>
        <w:spacing w:after="160"/>
      </w:pPr>
      <w:r>
        <w:rPr>
          <w:rFonts w:ascii="Calibri" w:cs="Calibri" w:eastAsia="Calibri" w:hAnsi="Calibri"/>
          <w:sz w:val="22"/>
          <w:szCs w:val="22"/>
        </w:rPr>
        <w:t xml:space="preserve">This paper in Sensors targets the prediction of non-contact lower-body injuries arising from over- or under-training. GPS-based wearable sensors mounted on players continuously record training-load metrics, which are fed into supervised machine-learning classifiers to flag elevated injury risk. The authors show that training-load features derived purely from GPS wearables carry meaningful predictive signal, positioning wearable-sensor telemetry as a practical, non-invasive alternative to laboratory-based biomechanical assessment, though validation remains confined to a single club/league context.</w:t>
      </w:r>
    </w:p>
    <w:p>
      <w:pPr>
        <w:pStyle w:val="Heading2"/>
        <w:spacing w:after="160" w:before="280"/>
      </w:pPr>
      <w:r>
        <w:rPr>
          <w:rFonts w:ascii="Calibri" w:cs="Calibri" w:eastAsia="Calibri" w:hAnsi="Calibri"/>
        </w:rPr>
        <w:t xml:space="preserve">2.6 Saberisani et al. (2025) — Prediction of Football Injuries Using GPS-Based Data in Iranian Professional Football Players: A Machine Learning Approach [6]</w:t>
      </w:r>
    </w:p>
    <w:p>
      <w:pPr>
        <w:spacing w:after="160"/>
      </w:pPr>
      <w:r>
        <w:rPr>
          <w:rFonts w:ascii="Calibri" w:cs="Calibri" w:eastAsia="Calibri" w:hAnsi="Calibri"/>
          <w:sz w:val="22"/>
          <w:szCs w:val="22"/>
        </w:rPr>
        <w:t xml:space="preserve">Published in Frontiers in Sports and Active Living, this study collected GPS data from 25 players across 214 training sessions and 34 competition sessions in the Persian Gulf Pro League, computing the acute-to-chronic workload ratio (1:3 weeks) for each load variable before applying a decision-tree classifier. The results show that distances covered at high and moderate speed, together with the number of decelerations, were the strongest individual predictors of injury occurrence, although no single variable alone achieved strong predictive power — motivating the multivariate fusion approaches discussed later in this survey.</w:t>
      </w:r>
    </w:p>
    <w:p>
      <w:pPr>
        <w:pStyle w:val="Heading2"/>
        <w:spacing w:after="160" w:before="280"/>
      </w:pPr>
      <w:r>
        <w:rPr>
          <w:rFonts w:ascii="Calibri" w:cs="Calibri" w:eastAsia="Calibri" w:hAnsi="Calibri"/>
        </w:rPr>
        <w:t xml:space="preserve">2.7 Xu et al. (2025) — Construction and Application of a Model for Predicting Athletes' Injury Risk Based on Machine Learning [7]</w:t>
      </w:r>
    </w:p>
    <w:p>
      <w:pPr>
        <w:spacing w:after="160"/>
      </w:pPr>
      <w:r>
        <w:rPr>
          <w:rFonts w:ascii="Calibri" w:cs="Calibri" w:eastAsia="Calibri" w:hAnsi="Calibri"/>
          <w:sz w:val="22"/>
          <w:szCs w:val="22"/>
        </w:rPr>
        <w:t xml:space="preserve">Published in BMC Medical Informatics and Decision Making, this study monitored 300 male professional football players over two competitive seasons (2021–2022), collecting daily training-load, recovery, wellness, heart-rate-variability and injury-history data, with injuries confirmed via ICD-10 diagnoses. Features were selected using LASSO regression and recursive feature elimination, missing data (under 3%) were imputed via multiple imputation by chained equations, and class imbalance — injuries being comparatively rare events — was addressed using SMOTE and class weighting before training and comparing ML classifiers. This is one of the more methodologically complete papers reviewed here, explicitly addressing feature selection, missing data and class imbalance rather than reporting a headline accuracy figure alone.</w:t>
      </w:r>
    </w:p>
    <w:p>
      <w:pPr>
        <w:pStyle w:val="Heading2"/>
        <w:spacing w:after="160" w:before="280"/>
      </w:pPr>
      <w:r>
        <w:rPr>
          <w:rFonts w:ascii="Calibri" w:cs="Calibri" w:eastAsia="Calibri" w:hAnsi="Calibri"/>
        </w:rPr>
        <w:t xml:space="preserve">2.8 Souaifi et al. (2025) — Artificial Intelligence in Sports Biomechanics: A Scoping Review on Wearable Technology, Motion Analysis, and Injury Prevention [8]</w:t>
      </w:r>
    </w:p>
    <w:p>
      <w:pPr>
        <w:spacing w:after="160"/>
      </w:pPr>
      <w:r>
        <w:rPr>
          <w:rFonts w:ascii="Calibri" w:cs="Calibri" w:eastAsia="Calibri" w:hAnsi="Calibri"/>
          <w:sz w:val="22"/>
          <w:szCs w:val="22"/>
        </w:rPr>
        <w:t xml:space="preserve">This PRISMA-ScR-guided scoping review in Bioengineering searched five databases for studies published between January 2015 and December 2024, screening 3,248 articles down to 73 included studies. It examines AI methods applied to wearable technology and motion-analysis data for both performance enhancement and injury prevention, reporting that AI-enhanced wearable pipelines increasingly support real-time biomechanical monitoring while highlighting persistent heterogeneity in outcome reporting and unresolved ethical and translational gaps before such pipelines can be routinely deployed in practice.</w:t>
      </w:r>
    </w:p>
    <w:p>
      <w:pPr>
        <w:pStyle w:val="Heading2"/>
        <w:spacing w:after="160" w:before="280"/>
      </w:pPr>
      <w:r>
        <w:rPr>
          <w:rFonts w:ascii="Calibri" w:cs="Calibri" w:eastAsia="Calibri" w:hAnsi="Calibri"/>
        </w:rPr>
        <w:t xml:space="preserve">2.9 Lee, Chang &amp; Li (2026) — From Data to Prevention: A Systematic Review of Artificial Intelligence Applications in Sports Injury Prediction [9]</w:t>
      </w:r>
    </w:p>
    <w:p>
      <w:pPr>
        <w:spacing w:after="160"/>
      </w:pPr>
      <w:r>
        <w:rPr>
          <w:rFonts w:ascii="Calibri" w:cs="Calibri" w:eastAsia="Calibri" w:hAnsi="Calibri"/>
          <w:sz w:val="22"/>
          <w:szCs w:val="22"/>
        </w:rPr>
        <w:t xml:space="preserve">This systematic review focuses specifically on empirical (rather than purely review-level) studies applying AI to sports-injury prediction, providing a methodological cross-check on the scoping review by Leckey et al. [3]. It reinforces the finding that tree-based ensemble methods dominate reported predictive performance across the empirical literature, while noting that the empirical evidence base remains dominated by single-sport, single-institution studies with limited external validation — echoing the generalization concerns raised in [2] and [6].</w:t>
      </w:r>
    </w:p>
    <w:p>
      <w:pPr>
        <w:pStyle w:val="Heading2"/>
        <w:spacing w:after="160" w:before="280"/>
      </w:pPr>
      <w:r>
        <w:rPr>
          <w:rFonts w:ascii="Calibri" w:cs="Calibri" w:eastAsia="Calibri" w:hAnsi="Calibri"/>
        </w:rPr>
        <w:t xml:space="preserve">2.10 Yuan et al. (2026) — From Injury to Comeback: A Systematic Review of Machine Learning Models Predicting Return to Sport in Athletes [10]</w:t>
      </w:r>
    </w:p>
    <w:p>
      <w:pPr>
        <w:spacing w:after="160"/>
      </w:pPr>
      <w:r>
        <w:rPr>
          <w:rFonts w:ascii="Calibri" w:cs="Calibri" w:eastAsia="Calibri" w:hAnsi="Calibri"/>
          <w:sz w:val="22"/>
          <w:szCs w:val="22"/>
        </w:rPr>
        <w:t xml:space="preserve">Published in Digital Health, this systematic review shifts focus from pre-injury risk prediction to the return-to-sport (RTS) decision that follows an injury, reviewing ML models used to support RTS readiness judgments in athletes. Its inclusion in this survey highlights a research gap that recurs throughout Section 5: pre-injury risk-prediction models and post-injury RTS-decision models are developed and evaluated as separate research streams, even though an operational athlete-monitoring platform needs both to be connected into a single risk-to-recovery workflow.</w:t>
      </w:r>
    </w:p>
    <w:p>
      <w:pPr>
        <w:pStyle w:val="Heading1"/>
        <w:spacing w:after="160" w:before="280"/>
      </w:pPr>
      <w:r>
        <w:rPr>
          <w:rFonts w:ascii="Calibri" w:cs="Calibri" w:eastAsia="Calibri" w:hAnsi="Calibri"/>
        </w:rPr>
        <w:t xml:space="preserve">3. Comparative Analysis</w:t>
      </w:r>
    </w:p>
    <w:p>
      <w:pPr>
        <w:pStyle w:val="Heading2"/>
        <w:spacing w:after="160" w:before="280"/>
      </w:pPr>
      <w:r>
        <w:rPr>
          <w:rFonts w:ascii="Calibri" w:cs="Calibri" w:eastAsia="Calibri" w:hAnsi="Calibri"/>
        </w:rPr>
        <w:t xml:space="preserve">3.1 Comparative Literature Survey Table</w:t>
      </w:r>
    </w:p>
    <w:p>
      <w:pPr>
        <w:spacing w:after="160"/>
      </w:pPr>
      <w:r>
        <w:rPr>
          <w:rFonts w:ascii="Calibri" w:cs="Calibri" w:eastAsia="Calibri" w:hAnsi="Calibri"/>
          <w:sz w:val="22"/>
          <w:szCs w:val="22"/>
        </w:rPr>
        <w:t xml:space="preserve">Table 1 consolidates the ten reviewed papers against the parameters required for this exercise: the research problem addressed, methodology used, dataset/tools, key findings, limitations, and the specific research gap each paper leaves open.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500"/>
        <w:gridCol w:w="1400"/>
        <w:gridCol w:w="1700"/>
        <w:gridCol w:w="1600"/>
        <w:gridCol w:w="1600"/>
      </w:tblGrid>
      <w:tr>
        <w:trPr>
          <w:cantSplit w:val="false"/>
          <w:tblHeader/>
        </w:trPr>
        <w:tc>
          <w:tcPr>
            <w:tcW w:type="dxa" w:w="1000"/>
            <w:shd w:fill="1F3864" w:val="clear"/>
            <w:tcMar>
              <w:top w:type="dxa" w:w="80"/>
              <w:left w:type="dxa" w:w="100"/>
              <w:bottom w:type="dxa" w:w="80"/>
              <w:right w:type="dxa" w:w="100"/>
            </w:tcMar>
            <w:vAlign w:val="top"/>
          </w:tcPr>
          <w:p>
            <w:pPr>
              <w:spacing w:after="60"/>
            </w:pPr>
            <w:r>
              <w:rPr>
                <w:rFonts w:ascii="Calibri" w:cs="Calibri" w:eastAsia="Calibri" w:hAnsi="Calibri"/>
                <w:b/>
                <w:bCs/>
                <w:color w:val="FFFFFF"/>
                <w:sz w:val="18"/>
                <w:szCs w:val="18"/>
              </w:rPr>
              <w:t xml:space="preserve">Author/Year</w:t>
            </w:r>
          </w:p>
        </w:tc>
        <w:tc>
          <w:tcPr>
            <w:tcW w:type="dxa" w:w="1000"/>
            <w:shd w:fill="1F3864" w:val="clear"/>
            <w:tcMar>
              <w:top w:type="dxa" w:w="80"/>
              <w:left w:type="dxa" w:w="100"/>
              <w:bottom w:type="dxa" w:w="80"/>
              <w:right w:type="dxa" w:w="100"/>
            </w:tcMar>
            <w:vAlign w:val="top"/>
          </w:tcPr>
          <w:p>
            <w:pPr>
              <w:spacing w:after="60"/>
            </w:pPr>
            <w:r>
              <w:rPr>
                <w:rFonts w:ascii="Calibri" w:cs="Calibri" w:eastAsia="Calibri" w:hAnsi="Calibri"/>
                <w:b/>
                <w:bCs/>
                <w:color w:val="FFFFFF"/>
                <w:sz w:val="18"/>
                <w:szCs w:val="18"/>
              </w:rPr>
              <w:t xml:space="preserve">Research Problem</w:t>
            </w:r>
          </w:p>
        </w:tc>
        <w:tc>
          <w:tcPr>
            <w:tcW w:type="dxa" w:w="1500"/>
            <w:shd w:fill="1F3864" w:val="clear"/>
            <w:tcMar>
              <w:top w:type="dxa" w:w="80"/>
              <w:left w:type="dxa" w:w="100"/>
              <w:bottom w:type="dxa" w:w="80"/>
              <w:right w:type="dxa" w:w="100"/>
            </w:tcMar>
            <w:vAlign w:val="top"/>
          </w:tcPr>
          <w:p>
            <w:pPr>
              <w:spacing w:after="60"/>
            </w:pPr>
            <w:r>
              <w:rPr>
                <w:rFonts w:ascii="Calibri" w:cs="Calibri" w:eastAsia="Calibri" w:hAnsi="Calibri"/>
                <w:b/>
                <w:bCs/>
                <w:color w:val="FFFFFF"/>
                <w:sz w:val="18"/>
                <w:szCs w:val="18"/>
              </w:rPr>
              <w:t xml:space="preserve">Methodology</w:t>
            </w:r>
          </w:p>
        </w:tc>
        <w:tc>
          <w:tcPr>
            <w:tcW w:type="dxa" w:w="1400"/>
            <w:shd w:fill="1F3864" w:val="clear"/>
            <w:tcMar>
              <w:top w:type="dxa" w:w="80"/>
              <w:left w:type="dxa" w:w="100"/>
              <w:bottom w:type="dxa" w:w="80"/>
              <w:right w:type="dxa" w:w="100"/>
            </w:tcMar>
            <w:vAlign w:val="top"/>
          </w:tcPr>
          <w:p>
            <w:pPr>
              <w:spacing w:after="60"/>
            </w:pPr>
            <w:r>
              <w:rPr>
                <w:rFonts w:ascii="Calibri" w:cs="Calibri" w:eastAsia="Calibri" w:hAnsi="Calibri"/>
                <w:b/>
                <w:bCs/>
                <w:color w:val="FFFFFF"/>
                <w:sz w:val="18"/>
                <w:szCs w:val="18"/>
              </w:rPr>
              <w:t xml:space="preserve">Dataset/Tools</w:t>
            </w:r>
          </w:p>
        </w:tc>
        <w:tc>
          <w:tcPr>
            <w:tcW w:type="dxa" w:w="1700"/>
            <w:shd w:fill="1F3864" w:val="clear"/>
            <w:tcMar>
              <w:top w:type="dxa" w:w="80"/>
              <w:left w:type="dxa" w:w="100"/>
              <w:bottom w:type="dxa" w:w="80"/>
              <w:right w:type="dxa" w:w="100"/>
            </w:tcMar>
            <w:vAlign w:val="top"/>
          </w:tcPr>
          <w:p>
            <w:pPr>
              <w:spacing w:after="60"/>
            </w:pPr>
            <w:r>
              <w:rPr>
                <w:rFonts w:ascii="Calibri" w:cs="Calibri" w:eastAsia="Calibri" w:hAnsi="Calibri"/>
                <w:b/>
                <w:bCs/>
                <w:color w:val="FFFFFF"/>
                <w:sz w:val="18"/>
                <w:szCs w:val="18"/>
              </w:rPr>
              <w:t xml:space="preserve">Key Findings</w:t>
            </w:r>
          </w:p>
        </w:tc>
        <w:tc>
          <w:tcPr>
            <w:tcW w:type="dxa" w:w="1600"/>
            <w:shd w:fill="1F3864" w:val="clear"/>
            <w:tcMar>
              <w:top w:type="dxa" w:w="80"/>
              <w:left w:type="dxa" w:w="100"/>
              <w:bottom w:type="dxa" w:w="80"/>
              <w:right w:type="dxa" w:w="100"/>
            </w:tcMar>
            <w:vAlign w:val="top"/>
          </w:tcPr>
          <w:p>
            <w:pPr>
              <w:spacing w:after="60"/>
            </w:pPr>
            <w:r>
              <w:rPr>
                <w:rFonts w:ascii="Calibri" w:cs="Calibri" w:eastAsia="Calibri" w:hAnsi="Calibri"/>
                <w:b/>
                <w:bCs/>
                <w:color w:val="FFFFFF"/>
                <w:sz w:val="18"/>
                <w:szCs w:val="18"/>
              </w:rPr>
              <w:t xml:space="preserve">Limitations</w:t>
            </w:r>
          </w:p>
        </w:tc>
        <w:tc>
          <w:tcPr>
            <w:tcW w:type="dxa" w:w="1600"/>
            <w:shd w:fill="1F3864" w:val="clear"/>
            <w:tcMar>
              <w:top w:type="dxa" w:w="80"/>
              <w:left w:type="dxa" w:w="100"/>
              <w:bottom w:type="dxa" w:w="80"/>
              <w:right w:type="dxa" w:w="100"/>
            </w:tcMar>
            <w:vAlign w:val="top"/>
          </w:tcPr>
          <w:p>
            <w:pPr>
              <w:spacing w:after="60"/>
            </w:pPr>
            <w:r>
              <w:rPr>
                <w:rFonts w:ascii="Calibri" w:cs="Calibri" w:eastAsia="Calibri" w:hAnsi="Calibri"/>
                <w:b/>
                <w:bCs/>
                <w:color w:val="FFFFFF"/>
                <w:sz w:val="18"/>
                <w:szCs w:val="18"/>
              </w:rPr>
              <w:t xml:space="preserve">Research Gap</w:t>
            </w:r>
          </w:p>
        </w:tc>
      </w:tr>
      <w:tr>
        <w:trPr>
          <w:cantSplit w:val="false"/>
          <w:tblHeader w:val="false"/>
        </w:trPr>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Claudino et al., 2019 [1]</w:t>
            </w:r>
          </w:p>
        </w:tc>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Map how AI/ML is being used for injury risk assessment and performance prediction in team sports</w:t>
            </w:r>
          </w:p>
        </w:tc>
        <w:tc>
          <w:tcPr>
            <w:tcW w:type="dxa" w:w="15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PRISMA-guided systematic review of studies up to May 2018</w:t>
            </w:r>
          </w:p>
        </w:tc>
        <w:tc>
          <w:tcPr>
            <w:tcW w:type="dxa" w:w="14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PubMed, Web of Science, Scopus literature corpus</w:t>
            </w:r>
          </w:p>
        </w:tc>
        <w:tc>
          <w:tcPr>
            <w:tcW w:type="dxa" w:w="17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ANN, decision trees and SVM are the dominant algorithms for injury risk assessment across soccer, basketball, American/Australian football and handball</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Field still nascent in 2019; few studies validated on independent, out-of-sample cohorts</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Lack of consolidated, comparable benchmarking across independently reported studies</w:t>
            </w:r>
          </w:p>
        </w:tc>
      </w:tr>
      <w:tr>
        <w:trPr>
          <w:cantSplit w:val="false"/>
          <w:tblHeader w:val="false"/>
        </w:trPr>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Amendolara et al., 2023 [2]</w:t>
            </w:r>
          </w:p>
        </w:tc>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Survey recent ML techniques applied to overuse and use-injury prediction</w:t>
            </w:r>
          </w:p>
        </w:tc>
        <w:tc>
          <w:tcPr>
            <w:tcW w:type="dxa" w:w="15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Narrative literature review, PubMed/Medline, IEEE/IET, ScienceDirect, 2017–2022</w:t>
            </w:r>
          </w:p>
        </w:tc>
        <w:tc>
          <w:tcPr>
            <w:tcW w:type="dxa" w:w="14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Prior published ML studies; algorithms limited to KNN, K-means, decision tree, random forest, gradient boosting, AdaBoost, neural networks</w:t>
            </w:r>
          </w:p>
        </w:tc>
        <w:tc>
          <w:tcPr>
            <w:tcW w:type="dxa" w:w="17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ML shows promise but the field lacks open-source, uniform datasets and still leans on dated regression baselines</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No strong conclusions possible on real-world efficacy given data scarcity</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Need for open, standardized, multi-source injury datasets</w:t>
            </w:r>
          </w:p>
        </w:tc>
      </w:tr>
      <w:tr>
        <w:trPr>
          <w:cantSplit w:val="false"/>
          <w:tblHeader w:val="false"/>
        </w:trPr>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Leckey et al., 2025 [3]</w:t>
            </w:r>
          </w:p>
        </w:tc>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Chart ML approaches used for sports-injury prediction and assess efficacy</w:t>
            </w:r>
          </w:p>
        </w:tc>
        <w:tc>
          <w:tcPr>
            <w:tcW w:type="dxa" w:w="15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Scoping review with evidence synthesis; PubMed, EMBASE, SportDiscus, IEEE Xplore</w:t>
            </w:r>
          </w:p>
        </w:tc>
        <w:tc>
          <w:tcPr>
            <w:tcW w:type="dxa" w:w="14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1,241 studies identified; 38 charted; football (soccer) most studied</w:t>
            </w:r>
          </w:p>
        </w:tc>
        <w:tc>
          <w:tcPr>
            <w:tcW w:type="dxa" w:w="17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Tree-based models (Random Forest, XGBoost) gave the highest predictive performance in 60% of studies; AUC reported in 71%</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Wide prediction windows and inconsistent injury definitions limit clinical utility; small cohorts common</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Standardized injury definitions and prediction windows for cross-study comparability</w:t>
            </w:r>
          </w:p>
        </w:tc>
      </w:tr>
      <w:tr>
        <w:trPr>
          <w:cantSplit w:val="false"/>
          <w:tblHeader w:val="false"/>
        </w:trPr>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Van Eetvelde et al., 2021 [4]</w:t>
            </w:r>
          </w:p>
        </w:tc>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Synthesize how ML methods have been applied to sport-injury prediction and prevention</w:t>
            </w:r>
          </w:p>
        </w:tc>
        <w:tc>
          <w:tcPr>
            <w:tcW w:type="dxa" w:w="15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Systematic review of ML-based injury studies</w:t>
            </w:r>
          </w:p>
        </w:tc>
        <w:tc>
          <w:tcPr>
            <w:tcW w:type="dxa" w:w="14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Peer-reviewed ML injury-prediction literature</w:t>
            </w:r>
          </w:p>
        </w:tc>
        <w:tc>
          <w:tcPr>
            <w:tcW w:type="dxa" w:w="17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ML can identify athletes at high injury risk and surface the most influential injury-risk factors</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Model interpretability and external validation remain limited across the reviewed studies</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Translating identified risk factors into explainable, actionable athlete-monitoring workflows</w:t>
            </w:r>
          </w:p>
        </w:tc>
      </w:tr>
      <w:tr>
        <w:trPr>
          <w:cantSplit w:val="false"/>
          <w:tblHeader w:val="false"/>
        </w:trPr>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Piłka et al., 2023 [5]</w:t>
            </w:r>
          </w:p>
        </w:tc>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Predict non-contact lower-body injuries arising from over- or under-training</w:t>
            </w:r>
          </w:p>
        </w:tc>
        <w:tc>
          <w:tcPr>
            <w:tcW w:type="dxa" w:w="15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GPS-based wearable sensor data fed into supervised ML classifiers (training-load features)</w:t>
            </w:r>
          </w:p>
        </w:tc>
        <w:tc>
          <w:tcPr>
            <w:tcW w:type="dxa" w:w="14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GPS wearable telemetry from professional football training and matches</w:t>
            </w:r>
          </w:p>
        </w:tc>
        <w:tc>
          <w:tcPr>
            <w:tcW w:type="dxa" w:w="17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Training-load metrics derived from GPS wearables carry meaningful predictive signal for non-contact injury risk</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Single-club/league dataset; load-derived features may not transfer across sports or playing positions</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Cross-club, cross-sport generalization of GPS-derived workload features</w:t>
            </w:r>
          </w:p>
        </w:tc>
      </w:tr>
      <w:tr>
        <w:trPr>
          <w:cantSplit w:val="false"/>
          <w:tblHeader w:val="false"/>
        </w:trPr>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Saberisani et al., 2025 [6]</w:t>
            </w:r>
          </w:p>
        </w:tc>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Predict football injury occurrence from external GPS load metrics</w:t>
            </w:r>
          </w:p>
        </w:tc>
        <w:tc>
          <w:tcPr>
            <w:tcW w:type="dxa" w:w="15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Decision-tree classification on acute:chronic workload ratio (1:3 week) features</w:t>
            </w:r>
          </w:p>
        </w:tc>
        <w:tc>
          <w:tcPr>
            <w:tcW w:type="dxa" w:w="14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GPS data from 25 players, 214 training and 34 competition sessions, Persian Gulf Pro League</w:t>
            </w:r>
          </w:p>
        </w:tc>
        <w:tc>
          <w:tcPr>
            <w:tcW w:type="dxa" w:w="17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High- and moderate-speed running distance and deceleration counts were the strongest predictors of injury occurrence</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Small single-team sample (n = 25); no single variable alone gave strong predictive power</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Multivariate fusion of workload variables rather than single-metric thresholds</w:t>
            </w:r>
          </w:p>
        </w:tc>
      </w:tr>
      <w:tr>
        <w:trPr>
          <w:cantSplit w:val="false"/>
          <w:tblHeader w:val="false"/>
        </w:trPr>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Xu et al., 2025 [7]</w:t>
            </w:r>
          </w:p>
        </w:tc>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Build and validate a practical ML injury-risk model for professional athletes</w:t>
            </w:r>
          </w:p>
        </w:tc>
        <w:tc>
          <w:tcPr>
            <w:tcW w:type="dxa" w:w="15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LASSO + recursive feature elimination for feature selection; SMOTE for class imbalance; multiple ML classifiers compared</w:t>
            </w:r>
          </w:p>
        </w:tc>
        <w:tc>
          <w:tcPr>
            <w:tcW w:type="dxa" w:w="14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300 male professional football players monitored over two seasons (2021–2022); workload, recovery, wellness, HRV, injury history</w:t>
            </w:r>
          </w:p>
        </w:tc>
        <w:tc>
          <w:tcPr>
            <w:tcW w:type="dxa" w:w="17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Feature-selected, class-balanced ML pipeline improves detection of musculoskeletal injury risk over naive baselines</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Single-sport, single-sex cohort; simulated/derived features may not generalize to other sports</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Validation across mixed-sex, multi-sport cohorts with prospective deployment</w:t>
            </w:r>
          </w:p>
        </w:tc>
      </w:tr>
      <w:tr>
        <w:trPr>
          <w:cantSplit w:val="false"/>
          <w:tblHeader w:val="false"/>
        </w:trPr>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Souaifi et al., 2025 [8]</w:t>
            </w:r>
          </w:p>
        </w:tc>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Map how AI is used in sports biomechanics for performance and injury prevention</w:t>
            </w:r>
          </w:p>
        </w:tc>
        <w:tc>
          <w:tcPr>
            <w:tcW w:type="dxa" w:w="15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PRISMA-ScR scoping review, 5 databases, 2015–2024, 73 included studies</w:t>
            </w:r>
          </w:p>
        </w:tc>
        <w:tc>
          <w:tcPr>
            <w:tcW w:type="dxa" w:w="14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Wearable IMU/motion-analysis literature synthesized across included studies</w:t>
            </w:r>
          </w:p>
        </w:tc>
        <w:tc>
          <w:tcPr>
            <w:tcW w:type="dxa" w:w="17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Wearable-plus-AI pipelines increasingly support real-time biomechanical monitoring, but ethical and translational gaps persist</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Heterogeneous outcome reporting across studies limits pooled conclusions</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Reproducible, ethically governed biomechanical AI pipelines for routine deployment</w:t>
            </w:r>
          </w:p>
        </w:tc>
      </w:tr>
      <w:tr>
        <w:trPr>
          <w:cantSplit w:val="false"/>
          <w:tblHeader w:val="false"/>
        </w:trPr>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Lee, Chang &amp; Li, 2026 [9]</w:t>
            </w:r>
          </w:p>
        </w:tc>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Systematically review empirical (not just review-level) AI applications in sports-injury prediction</w:t>
            </w:r>
          </w:p>
        </w:tc>
        <w:tc>
          <w:tcPr>
            <w:tcW w:type="dxa" w:w="15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Systematic review of empirical ML/AI injury-prediction studies</w:t>
            </w:r>
          </w:p>
        </w:tc>
        <w:tc>
          <w:tcPr>
            <w:tcW w:type="dxa" w:w="14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Empirical AI injury-prediction literature</w:t>
            </w:r>
          </w:p>
        </w:tc>
        <w:tc>
          <w:tcPr>
            <w:tcW w:type="dxa" w:w="17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Reinforces that tree-based ensemble methods dominate reported performance, consistent with [3]</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Empirical base still dominated by single-sport, single-institution studies</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Multi-institution empirical benchmarking of AI injury models</w:t>
            </w:r>
          </w:p>
        </w:tc>
      </w:tr>
      <w:tr>
        <w:trPr>
          <w:cantSplit w:val="false"/>
          <w:tblHeader w:val="false"/>
        </w:trPr>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Yuan et al., 2026 [10]</w:t>
            </w:r>
          </w:p>
        </w:tc>
        <w:tc>
          <w:tcPr>
            <w:tcW w:type="dxa" w:w="10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Review ML models used to guide return-to-sport (RTS) decisions after injury</w:t>
            </w:r>
          </w:p>
        </w:tc>
        <w:tc>
          <w:tcPr>
            <w:tcW w:type="dxa" w:w="15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Systematic review of ML-based RTS prediction studies</w:t>
            </w:r>
          </w:p>
        </w:tc>
        <w:tc>
          <w:tcPr>
            <w:tcW w:type="dxa" w:w="14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Post-injury/rehabilitation ML literature</w:t>
            </w:r>
          </w:p>
        </w:tc>
        <w:tc>
          <w:tcPr>
            <w:tcW w:type="dxa" w:w="17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ML is increasingly applied not only to pre-injury risk but to post-injury RTS-readiness decisions</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RTS models are evaluated separately from pre-injury risk models, with little integration between the two</w:t>
            </w:r>
          </w:p>
        </w:tc>
        <w:tc>
          <w:tcPr>
            <w:tcW w:type="dxa" w:w="1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End-to-end pipelines linking pre-injury risk prediction to post-injury RTS decision support</w:t>
            </w:r>
          </w:p>
        </w:tc>
      </w:tr>
    </w:tbl>
    <w:p>
      <w:pPr>
        <w:spacing w:before="200"/>
      </w:pPr>
    </w:p>
    <w:p>
      <w:pPr>
        <w:pStyle w:val="Heading2"/>
        <w:spacing w:after="160" w:before="280"/>
      </w:pPr>
      <w:r>
        <w:rPr>
          <w:rFonts w:ascii="Calibri" w:cs="Calibri" w:eastAsia="Calibri" w:hAnsi="Calibri"/>
        </w:rPr>
        <w:t xml:space="preserve">3.2 Comparison by Detection Performance</w:t>
      </w:r>
    </w:p>
    <w:p>
      <w:pPr>
        <w:spacing w:after="160"/>
      </w:pPr>
      <w:r>
        <w:rPr>
          <w:rFonts w:ascii="Calibri" w:cs="Calibri" w:eastAsia="Calibri" w:hAnsi="Calibri"/>
          <w:sz w:val="22"/>
          <w:szCs w:val="22"/>
        </w:rPr>
        <w:t xml:space="preserve">Where papers report a headline performance figure, tree-based ensemble methods recur as the strongest performers: the scoping review by Leckey et al. [3] reports Random Forest and XGBoost giving the highest predictive performance in 60% of the studies it surveys, a finding echoed by the empirical cross-check in Lee, Chang &amp; Li [9]. Study-level papers such as Xu et al. [7] and Saberisani et al. [6] report performance in terms of feature importance and classifier comparison rather than a single consolidated accuracy figure, since injury events are rare and class-imbalance handling (as in [7]) changes how accuracy should be interpreted. Amendolara et al. [2] caution that headline performance figures across this literature are not always comparable, since study cohorts, injury definitions and prediction windows vary considerably — an inconsistency also flagged directly by Leckey et al. [3].</w:t>
      </w:r>
    </w:p>
    <w:p>
      <w:pPr>
        <w:pStyle w:val="Heading2"/>
        <w:spacing w:after="160" w:before="280"/>
      </w:pPr>
      <w:r>
        <w:rPr>
          <w:rFonts w:ascii="Calibri" w:cs="Calibri" w:eastAsia="Calibri" w:hAnsi="Calibri"/>
        </w:rPr>
        <w:t xml:space="preserve">3.3 Comparison by Methodology Type</w:t>
      </w:r>
    </w:p>
    <w:p>
      <w:pPr>
        <w:spacing w:after="160"/>
      </w:pPr>
      <w:r>
        <w:rPr>
          <w:rFonts w:ascii="Calibri" w:cs="Calibri" w:eastAsia="Calibri" w:hAnsi="Calibri"/>
          <w:sz w:val="22"/>
          <w:szCs w:val="22"/>
        </w:rPr>
        <w:t xml:space="preserve">The reviewed literature falls into four broad methodology families. Broad and scoping reviews [1], [2], [3], [4], [9] synthesize the field rather than proposing new systems, tracking how algorithm choice and reported performance evolve over time. GPS/wearable-workload studies [5], [6] rely on training-load features derived from GPS or IMU telemetry feeding a classifier such as a decision tree. Classical ML comparison and pipeline studies [7] evaluate feature selection, missing-data handling and class-imbalance correction alongside model choice on richer, multi-source athlete-monitoring data. Deep-learning/biomechanics and return-to-sport studies [8], [10] extend the scope beyond simple pre-injury classification toward motion-analysis-based prevention and post-injury recovery decision support.</w:t>
      </w:r>
    </w:p>
    <w:p>
      <w:pPr>
        <w:pStyle w:val="Heading2"/>
        <w:spacing w:after="160" w:before="280"/>
      </w:pPr>
      <w:r>
        <w:rPr>
          <w:rFonts w:ascii="Calibri" w:cs="Calibri" w:eastAsia="Calibri" w:hAnsi="Calibri"/>
        </w:rPr>
        <w:t xml:space="preserve">3.4 Comparison by Scalability and Deployment Readiness</w:t>
      </w:r>
    </w:p>
    <w:p>
      <w:pPr>
        <w:spacing w:after="160"/>
      </w:pPr>
      <w:r>
        <w:rPr>
          <w:rFonts w:ascii="Calibri" w:cs="Calibri" w:eastAsia="Calibri" w:hAnsi="Calibri"/>
          <w:sz w:val="22"/>
          <w:szCs w:val="22"/>
        </w:rPr>
        <w:t xml:space="preserve">Deployment readiness varies considerably across the reviewed body of work. The GPS-based studies [5], [6] were evaluated against real training and match data from professional clubs, giving them a practical head start, but both remain confined to a single club or league. The ML-pipeline study by Xu et al. [7] addresses several practical deployment prerequisites — missing data, class imbalance, feature selection — at a two-season, 300-player scale, but stays within a single sport and sex. The broad reviews [1], [2], [3], [4], [9] collectively confirm that no reviewed study reports a live, multi-sport, multi-institution rollout that also connects pre-injury risk alerts to post-injury RTS decision support, which is precisely the integration gap the assigned platform's design must address.</w:t>
      </w:r>
    </w:p>
    <w:p>
      <w:pPr>
        <w:pStyle w:val="Heading1"/>
        <w:spacing w:after="160" w:before="280"/>
      </w:pPr>
      <w:r>
        <w:rPr>
          <w:rFonts w:ascii="Calibri" w:cs="Calibri" w:eastAsia="Calibri" w:hAnsi="Calibri"/>
        </w:rPr>
        <w:t xml:space="preserve">4. Limitations and Challenges of Existing Approaches</w:t>
      </w:r>
    </w:p>
    <w:p>
      <w:pPr>
        <w:spacing w:after="160"/>
      </w:pPr>
      <w:r>
        <w:rPr>
          <w:rFonts w:ascii="Calibri" w:cs="Calibri" w:eastAsia="Calibri" w:hAnsi="Calibri"/>
          <w:sz w:val="22"/>
          <w:szCs w:val="22"/>
        </w:rPr>
        <w:t xml:space="preserve">Beyond the paper-specific limitations listed in Table 1, several challenges recur across the body of literature as a whole:</w:t>
      </w:r>
    </w:p>
    <w:p>
      <w:pPr>
        <w:pStyle w:val="Heading2"/>
        <w:spacing w:after="160" w:before="280"/>
      </w:pPr>
      <w:r>
        <w:rPr>
          <w:rFonts w:ascii="Calibri" w:cs="Calibri" w:eastAsia="Calibri" w:hAnsi="Calibri"/>
        </w:rPr>
        <w:t xml:space="preserve">Data scarcity and benchmarking limitations</w:t>
      </w:r>
    </w:p>
    <w:p>
      <w:pPr>
        <w:spacing w:after="160"/>
      </w:pPr>
      <w:r>
        <w:rPr>
          <w:rFonts w:ascii="Calibri" w:cs="Calibri" w:eastAsia="Calibri" w:hAnsi="Calibri"/>
          <w:sz w:val="22"/>
          <w:szCs w:val="22"/>
        </w:rPr>
        <w:t xml:space="preserve">As Amendolara et al. [2] make explicit, the field still lacks open-source, uniform datasets, and most studies rely on single-club or single-institution cohorts rather than pooled, multi-source data. This means reported accuracy and AUC figures are not always directly comparable across studies, echoing the inconsistency in injury definitions and prediction windows flagged by Leckey et al. [3].</w:t>
      </w:r>
    </w:p>
    <w:p>
      <w:pPr>
        <w:pStyle w:val="Heading2"/>
        <w:spacing w:after="160" w:before="280"/>
      </w:pPr>
      <w:r>
        <w:rPr>
          <w:rFonts w:ascii="Calibri" w:cs="Calibri" w:eastAsia="Calibri" w:hAnsi="Calibri"/>
        </w:rPr>
        <w:t xml:space="preserve">Small and narrow cohorts</w:t>
      </w:r>
    </w:p>
    <w:p>
      <w:pPr>
        <w:spacing w:after="160"/>
      </w:pPr>
      <w:r>
        <w:rPr>
          <w:rFonts w:ascii="Calibri" w:cs="Calibri" w:eastAsia="Calibri" w:hAnsi="Calibri"/>
          <w:sz w:val="22"/>
          <w:szCs w:val="22"/>
        </w:rPr>
        <w:t xml:space="preserve">Several of the more technically detailed papers [5], [6], [7] validate their methods on a single club, a single league, or a modest player count (as few as 25 in [6]) rather than across multiple, heterogeneous teams or sports, limiting generalizability.</w:t>
      </w:r>
    </w:p>
    <w:p>
      <w:pPr>
        <w:pStyle w:val="Heading2"/>
        <w:spacing w:after="160" w:before="280"/>
      </w:pPr>
      <w:r>
        <w:rPr>
          <w:rFonts w:ascii="Calibri" w:cs="Calibri" w:eastAsia="Calibri" w:hAnsi="Calibri"/>
        </w:rPr>
        <w:t xml:space="preserve">Class imbalance and rare-event modeling</w:t>
      </w:r>
    </w:p>
    <w:p>
      <w:pPr>
        <w:spacing w:after="160"/>
      </w:pPr>
      <w:r>
        <w:rPr>
          <w:rFonts w:ascii="Calibri" w:cs="Calibri" w:eastAsia="Calibri" w:hAnsi="Calibri"/>
          <w:sz w:val="22"/>
          <w:szCs w:val="22"/>
        </w:rPr>
        <w:t xml:space="preserve">Injury events are inherently rare relative to total athlete-days monitored. Only Xu et al. [7] among the reviewed studies explicitly addresses this with resampling (SMOTE) and class-weighting strategies; most other studies do not report how imbalance was handled, which can inflate apparent accuracy while masking poor recall on the minority (injury) class.</w:t>
      </w:r>
    </w:p>
    <w:p>
      <w:pPr>
        <w:pStyle w:val="Heading2"/>
        <w:spacing w:after="160" w:before="280"/>
      </w:pPr>
      <w:r>
        <w:rPr>
          <w:rFonts w:ascii="Calibri" w:cs="Calibri" w:eastAsia="Calibri" w:hAnsi="Calibri"/>
        </w:rPr>
        <w:t xml:space="preserve">Integration with decision support and RTS workflows</w:t>
      </w:r>
    </w:p>
    <w:p>
      <w:pPr>
        <w:spacing w:after="160"/>
      </w:pPr>
      <w:r>
        <w:rPr>
          <w:rFonts w:ascii="Calibri" w:cs="Calibri" w:eastAsia="Calibri" w:hAnsi="Calibri"/>
          <w:sz w:val="22"/>
          <w:szCs w:val="22"/>
        </w:rPr>
        <w:t xml:space="preserve">Only Yuan et al. [10] addresses the post-injury return-to-sport decision explicitly, and it treats RTS modeling as a separate research stream from pre-injury risk prediction. None of the reviewed papers describe a single system that both predicts elevated pre-injury risk and subsequently supports RTS decisions after an injury occurs.</w:t>
      </w:r>
    </w:p>
    <w:p>
      <w:pPr>
        <w:pStyle w:val="Heading2"/>
        <w:spacing w:after="160" w:before="280"/>
      </w:pPr>
      <w:r>
        <w:rPr>
          <w:rFonts w:ascii="Calibri" w:cs="Calibri" w:eastAsia="Calibri" w:hAnsi="Calibri"/>
        </w:rPr>
        <w:t xml:space="preserve">Explainability and practitioner trust</w:t>
      </w:r>
    </w:p>
    <w:p>
      <w:pPr>
        <w:spacing w:after="160"/>
      </w:pPr>
      <w:r>
        <w:rPr>
          <w:rFonts w:ascii="Calibri" w:cs="Calibri" w:eastAsia="Calibri" w:hAnsi="Calibri"/>
          <w:sz w:val="22"/>
          <w:szCs w:val="22"/>
        </w:rPr>
        <w:t xml:space="preserve">With the partial exception of the feature-importance analysis in Saberisani et al. [6], the reviewed papers evaluate models primarily on statistical accuracy or AUC rather than on whether a coach or clinician can understand and trust a given risk alert enough to adjust an athlete's training load in response.</w:t>
      </w:r>
    </w:p>
    <w:p>
      <w:pPr>
        <w:pStyle w:val="Heading2"/>
        <w:spacing w:after="160" w:before="280"/>
      </w:pPr>
      <w:r>
        <w:rPr>
          <w:rFonts w:ascii="Calibri" w:cs="Calibri" w:eastAsia="Calibri" w:hAnsi="Calibri"/>
        </w:rPr>
        <w:t xml:space="preserve">False positives and alert fatigue</w:t>
      </w:r>
    </w:p>
    <w:p>
      <w:pPr>
        <w:spacing w:after="160"/>
      </w:pPr>
      <w:r>
        <w:rPr>
          <w:rFonts w:ascii="Calibri" w:cs="Calibri" w:eastAsia="Calibri" w:hAnsi="Calibri"/>
          <w:sz w:val="22"/>
          <w:szCs w:val="22"/>
        </w:rPr>
        <w:t xml:space="preserve">Few of the reviewed papers quantify false-positive rate as an operational concern in its own right, even though an excessive rate of false alerts is what would erode coach and medical-staff confidence in an automated system in practice.</w:t>
      </w:r>
    </w:p>
    <w:p>
      <w:pPr>
        <w:pStyle w:val="Heading1"/>
        <w:spacing w:after="160" w:before="280"/>
      </w:pPr>
      <w:r>
        <w:rPr>
          <w:rFonts w:ascii="Calibri" w:cs="Calibri" w:eastAsia="Calibri" w:hAnsi="Calibri"/>
        </w:rPr>
        <w:t xml:space="preserve">5. Identified Research Gaps</w:t>
      </w:r>
    </w:p>
    <w:p>
      <w:pPr>
        <w:spacing w:after="160"/>
      </w:pPr>
      <w:r>
        <w:rPr>
          <w:rFonts w:ascii="Calibri" w:cs="Calibri" w:eastAsia="Calibri" w:hAnsi="Calibri"/>
          <w:sz w:val="22"/>
          <w:szCs w:val="22"/>
        </w:rPr>
        <w:t xml:space="preserve">Synthesizing Sections 3 and 4, the following specific, unresolved gaps emerge from the reviewed literature: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cantSplit w:val="false"/>
          <w:tblHeader/>
        </w:trPr>
        <w:tc>
          <w:tcPr>
            <w:tcW w:type="dxa" w:w="900"/>
            <w:shd w:fill="1F3864" w:val="clear"/>
            <w:tcMar>
              <w:top w:type="dxa" w:w="80"/>
              <w:left w:type="dxa" w:w="100"/>
              <w:bottom w:type="dxa" w:w="80"/>
              <w:right w:type="dxa" w:w="100"/>
            </w:tcMar>
            <w:vAlign w:val="top"/>
          </w:tcPr>
          <w:p>
            <w:pPr>
              <w:spacing w:after="60"/>
            </w:pPr>
            <w:r>
              <w:rPr>
                <w:rFonts w:ascii="Calibri" w:cs="Calibri" w:eastAsia="Calibri" w:hAnsi="Calibri"/>
                <w:b/>
                <w:bCs/>
                <w:color w:val="FFFFFF"/>
                <w:sz w:val="18"/>
                <w:szCs w:val="18"/>
              </w:rPr>
              <w:t xml:space="preserve">Gap</w:t>
            </w:r>
          </w:p>
        </w:tc>
        <w:tc>
          <w:tcPr>
            <w:tcW w:type="dxa" w:w="8100"/>
            <w:shd w:fill="1F3864" w:val="clear"/>
            <w:tcMar>
              <w:top w:type="dxa" w:w="80"/>
              <w:left w:type="dxa" w:w="100"/>
              <w:bottom w:type="dxa" w:w="80"/>
              <w:right w:type="dxa" w:w="100"/>
            </w:tcMar>
            <w:vAlign w:val="top"/>
          </w:tcPr>
          <w:p>
            <w:pPr>
              <w:spacing w:after="60"/>
            </w:pPr>
            <w:r>
              <w:rPr>
                <w:rFonts w:ascii="Calibri" w:cs="Calibri" w:eastAsia="Calibri" w:hAnsi="Calibri"/>
                <w:b/>
                <w:bCs/>
                <w:color w:val="FFFFFF"/>
                <w:sz w:val="18"/>
                <w:szCs w:val="18"/>
              </w:rPr>
              <w:t xml:space="preserve">Description</w:t>
            </w:r>
          </w:p>
        </w:tc>
      </w:tr>
      <w:tr>
        <w:trPr>
          <w:cantSplit w:val="false"/>
          <w:tblHeader w:val="false"/>
        </w:trPr>
        <w:tc>
          <w:tcPr>
            <w:tcW w:type="dxa" w:w="9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RG1</w:t>
            </w:r>
          </w:p>
        </w:tc>
        <w:tc>
          <w:tcPr>
            <w:tcW w:type="dxa" w:w="81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No reviewed study integrates pre-injury risk prediction, in-session alerting, and post-injury return-to-sport (RTS) decision support into a single closed-loop, field-validated system; most work treats these as separate problems [3], [10].</w:t>
            </w:r>
          </w:p>
        </w:tc>
      </w:tr>
      <w:tr>
        <w:trPr>
          <w:cantSplit w:val="false"/>
          <w:tblHeader w:val="false"/>
        </w:trPr>
        <w:tc>
          <w:tcPr>
            <w:tcW w:type="dxa" w:w="9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RG2</w:t>
            </w:r>
          </w:p>
        </w:tc>
        <w:tc>
          <w:tcPr>
            <w:tcW w:type="dxa" w:w="81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Standardized, publicly available, multi-sport, multi-institution benchmark datasets remain scarce; cohorts are typically single-club, single-sport and modest in size, limiting cross-study comparison [2], [6], [7].</w:t>
            </w:r>
          </w:p>
        </w:tc>
      </w:tr>
      <w:tr>
        <w:trPr>
          <w:cantSplit w:val="false"/>
          <w:tblHeader w:val="false"/>
        </w:trPr>
        <w:tc>
          <w:tcPr>
            <w:tcW w:type="dxa" w:w="9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RG3</w:t>
            </w:r>
          </w:p>
        </w:tc>
        <w:tc>
          <w:tcPr>
            <w:tcW w:type="dxa" w:w="81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Multimodal fusion of GPS/workload, wearable IMU/biomechanical, physiological (HRV) and psychological indicators is rarely combined in one deployed system; each reviewed study specializes in a narrow modality [5], [8].</w:t>
            </w:r>
          </w:p>
        </w:tc>
      </w:tr>
      <w:tr>
        <w:trPr>
          <w:cantSplit w:val="false"/>
          <w:tblHeader w:val="false"/>
        </w:trPr>
        <w:tc>
          <w:tcPr>
            <w:tcW w:type="dxa" w:w="9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RG4</w:t>
            </w:r>
          </w:p>
        </w:tc>
        <w:tc>
          <w:tcPr>
            <w:tcW w:type="dxa" w:w="81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Explainability and coach/clinician trust are largely unaddressed; models are evaluated on accuracy or AUC alone rather than on whether a practitioner can act confidently on a given alert [3], [4].</w:t>
            </w:r>
          </w:p>
        </w:tc>
      </w:tr>
      <w:tr>
        <w:trPr>
          <w:cantSplit w:val="false"/>
          <w:tblHeader w:val="false"/>
        </w:trPr>
        <w:tc>
          <w:tcPr>
            <w:tcW w:type="dxa" w:w="9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RG5</w:t>
            </w:r>
          </w:p>
        </w:tc>
        <w:tc>
          <w:tcPr>
            <w:tcW w:type="dxa" w:w="81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Reported prediction windows and injury definitions vary widely across studies, undermining clinical and operational comparability of headline performance figures [3].</w:t>
            </w:r>
          </w:p>
        </w:tc>
      </w:tr>
      <w:tr>
        <w:trPr>
          <w:cantSplit w:val="false"/>
          <w:tblHeader w:val="false"/>
        </w:trPr>
        <w:tc>
          <w:tcPr>
            <w:tcW w:type="dxa" w:w="9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RG6</w:t>
            </w:r>
          </w:p>
        </w:tc>
        <w:tc>
          <w:tcPr>
            <w:tcW w:type="dxa" w:w="81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Class imbalance (injuries are rare events) is inconsistently handled; only some studies apply resampling or reweighting strategies such as SMOTE, and few report false-positive/alert-fatigue metrics as first-class outcomes [7].</w:t>
            </w:r>
          </w:p>
        </w:tc>
      </w:tr>
    </w:tbl>
    <w:p>
      <w:pPr>
        <w:spacing w:before="200"/>
      </w:pPr>
    </w:p>
    <w:p>
      <w:pPr>
        <w:pStyle w:val="Heading1"/>
        <w:spacing w:after="160" w:before="280"/>
      </w:pPr>
      <w:r>
        <w:rPr>
          <w:rFonts w:ascii="Calibri" w:cs="Calibri" w:eastAsia="Calibri" w:hAnsi="Calibri"/>
        </w:rPr>
        <w:t xml:space="preserve">6. Future Research Directions</w:t>
      </w:r>
    </w:p>
    <w:p>
      <w:pPr>
        <w:spacing w:after="160"/>
      </w:pPr>
      <w:r>
        <w:rPr>
          <w:rFonts w:ascii="Calibri" w:cs="Calibri" w:eastAsia="Calibri" w:hAnsi="Calibri"/>
          <w:sz w:val="22"/>
          <w:szCs w:val="22"/>
        </w:rPr>
        <w:t xml:space="preserve">Each proposed direction below responds to one of the research gaps identified in Section 5, and each is chosen for direct relevance to the assigned Injury Risk Prediction System for Athletes Using Performance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cantSplit w:val="false"/>
          <w:tblHeader/>
        </w:trPr>
        <w:tc>
          <w:tcPr>
            <w:tcW w:type="dxa" w:w="1400"/>
            <w:shd w:fill="1F3864" w:val="clear"/>
            <w:tcMar>
              <w:top w:type="dxa" w:w="80"/>
              <w:left w:type="dxa" w:w="100"/>
              <w:bottom w:type="dxa" w:w="80"/>
              <w:right w:type="dxa" w:w="100"/>
            </w:tcMar>
            <w:vAlign w:val="top"/>
          </w:tcPr>
          <w:p>
            <w:pPr>
              <w:spacing w:after="60"/>
            </w:pPr>
            <w:r>
              <w:rPr>
                <w:rFonts w:ascii="Calibri" w:cs="Calibri" w:eastAsia="Calibri" w:hAnsi="Calibri"/>
                <w:b/>
                <w:bCs/>
                <w:color w:val="FFFFFF"/>
                <w:sz w:val="18"/>
                <w:szCs w:val="18"/>
              </w:rPr>
              <w:t xml:space="preserve">Direction</w:t>
            </w:r>
          </w:p>
        </w:tc>
        <w:tc>
          <w:tcPr>
            <w:tcW w:type="dxa" w:w="7600"/>
            <w:shd w:fill="1F3864" w:val="clear"/>
            <w:tcMar>
              <w:top w:type="dxa" w:w="80"/>
              <w:left w:type="dxa" w:w="100"/>
              <w:bottom w:type="dxa" w:w="80"/>
              <w:right w:type="dxa" w:w="100"/>
            </w:tcMar>
            <w:vAlign w:val="top"/>
          </w:tcPr>
          <w:p>
            <w:pPr>
              <w:spacing w:after="60"/>
            </w:pPr>
            <w:r>
              <w:rPr>
                <w:rFonts w:ascii="Calibri" w:cs="Calibri" w:eastAsia="Calibri" w:hAnsi="Calibri"/>
                <w:b/>
                <w:bCs/>
                <w:color w:val="FFFFFF"/>
                <w:sz w:val="18"/>
                <w:szCs w:val="18"/>
              </w:rPr>
              <w:t xml:space="preserve">Description</w:t>
            </w:r>
          </w:p>
        </w:tc>
      </w:tr>
      <w:tr>
        <w:trPr>
          <w:cantSplit w:val="false"/>
          <w:tblHeader w:val="false"/>
        </w:trPr>
        <w:tc>
          <w:tcPr>
            <w:tcW w:type="dxa" w:w="14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FD1 (addresses RG1)</w:t>
            </w:r>
          </w:p>
        </w:tc>
        <w:tc>
          <w:tcPr>
            <w:tcW w:type="dxa" w:w="7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Extend detection research into closed-loop pipelines that couple a confirmed elevated-risk alert to a coach/clinician-approved training-load adjustment and, after any injury, feed outcome data into a linked RTS model — the risk-to-recovery workflow an athlete-monitoring platform should support.</w:t>
            </w:r>
          </w:p>
        </w:tc>
      </w:tr>
      <w:tr>
        <w:trPr>
          <w:cantSplit w:val="false"/>
          <w:tblHeader w:val="false"/>
        </w:trPr>
        <w:tc>
          <w:tcPr>
            <w:tcW w:type="dxa" w:w="14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FD2 (addresses RG2)</w:t>
            </w:r>
          </w:p>
        </w:tc>
        <w:tc>
          <w:tcPr>
            <w:tcW w:type="dxa" w:w="7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Publish field-validated, multi-club, multi-sport benchmark datasets (GPS, IMU, HRV and wellness telemetry with labeled injury events) so future models can be compared on a common, representative basis.</w:t>
            </w:r>
          </w:p>
        </w:tc>
      </w:tr>
      <w:tr>
        <w:trPr>
          <w:cantSplit w:val="false"/>
          <w:tblHeader w:val="false"/>
        </w:trPr>
        <w:tc>
          <w:tcPr>
            <w:tcW w:type="dxa" w:w="14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FD3 (addresses RG3)</w:t>
            </w:r>
          </w:p>
        </w:tc>
        <w:tc>
          <w:tcPr>
            <w:tcW w:type="dxa" w:w="7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Investigate multimodal fusion models that combine workload, biomechanical, physiological and psychological features, since each single-modality system reviewed here showed characteristic blind spots another modality could plausibly cover.</w:t>
            </w:r>
          </w:p>
        </w:tc>
      </w:tr>
      <w:tr>
        <w:trPr>
          <w:cantSplit w:val="false"/>
          <w:tblHeader w:val="false"/>
        </w:trPr>
        <w:tc>
          <w:tcPr>
            <w:tcW w:type="dxa" w:w="14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FD4 (addresses RG4)</w:t>
            </w:r>
          </w:p>
        </w:tc>
        <w:tc>
          <w:tcPr>
            <w:tcW w:type="dxa" w:w="7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Apply explainable-AI techniques (feature-attribution methods, interpretable tree ensembles) to injury-risk alerts so coaching and medical staff can validate a model's reasoning before adjusting training load.</w:t>
            </w:r>
          </w:p>
        </w:tc>
      </w:tr>
      <w:tr>
        <w:trPr>
          <w:cantSplit w:val="false"/>
          <w:tblHeader w:val="false"/>
        </w:trPr>
        <w:tc>
          <w:tcPr>
            <w:tcW w:type="dxa" w:w="14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FD5 (addresses RG5)</w:t>
            </w:r>
          </w:p>
        </w:tc>
        <w:tc>
          <w:tcPr>
            <w:tcW w:type="dxa" w:w="7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Adopt a standardized reporting protocol for injury definition and prediction-window length so that accuracy, AUC and precision/recall figures are directly comparable across future studies.</w:t>
            </w:r>
          </w:p>
        </w:tc>
      </w:tr>
      <w:tr>
        <w:trPr>
          <w:cantSplit w:val="false"/>
          <w:tblHeader w:val="false"/>
        </w:trPr>
        <w:tc>
          <w:tcPr>
            <w:tcW w:type="dxa" w:w="14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FD6 (addresses RG6)</w:t>
            </w:r>
          </w:p>
        </w:tc>
        <w:tc>
          <w:tcPr>
            <w:tcW w:type="dxa" w:w="7600"/>
            <w:tcMar>
              <w:top w:type="dxa" w:w="80"/>
              <w:left w:type="dxa" w:w="100"/>
              <w:bottom w:type="dxa" w:w="80"/>
              <w:right w:type="dxa" w:w="100"/>
            </w:tcMar>
            <w:vAlign w:val="top"/>
          </w:tcPr>
          <w:p>
            <w:pPr>
              <w:spacing w:after="60"/>
            </w:pPr>
            <w:r>
              <w:rPr>
                <w:rFonts w:ascii="Calibri" w:cs="Calibri" w:eastAsia="Calibri" w:hAnsi="Calibri"/>
                <w:b w:val="false"/>
                <w:bCs w:val="false"/>
                <w:sz w:val="18"/>
                <w:szCs w:val="18"/>
              </w:rPr>
              <w:t xml:space="preserve">Track false-positive rate and alert fatigue as explicit, first-class deployment metrics alongside detection accuracy, and evaluate class-imbalance handling strategies systematically rather than as an incidental modeling step.</w:t>
            </w:r>
          </w:p>
        </w:tc>
      </w:tr>
    </w:tbl>
    <w:p>
      <w:pPr>
        <w:spacing w:before="200"/>
      </w:pPr>
    </w:p>
    <w:p>
      <w:pPr>
        <w:pStyle w:val="Heading1"/>
        <w:spacing w:after="160" w:before="280"/>
      </w:pPr>
      <w:r>
        <w:rPr>
          <w:rFonts w:ascii="Calibri" w:cs="Calibri" w:eastAsia="Calibri" w:hAnsi="Calibri"/>
        </w:rPr>
        <w:t xml:space="preserve">7. Conclusion</w:t>
      </w:r>
    </w:p>
    <w:p>
      <w:pPr>
        <w:spacing w:after="160"/>
      </w:pPr>
      <w:r>
        <w:rPr>
          <w:rFonts w:ascii="Calibri" w:cs="Calibri" w:eastAsia="Calibri" w:hAnsi="Calibri"/>
          <w:sz w:val="22"/>
          <w:szCs w:val="22"/>
        </w:rPr>
        <w:t xml:space="preserve">This survey reviewed ten peer-reviewed papers spanning broad and scoping reviews of AI in sports-injury prediction, GPS/wearable-workload studies, a multi-season classical-ML pipeline study, a deep-learning/biomechanics scoping review, and a systematic review of return-to-sport decision models. Across this body of work, tree-based ensemble methods (Random Forest, XGBoost) and GPS/wearable-derived workload features recur as the strongest and most practical predictors of athlete injury risk, and at least one study validates a full feature-selection, imputation and class-imbalance pipeline at a multi-season, 300-athlete scale. What remains underdeveloped is the layer above detection: standardized benchmark datasets and injury definitions, multimodal sensor fusion, explainability for coach and clinician trust, systematic class-imbalance and false-positive management, and closed-loop integration linking pre-injury risk alerts to post-injury return-to-sport decisions.</w:t>
      </w:r>
    </w:p>
    <w:p>
      <w:pPr>
        <w:spacing w:after="160"/>
      </w:pPr>
      <w:r>
        <w:rPr>
          <w:rFonts w:ascii="Calibri" w:cs="Calibri" w:eastAsia="Calibri" w:hAnsi="Calibri"/>
          <w:sz w:val="22"/>
          <w:szCs w:val="22"/>
        </w:rPr>
        <w:t xml:space="preserve">These gaps map directly onto the design of the assigned Injury Risk Prediction System for Athletes Using Performance Data, which must combine performance and wearable telemetry, a leak-free and imbalance-aware risk-prediction model, an explainable alerting layer for coaches and medical staff, and a pathway from risk detection through to return-to-sport decision support. The future directions proposed in Section 6, particularly closed-loop risk-to-recovery workflows, field-generated multi-sport benchmark datasets, and standardized reporting of prediction windows and false-positive rates, are offered as concrete, literature-grounded next steps for that platform's continued development.</w:t>
      </w:r>
    </w:p>
    <w:p>
      <w:r>
        <w:br w:type="page"/>
      </w:r>
    </w:p>
    <w:p>
      <w:pPr>
        <w:pStyle w:val="Heading1"/>
        <w:spacing w:after="160" w:before="280"/>
      </w:pPr>
      <w:r>
        <w:rPr>
          <w:rFonts w:ascii="Calibri" w:cs="Calibri" w:eastAsia="Calibri" w:hAnsi="Calibri"/>
        </w:rPr>
        <w:t xml:space="preserve">8. References</w:t>
      </w:r>
    </w:p>
    <w:p>
      <w:pPr>
        <w:spacing w:after="160"/>
      </w:pPr>
      <w:r>
        <w:rPr>
          <w:rFonts w:ascii="Calibri" w:cs="Calibri" w:eastAsia="Calibri" w:hAnsi="Calibri"/>
          <w:sz w:val="22"/>
          <w:szCs w:val="22"/>
        </w:rPr>
        <w:t xml:space="preserve">References are listed in IEEE numbered style, in the order first cited in this document.</w:t>
      </w:r>
    </w:p>
    <w:p>
      <w:pPr>
        <w:spacing w:after="200"/>
      </w:pPr>
      <w:r>
        <w:rPr>
          <w:rFonts w:ascii="Calibri" w:cs="Calibri" w:eastAsia="Calibri" w:hAnsi="Calibri"/>
          <w:sz w:val="22"/>
          <w:szCs w:val="22"/>
        </w:rPr>
        <w:t xml:space="preserve">[1] J. G. Claudino, D. O. Capanema, T. V. de Souza, J. C. Serrão, A. C. Machado Pereira, and G. P. Nassis, “Current Approaches to the Use of Artificial Intelligence for Injury Risk Assessment and Performance Prediction in Team Sports: a Systematic Review,” Sports Medicine - Open, vol. 5, p. 28, 2019, doi: 10.1186/s40798-019-0202-3.</w:t>
      </w:r>
    </w:p>
    <w:p>
      <w:pPr>
        <w:spacing w:after="200"/>
      </w:pPr>
      <w:r>
        <w:rPr>
          <w:rFonts w:ascii="Calibri" w:cs="Calibri" w:eastAsia="Calibri" w:hAnsi="Calibri"/>
          <w:sz w:val="22"/>
          <w:szCs w:val="22"/>
        </w:rPr>
        <w:t xml:space="preserve">[2] A. Amendolara, D. Pfister, M. Settelmayer, M. Shah, V. Wu, S. Donnelly, B. Johnston, R. Peterson, D. Sant, J. Kriak, and K. Bills, “An Overview of Machine Learning Applications in Sports Injury Prediction,” Cureus, vol. 15, no. 9, e46170, 2023, doi: 10.7759/cureus.46170.</w:t>
      </w:r>
    </w:p>
    <w:p>
      <w:pPr>
        <w:spacing w:after="200"/>
      </w:pPr>
      <w:r>
        <w:rPr>
          <w:rFonts w:ascii="Calibri" w:cs="Calibri" w:eastAsia="Calibri" w:hAnsi="Calibri"/>
          <w:sz w:val="22"/>
          <w:szCs w:val="22"/>
        </w:rPr>
        <w:t xml:space="preserve">[3] C. Leckey, N. Van Dyk, C. Doherty, et al., “Machine learning approaches to injury risk prediction in sport: a scoping review with evidence synthesis,” British Journal of Sports Medicine, vol. 59, pp. 491–500, 2025.</w:t>
      </w:r>
    </w:p>
    <w:p>
      <w:pPr>
        <w:spacing w:after="200"/>
      </w:pPr>
      <w:r>
        <w:rPr>
          <w:rFonts w:ascii="Calibri" w:cs="Calibri" w:eastAsia="Calibri" w:hAnsi="Calibri"/>
          <w:sz w:val="22"/>
          <w:szCs w:val="22"/>
        </w:rPr>
        <w:t xml:space="preserve">[4] H. Van Eetvelde, L. D. Mendonça, C. Ley, R. Seil, and T. Tischer, “Machine learning methods in sport injury prediction and prevention: a systematic review,” Journal of Experimental Orthopaedics, vol. 8, p. 27, 2021.</w:t>
      </w:r>
    </w:p>
    <w:p>
      <w:pPr>
        <w:spacing w:after="200"/>
      </w:pPr>
      <w:r>
        <w:rPr>
          <w:rFonts w:ascii="Calibri" w:cs="Calibri" w:eastAsia="Calibri" w:hAnsi="Calibri"/>
          <w:sz w:val="22"/>
          <w:szCs w:val="22"/>
        </w:rPr>
        <w:t xml:space="preserve">[5] T. Piłka, B. Grzelak, A. Sadurska, T. Górecki, and K. Dyczkowski, “Predicting Injuries in Football Based on Data Collected from GPS-Based Wearable Sensors,” Sensors, vol. 23, no. 3, p. 1227, 2023, doi: 10.3390/s23031227.</w:t>
      </w:r>
    </w:p>
    <w:p>
      <w:pPr>
        <w:spacing w:after="200"/>
      </w:pPr>
      <w:r>
        <w:rPr>
          <w:rFonts w:ascii="Calibri" w:cs="Calibri" w:eastAsia="Calibri" w:hAnsi="Calibri"/>
          <w:sz w:val="22"/>
          <w:szCs w:val="22"/>
        </w:rPr>
        <w:t xml:space="preserve">[6] R. Saberisani, A. H. Barati, M. Zarei, P. Santos, A. Gorouhi, L. P. Ardigò, and H. Nobari, “Prediction of football injuries using GPS-based data in Iranian professional football players: a machine learning approach,” Frontiers in Sports and Active Living, vol. 7, p. 1425180, 2025, doi: 10.3389/fspor.2025.1425180.</w:t>
      </w:r>
    </w:p>
    <w:p>
      <w:pPr>
        <w:spacing w:after="200"/>
      </w:pPr>
      <w:r>
        <w:rPr>
          <w:rFonts w:ascii="Calibri" w:cs="Calibri" w:eastAsia="Calibri" w:hAnsi="Calibri"/>
          <w:sz w:val="22"/>
          <w:szCs w:val="22"/>
        </w:rPr>
        <w:t xml:space="preserve">[7] Z. Xu, W. Sun, H. Qian, and M. Yao, “Construction and application of a model for predicting athletes’ injury risk based on machine learning,” BMC Medical Informatics and Decision Making, 2025, doi: 10.1186/s12911-025-03331-x.</w:t>
      </w:r>
    </w:p>
    <w:p>
      <w:pPr>
        <w:spacing w:after="200"/>
      </w:pPr>
      <w:r>
        <w:rPr>
          <w:rFonts w:ascii="Calibri" w:cs="Calibri" w:eastAsia="Calibri" w:hAnsi="Calibri"/>
          <w:sz w:val="22"/>
          <w:szCs w:val="22"/>
        </w:rPr>
        <w:t xml:space="preserve">[8] M. Souaifi, W. Dhahbi, N. Jebabli, H. İ. Ceylan, M. Boujabli, R. I. Muntean, and I. Dergaa, “Artificial Intelligence in Sports Biomechanics: A Scoping Review on Wearable Technology, Motion Analysis, and Injury Prevention,” Bioengineering, vol. 12, no. 8, p. 887, 2025, doi: 10.3390/bioengineering12080887.</w:t>
      </w:r>
    </w:p>
    <w:p>
      <w:pPr>
        <w:spacing w:after="200"/>
      </w:pPr>
      <w:r>
        <w:rPr>
          <w:rFonts w:ascii="Calibri" w:cs="Calibri" w:eastAsia="Calibri" w:hAnsi="Calibri"/>
          <w:sz w:val="22"/>
          <w:szCs w:val="22"/>
        </w:rPr>
        <w:t xml:space="preserve">[9] C.-H. Lee, M.-H. Chang, and Z.-H. Li, “From data to prevention: A systematic review of artificial intelligence applications in sports injury prediction,” 2026, doi: 10.1177/09287329261455797.</w:t>
      </w:r>
    </w:p>
    <w:p>
      <w:pPr>
        <w:spacing w:after="200"/>
      </w:pPr>
      <w:r>
        <w:rPr>
          <w:rFonts w:ascii="Calibri" w:cs="Calibri" w:eastAsia="Calibri" w:hAnsi="Calibri"/>
          <w:sz w:val="22"/>
          <w:szCs w:val="22"/>
        </w:rPr>
        <w:t xml:space="preserve">[10] J. Yuan, Z. Li, Q. Zeng, J. Li, A. Wang, Y. Zhang, and F. Xu, “From injury to comeback: A systematic review of machine learning models predicting return to sport in athletes,” Digital Health,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i/>
        <w:iCs/>
        <w:sz w:val="16"/>
        <w:szCs w:val="16"/>
      </w:rPr>
      <w:t xml:space="preserve">CSA10 - CO5 Research Paper Review / Literature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00"/>
    </w:pPr>
    <w:rPr>
      <w:rFonts w:ascii="Calibri" w:cs="Calibri" w:eastAsia="Calibri" w:hAnsi="Calibri"/>
      <w:b/>
      <w:bCs/>
      <w:color w:val="1F3864"/>
      <w:sz w:val="30"/>
      <w:szCs w:val="30"/>
    </w:rPr>
  </w:style>
  <w:style w:type="paragraph" w:styleId="Heading2">
    <w:name w:val="Heading 2"/>
    <w:basedOn w:val="Normal"/>
    <w:next w:val="Normal"/>
    <w:qFormat/>
    <w:pPr>
      <w:spacing w:after="160" w:before="240"/>
    </w:pPr>
    <w:rPr>
      <w:rFonts w:ascii="Calibri" w:cs="Calibri" w:eastAsia="Calibri" w:hAnsi="Calibri"/>
      <w:b/>
      <w:bCs/>
      <w:color w:val="2E539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2026-09-01T03:09:21.957Z</dcterms:created>
  <dcterms:modified xsi:type="dcterms:W3CDTF">2026-09-01T03:09:21.957Z</dcterms:modified>
</cp:coreProperties>
</file>

<file path=docProps/custom.xml><?xml version="1.0" encoding="utf-8"?>
<Properties xmlns="http://schemas.openxmlformats.org/officeDocument/2006/custom-properties" xmlns:vt="http://schemas.openxmlformats.org/officeDocument/2006/docPropsVTypes"/>
</file>