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CC388">
      <w:pPr>
        <w:jc w:val="center"/>
        <w:rPr>
          <w:rFonts w:hint="default" w:ascii="Times New Roman" w:hAnsi="Times New Roman" w:cs="Times New Roman"/>
        </w:rPr>
      </w:pPr>
      <w:r>
        <w:rPr>
          <w:rFonts w:hint="default" w:ascii="Times New Roman" w:hAnsi="Times New Roman" w:cs="Times New Roman"/>
          <w:b/>
          <w:bCs/>
          <w:color w:val="1F4E79"/>
          <w:sz w:val="30"/>
          <w:szCs w:val="30"/>
        </w:rPr>
        <w:t>SIMATS ENGINEERING (SAVEETHA SCHOOL OF ENGINEERING)</w:t>
      </w:r>
    </w:p>
    <w:p w14:paraId="0FC46344">
      <w:pPr>
        <w:spacing w:after="100"/>
        <w:jc w:val="center"/>
        <w:rPr>
          <w:rFonts w:hint="default" w:ascii="Times New Roman" w:hAnsi="Times New Roman" w:cs="Times New Roman"/>
        </w:rPr>
      </w:pPr>
      <w:r>
        <w:rPr>
          <w:rFonts w:hint="default" w:ascii="Times New Roman" w:hAnsi="Times New Roman" w:cs="Times New Roman"/>
          <w:b/>
          <w:bCs/>
          <w:color w:val="1F4E79"/>
          <w:sz w:val="24"/>
          <w:szCs w:val="24"/>
        </w:rPr>
        <w:t>Department of Computer Science and Engineering</w:t>
      </w:r>
    </w:p>
    <w:p w14:paraId="21897FA3">
      <w:pPr>
        <w:pBdr>
          <w:bottom w:val="single" w:color="1F4E79" w:sz="6" w:space="8"/>
        </w:pBdr>
        <w:spacing w:after="200"/>
        <w:jc w:val="center"/>
        <w:rPr>
          <w:rFonts w:hint="default" w:ascii="Times New Roman" w:hAnsi="Times New Roman" w:cs="Times New Roman"/>
        </w:rPr>
      </w:pPr>
      <w:r>
        <w:rPr>
          <w:rFonts w:hint="default" w:ascii="Times New Roman" w:hAnsi="Times New Roman" w:cs="Times New Roman"/>
          <w:b/>
          <w:bCs/>
          <w:color w:val="C00000"/>
          <w:sz w:val="26"/>
          <w:szCs w:val="26"/>
        </w:rPr>
        <w:t>CO4 ASSESSMENT TOOL 1 – Test Case Design Assignment</w:t>
      </w:r>
    </w:p>
    <w:p w14:paraId="7934D231">
      <w:pPr>
        <w:spacing w:after="150"/>
        <w:jc w:val="both"/>
        <w:rPr>
          <w:rFonts w:hint="default" w:ascii="Times New Roman" w:hAnsi="Times New Roman" w:cs="Times New Roman"/>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00"/>
        <w:gridCol w:w="1650"/>
        <w:gridCol w:w="2000"/>
      </w:tblGrid>
      <w:tr w14:paraId="5A239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100" w:type="dxa"/>
              <w:left w:w="120" w:type="dxa"/>
              <w:bottom w:w="100" w:type="dxa"/>
              <w:right w:w="120" w:type="dxa"/>
            </w:tcMar>
            <w:vAlign w:val="center"/>
          </w:tcPr>
          <w:p w14:paraId="2CB095CC">
            <w:pPr>
              <w:jc w:val="both"/>
              <w:rPr>
                <w:rFonts w:hint="default" w:ascii="Times New Roman" w:hAnsi="Times New Roman" w:cs="Times New Roman"/>
              </w:rPr>
            </w:pPr>
            <w:r>
              <w:rPr>
                <w:rFonts w:hint="default" w:ascii="Times New Roman" w:hAnsi="Times New Roman" w:cs="Times New Roman"/>
                <w:b/>
                <w:bCs/>
                <w:i w:val="0"/>
                <w:iCs w:val="0"/>
                <w:color w:val="000000"/>
                <w:sz w:val="21"/>
                <w:szCs w:val="21"/>
              </w:rPr>
              <w:t>Course Code:</w:t>
            </w:r>
          </w:p>
        </w:tc>
        <w:tc>
          <w:tcPr>
            <w:tcW w:w="3300" w:type="dxa"/>
            <w:tcMar>
              <w:top w:w="100" w:type="dxa"/>
              <w:left w:w="120" w:type="dxa"/>
              <w:bottom w:w="100" w:type="dxa"/>
              <w:right w:w="120" w:type="dxa"/>
            </w:tcMar>
            <w:vAlign w:val="center"/>
          </w:tcPr>
          <w:p w14:paraId="01C50459">
            <w:pPr>
              <w:jc w:val="both"/>
              <w:rPr>
                <w:rFonts w:hint="default" w:ascii="Times New Roman" w:hAnsi="Times New Roman" w:cs="Times New Roman"/>
              </w:rPr>
            </w:pPr>
            <w:r>
              <w:rPr>
                <w:rFonts w:hint="default" w:ascii="Times New Roman" w:hAnsi="Times New Roman" w:cs="Times New Roman"/>
                <w:b w:val="0"/>
                <w:bCs w:val="0"/>
                <w:i w:val="0"/>
                <w:iCs w:val="0"/>
                <w:color w:val="000000"/>
                <w:sz w:val="21"/>
                <w:szCs w:val="21"/>
              </w:rPr>
              <w:t>CSA10 / CSA1063</w:t>
            </w:r>
          </w:p>
        </w:tc>
        <w:tc>
          <w:tcPr>
            <w:tcW w:w="1650" w:type="dxa"/>
            <w:shd w:val="clear" w:color="auto" w:fill="DCE6F1"/>
            <w:tcMar>
              <w:top w:w="100" w:type="dxa"/>
              <w:left w:w="120" w:type="dxa"/>
              <w:bottom w:w="100" w:type="dxa"/>
              <w:right w:w="120" w:type="dxa"/>
            </w:tcMar>
            <w:vAlign w:val="center"/>
          </w:tcPr>
          <w:p w14:paraId="37CDD50A">
            <w:pPr>
              <w:jc w:val="both"/>
              <w:rPr>
                <w:rFonts w:hint="default" w:ascii="Times New Roman" w:hAnsi="Times New Roman" w:cs="Times New Roman"/>
              </w:rPr>
            </w:pPr>
            <w:r>
              <w:rPr>
                <w:rFonts w:hint="default" w:ascii="Times New Roman" w:hAnsi="Times New Roman" w:cs="Times New Roman"/>
                <w:b/>
                <w:bCs/>
                <w:i w:val="0"/>
                <w:iCs w:val="0"/>
                <w:color w:val="000000"/>
                <w:sz w:val="21"/>
                <w:szCs w:val="21"/>
              </w:rPr>
              <w:t>Course Title:</w:t>
            </w:r>
          </w:p>
        </w:tc>
        <w:tc>
          <w:tcPr>
            <w:tcW w:w="2000" w:type="dxa"/>
            <w:tcMar>
              <w:top w:w="100" w:type="dxa"/>
              <w:left w:w="120" w:type="dxa"/>
              <w:bottom w:w="100" w:type="dxa"/>
              <w:right w:w="120" w:type="dxa"/>
            </w:tcMar>
            <w:vAlign w:val="center"/>
          </w:tcPr>
          <w:p w14:paraId="093752F7">
            <w:pPr>
              <w:jc w:val="both"/>
              <w:rPr>
                <w:rFonts w:hint="default" w:ascii="Times New Roman" w:hAnsi="Times New Roman" w:cs="Times New Roman"/>
              </w:rPr>
            </w:pPr>
            <w:r>
              <w:rPr>
                <w:rFonts w:hint="default" w:ascii="Times New Roman" w:hAnsi="Times New Roman" w:cs="Times New Roman"/>
                <w:b w:val="0"/>
                <w:bCs w:val="0"/>
                <w:i w:val="0"/>
                <w:iCs w:val="0"/>
                <w:color w:val="000000"/>
                <w:sz w:val="21"/>
                <w:szCs w:val="21"/>
              </w:rPr>
              <w:t>Software Engineering</w:t>
            </w:r>
          </w:p>
        </w:tc>
      </w:tr>
      <w:tr w14:paraId="73BB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100" w:type="dxa"/>
              <w:left w:w="120" w:type="dxa"/>
              <w:bottom w:w="100" w:type="dxa"/>
              <w:right w:w="120" w:type="dxa"/>
            </w:tcMar>
            <w:vAlign w:val="center"/>
          </w:tcPr>
          <w:p w14:paraId="5603189B">
            <w:pPr>
              <w:jc w:val="both"/>
              <w:rPr>
                <w:rFonts w:hint="default" w:ascii="Times New Roman" w:hAnsi="Times New Roman" w:cs="Times New Roman"/>
              </w:rPr>
            </w:pPr>
            <w:r>
              <w:rPr>
                <w:rFonts w:hint="default" w:ascii="Times New Roman" w:hAnsi="Times New Roman" w:cs="Times New Roman"/>
                <w:b/>
                <w:bCs/>
                <w:i w:val="0"/>
                <w:iCs w:val="0"/>
                <w:color w:val="000000"/>
                <w:sz w:val="21"/>
                <w:szCs w:val="21"/>
              </w:rPr>
              <w:t>CO Assessed:</w:t>
            </w:r>
          </w:p>
        </w:tc>
        <w:tc>
          <w:tcPr>
            <w:tcW w:w="3300" w:type="dxa"/>
            <w:tcMar>
              <w:top w:w="100" w:type="dxa"/>
              <w:left w:w="120" w:type="dxa"/>
              <w:bottom w:w="100" w:type="dxa"/>
              <w:right w:w="120" w:type="dxa"/>
            </w:tcMar>
            <w:vAlign w:val="center"/>
          </w:tcPr>
          <w:p w14:paraId="06D2AEA9">
            <w:pPr>
              <w:jc w:val="both"/>
              <w:rPr>
                <w:rFonts w:hint="default" w:ascii="Times New Roman" w:hAnsi="Times New Roman" w:cs="Times New Roman"/>
              </w:rPr>
            </w:pPr>
            <w:r>
              <w:rPr>
                <w:rFonts w:hint="default" w:ascii="Times New Roman" w:hAnsi="Times New Roman" w:cs="Times New Roman"/>
                <w:b w:val="0"/>
                <w:bCs w:val="0"/>
                <w:i w:val="0"/>
                <w:iCs w:val="0"/>
                <w:color w:val="000000"/>
                <w:sz w:val="21"/>
                <w:szCs w:val="21"/>
              </w:rPr>
              <w:t>CO4</w:t>
            </w:r>
          </w:p>
        </w:tc>
        <w:tc>
          <w:tcPr>
            <w:tcW w:w="1650" w:type="dxa"/>
            <w:shd w:val="clear" w:color="auto" w:fill="DCE6F1"/>
            <w:tcMar>
              <w:top w:w="100" w:type="dxa"/>
              <w:left w:w="120" w:type="dxa"/>
              <w:bottom w:w="100" w:type="dxa"/>
              <w:right w:w="120" w:type="dxa"/>
            </w:tcMar>
            <w:vAlign w:val="center"/>
          </w:tcPr>
          <w:p w14:paraId="2D256966">
            <w:pPr>
              <w:jc w:val="both"/>
              <w:rPr>
                <w:rFonts w:hint="default" w:ascii="Times New Roman" w:hAnsi="Times New Roman" w:cs="Times New Roman"/>
              </w:rPr>
            </w:pPr>
            <w:r>
              <w:rPr>
                <w:rFonts w:hint="default" w:ascii="Times New Roman" w:hAnsi="Times New Roman" w:cs="Times New Roman"/>
                <w:b/>
                <w:bCs/>
                <w:i w:val="0"/>
                <w:iCs w:val="0"/>
                <w:color w:val="000000"/>
                <w:sz w:val="21"/>
                <w:szCs w:val="21"/>
              </w:rPr>
              <w:t>Assessment:</w:t>
            </w:r>
          </w:p>
        </w:tc>
        <w:tc>
          <w:tcPr>
            <w:tcW w:w="2000" w:type="dxa"/>
            <w:tcMar>
              <w:top w:w="100" w:type="dxa"/>
              <w:left w:w="120" w:type="dxa"/>
              <w:bottom w:w="100" w:type="dxa"/>
              <w:right w:w="120" w:type="dxa"/>
            </w:tcMar>
            <w:vAlign w:val="center"/>
          </w:tcPr>
          <w:p w14:paraId="385E2019">
            <w:pPr>
              <w:jc w:val="both"/>
              <w:rPr>
                <w:rFonts w:hint="default" w:ascii="Times New Roman" w:hAnsi="Times New Roman" w:cs="Times New Roman"/>
              </w:rPr>
            </w:pPr>
            <w:r>
              <w:rPr>
                <w:rFonts w:hint="default" w:ascii="Times New Roman" w:hAnsi="Times New Roman" w:cs="Times New Roman"/>
                <w:b w:val="0"/>
                <w:bCs w:val="0"/>
                <w:i w:val="0"/>
                <w:iCs w:val="0"/>
                <w:color w:val="000000"/>
                <w:sz w:val="21"/>
                <w:szCs w:val="21"/>
              </w:rPr>
              <w:t>Assessment Tool 1 – Test Case Design Assignment</w:t>
            </w:r>
          </w:p>
        </w:tc>
      </w:tr>
      <w:tr w14:paraId="6D92B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100" w:type="dxa"/>
              <w:left w:w="120" w:type="dxa"/>
              <w:bottom w:w="100" w:type="dxa"/>
              <w:right w:w="120" w:type="dxa"/>
            </w:tcMar>
            <w:vAlign w:val="center"/>
          </w:tcPr>
          <w:p w14:paraId="35A07630">
            <w:pPr>
              <w:jc w:val="both"/>
              <w:rPr>
                <w:rFonts w:hint="default" w:ascii="Times New Roman" w:hAnsi="Times New Roman" w:cs="Times New Roman"/>
              </w:rPr>
            </w:pPr>
            <w:r>
              <w:rPr>
                <w:rFonts w:hint="default" w:ascii="Times New Roman" w:hAnsi="Times New Roman" w:cs="Times New Roman"/>
                <w:b/>
                <w:bCs/>
                <w:i w:val="0"/>
                <w:iCs w:val="0"/>
                <w:color w:val="000000"/>
                <w:sz w:val="21"/>
                <w:szCs w:val="21"/>
              </w:rPr>
              <w:t>Weightage:</w:t>
            </w:r>
          </w:p>
        </w:tc>
        <w:tc>
          <w:tcPr>
            <w:tcW w:w="3300" w:type="dxa"/>
            <w:tcMar>
              <w:top w:w="100" w:type="dxa"/>
              <w:left w:w="120" w:type="dxa"/>
              <w:bottom w:w="100" w:type="dxa"/>
              <w:right w:w="120" w:type="dxa"/>
            </w:tcMar>
            <w:vAlign w:val="center"/>
          </w:tcPr>
          <w:p w14:paraId="6769F2F6">
            <w:pPr>
              <w:jc w:val="both"/>
              <w:rPr>
                <w:rFonts w:hint="default" w:ascii="Times New Roman" w:hAnsi="Times New Roman" w:cs="Times New Roman"/>
              </w:rPr>
            </w:pPr>
            <w:r>
              <w:rPr>
                <w:rFonts w:hint="default" w:ascii="Times New Roman" w:hAnsi="Times New Roman" w:cs="Times New Roman"/>
                <w:b w:val="0"/>
                <w:bCs w:val="0"/>
                <w:i w:val="0"/>
                <w:iCs w:val="0"/>
                <w:color w:val="000000"/>
                <w:sz w:val="21"/>
                <w:szCs w:val="21"/>
              </w:rPr>
              <w:t>20%</w:t>
            </w:r>
          </w:p>
        </w:tc>
        <w:tc>
          <w:tcPr>
            <w:tcW w:w="1650" w:type="dxa"/>
            <w:shd w:val="clear" w:color="auto" w:fill="DCE6F1"/>
            <w:tcMar>
              <w:top w:w="100" w:type="dxa"/>
              <w:left w:w="120" w:type="dxa"/>
              <w:bottom w:w="100" w:type="dxa"/>
              <w:right w:w="120" w:type="dxa"/>
            </w:tcMar>
            <w:vAlign w:val="center"/>
          </w:tcPr>
          <w:p w14:paraId="62C964BF">
            <w:pPr>
              <w:jc w:val="both"/>
              <w:rPr>
                <w:rFonts w:hint="default" w:ascii="Times New Roman" w:hAnsi="Times New Roman" w:cs="Times New Roman"/>
              </w:rPr>
            </w:pPr>
            <w:r>
              <w:rPr>
                <w:rFonts w:hint="default" w:ascii="Times New Roman" w:hAnsi="Times New Roman" w:cs="Times New Roman"/>
                <w:b/>
                <w:bCs/>
                <w:i w:val="0"/>
                <w:iCs w:val="0"/>
                <w:color w:val="000000"/>
                <w:sz w:val="21"/>
                <w:szCs w:val="21"/>
              </w:rPr>
              <w:t>Total Marks:</w:t>
            </w:r>
          </w:p>
        </w:tc>
        <w:tc>
          <w:tcPr>
            <w:tcW w:w="2000" w:type="dxa"/>
            <w:tcMar>
              <w:top w:w="100" w:type="dxa"/>
              <w:left w:w="120" w:type="dxa"/>
              <w:bottom w:w="100" w:type="dxa"/>
              <w:right w:w="120" w:type="dxa"/>
            </w:tcMar>
            <w:vAlign w:val="center"/>
          </w:tcPr>
          <w:p w14:paraId="0C925621">
            <w:pPr>
              <w:jc w:val="both"/>
              <w:rPr>
                <w:rFonts w:hint="default" w:ascii="Times New Roman" w:hAnsi="Times New Roman" w:cs="Times New Roman"/>
              </w:rPr>
            </w:pPr>
            <w:r>
              <w:rPr>
                <w:rFonts w:hint="default" w:ascii="Times New Roman" w:hAnsi="Times New Roman" w:cs="Times New Roman"/>
                <w:b w:val="0"/>
                <w:bCs w:val="0"/>
                <w:i w:val="0"/>
                <w:iCs w:val="0"/>
                <w:color w:val="000000"/>
                <w:sz w:val="21"/>
                <w:szCs w:val="21"/>
              </w:rPr>
              <w:t>25</w:t>
            </w:r>
          </w:p>
        </w:tc>
      </w:tr>
      <w:tr w14:paraId="6CC14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100" w:type="dxa"/>
              <w:left w:w="120" w:type="dxa"/>
              <w:bottom w:w="100" w:type="dxa"/>
              <w:right w:w="120" w:type="dxa"/>
            </w:tcMar>
            <w:vAlign w:val="center"/>
          </w:tcPr>
          <w:p w14:paraId="0CE91691">
            <w:pPr>
              <w:jc w:val="both"/>
              <w:rPr>
                <w:rFonts w:hint="default" w:ascii="Times New Roman" w:hAnsi="Times New Roman" w:cs="Times New Roman"/>
              </w:rPr>
            </w:pPr>
            <w:r>
              <w:rPr>
                <w:rFonts w:hint="default" w:ascii="Times New Roman" w:hAnsi="Times New Roman" w:cs="Times New Roman"/>
                <w:b/>
                <w:bCs/>
                <w:i w:val="0"/>
                <w:iCs w:val="0"/>
                <w:color w:val="000000"/>
                <w:sz w:val="21"/>
                <w:szCs w:val="21"/>
              </w:rPr>
              <w:t>CO4 Statement:</w:t>
            </w:r>
          </w:p>
        </w:tc>
        <w:tc>
          <w:tcPr>
            <w:tcW w:w="6950" w:type="dxa"/>
            <w:gridSpan w:val="3"/>
            <w:tcMar>
              <w:top w:w="100" w:type="dxa"/>
              <w:left w:w="120" w:type="dxa"/>
              <w:bottom w:w="100" w:type="dxa"/>
              <w:right w:w="120" w:type="dxa"/>
            </w:tcMar>
            <w:vAlign w:val="center"/>
          </w:tcPr>
          <w:p w14:paraId="2EC3313A">
            <w:pPr>
              <w:jc w:val="both"/>
              <w:rPr>
                <w:rFonts w:hint="default" w:ascii="Times New Roman" w:hAnsi="Times New Roman" w:cs="Times New Roman"/>
              </w:rPr>
            </w:pPr>
            <w:r>
              <w:rPr>
                <w:rFonts w:hint="default" w:ascii="Times New Roman" w:hAnsi="Times New Roman" w:cs="Times New Roman"/>
                <w:b w:val="0"/>
                <w:bCs w:val="0"/>
                <w:i w:val="0"/>
                <w:iCs w:val="0"/>
                <w:color w:val="000000"/>
                <w:sz w:val="21"/>
                <w:szCs w:val="21"/>
              </w:rPr>
              <w:t>Implement robust testing, quality assurance, and DevOps practices, emphasizing security, reliability, and ethics</w:t>
            </w:r>
          </w:p>
        </w:tc>
      </w:tr>
      <w:tr w14:paraId="0618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100" w:type="dxa"/>
              <w:left w:w="120" w:type="dxa"/>
              <w:bottom w:w="100" w:type="dxa"/>
              <w:right w:w="120" w:type="dxa"/>
            </w:tcMar>
            <w:vAlign w:val="center"/>
          </w:tcPr>
          <w:p w14:paraId="61B7E28A">
            <w:pPr>
              <w:jc w:val="both"/>
              <w:rPr>
                <w:rFonts w:hint="default" w:ascii="Times New Roman" w:hAnsi="Times New Roman" w:cs="Times New Roman"/>
              </w:rPr>
            </w:pPr>
            <w:r>
              <w:rPr>
                <w:rFonts w:hint="default" w:ascii="Times New Roman" w:hAnsi="Times New Roman" w:cs="Times New Roman"/>
                <w:b/>
                <w:bCs/>
                <w:i w:val="0"/>
                <w:iCs w:val="0"/>
                <w:color w:val="000000"/>
                <w:sz w:val="21"/>
                <w:szCs w:val="21"/>
              </w:rPr>
              <w:t>Student Name:</w:t>
            </w:r>
          </w:p>
        </w:tc>
        <w:tc>
          <w:tcPr>
            <w:tcW w:w="3300" w:type="dxa"/>
            <w:tcMar>
              <w:top w:w="100" w:type="dxa"/>
              <w:left w:w="120" w:type="dxa"/>
              <w:bottom w:w="100" w:type="dxa"/>
              <w:right w:w="120" w:type="dxa"/>
            </w:tcMar>
            <w:vAlign w:val="center"/>
          </w:tcPr>
          <w:p w14:paraId="315D6DA2">
            <w:pPr>
              <w:jc w:val="both"/>
              <w:rPr>
                <w:rFonts w:hint="default" w:ascii="Times New Roman" w:hAnsi="Times New Roman" w:cs="Times New Roman"/>
              </w:rPr>
            </w:pPr>
            <w:r>
              <w:rPr>
                <w:rFonts w:hint="default" w:ascii="Times New Roman" w:hAnsi="Times New Roman" w:cs="Times New Roman"/>
                <w:b w:val="0"/>
                <w:bCs w:val="0"/>
                <w:i w:val="0"/>
                <w:iCs w:val="0"/>
                <w:color w:val="000000"/>
                <w:sz w:val="21"/>
                <w:szCs w:val="21"/>
              </w:rPr>
              <w:t>JEEVAN R</w:t>
            </w:r>
          </w:p>
        </w:tc>
        <w:tc>
          <w:tcPr>
            <w:tcW w:w="1650" w:type="dxa"/>
            <w:shd w:val="clear" w:color="auto" w:fill="DCE6F1"/>
            <w:tcMar>
              <w:top w:w="100" w:type="dxa"/>
              <w:left w:w="120" w:type="dxa"/>
              <w:bottom w:w="100" w:type="dxa"/>
              <w:right w:w="120" w:type="dxa"/>
            </w:tcMar>
            <w:vAlign w:val="center"/>
          </w:tcPr>
          <w:p w14:paraId="78708EE0">
            <w:pPr>
              <w:jc w:val="both"/>
              <w:rPr>
                <w:rFonts w:hint="default" w:ascii="Times New Roman" w:hAnsi="Times New Roman" w:cs="Times New Roman"/>
              </w:rPr>
            </w:pPr>
            <w:r>
              <w:rPr>
                <w:rFonts w:hint="default" w:ascii="Times New Roman" w:hAnsi="Times New Roman" w:cs="Times New Roman"/>
                <w:b/>
                <w:bCs/>
                <w:i w:val="0"/>
                <w:iCs w:val="0"/>
                <w:color w:val="000000"/>
                <w:sz w:val="21"/>
                <w:szCs w:val="21"/>
              </w:rPr>
              <w:t>Reg. No.:</w:t>
            </w:r>
          </w:p>
        </w:tc>
        <w:tc>
          <w:tcPr>
            <w:tcW w:w="2000" w:type="dxa"/>
            <w:tcMar>
              <w:top w:w="100" w:type="dxa"/>
              <w:left w:w="120" w:type="dxa"/>
              <w:bottom w:w="100" w:type="dxa"/>
              <w:right w:w="120" w:type="dxa"/>
            </w:tcMar>
            <w:vAlign w:val="center"/>
          </w:tcPr>
          <w:p w14:paraId="793C9D5A">
            <w:pPr>
              <w:jc w:val="both"/>
              <w:rPr>
                <w:rFonts w:hint="default" w:ascii="Times New Roman" w:hAnsi="Times New Roman" w:cs="Times New Roman"/>
              </w:rPr>
            </w:pPr>
            <w:r>
              <w:rPr>
                <w:rFonts w:hint="default" w:ascii="Times New Roman" w:hAnsi="Times New Roman" w:cs="Times New Roman"/>
                <w:b w:val="0"/>
                <w:bCs w:val="0"/>
                <w:i w:val="0"/>
                <w:iCs w:val="0"/>
                <w:color w:val="000000"/>
                <w:sz w:val="21"/>
                <w:szCs w:val="21"/>
              </w:rPr>
              <w:t>192524007</w:t>
            </w:r>
          </w:p>
        </w:tc>
      </w:tr>
      <w:tr w14:paraId="3144D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100" w:type="dxa"/>
              <w:left w:w="120" w:type="dxa"/>
              <w:bottom w:w="100" w:type="dxa"/>
              <w:right w:w="120" w:type="dxa"/>
            </w:tcMar>
            <w:vAlign w:val="center"/>
          </w:tcPr>
          <w:p w14:paraId="5CC3B2BC">
            <w:pPr>
              <w:jc w:val="both"/>
              <w:rPr>
                <w:rFonts w:hint="default" w:ascii="Times New Roman" w:hAnsi="Times New Roman" w:cs="Times New Roman"/>
              </w:rPr>
            </w:pPr>
            <w:r>
              <w:rPr>
                <w:rFonts w:hint="default" w:ascii="Times New Roman" w:hAnsi="Times New Roman" w:cs="Times New Roman"/>
                <w:b/>
                <w:bCs/>
                <w:i w:val="0"/>
                <w:iCs w:val="0"/>
                <w:color w:val="000000"/>
                <w:sz w:val="21"/>
                <w:szCs w:val="21"/>
              </w:rPr>
              <w:t>Date:</w:t>
            </w:r>
          </w:p>
        </w:tc>
        <w:tc>
          <w:tcPr>
            <w:tcW w:w="3300" w:type="dxa"/>
            <w:tcMar>
              <w:top w:w="100" w:type="dxa"/>
              <w:left w:w="120" w:type="dxa"/>
              <w:bottom w:w="100" w:type="dxa"/>
              <w:right w:w="120" w:type="dxa"/>
            </w:tcMar>
            <w:vAlign w:val="center"/>
          </w:tcPr>
          <w:p w14:paraId="72858B90">
            <w:pPr>
              <w:jc w:val="both"/>
              <w:rPr>
                <w:rFonts w:hint="default" w:ascii="Times New Roman" w:hAnsi="Times New Roman" w:cs="Times New Roman"/>
              </w:rPr>
            </w:pPr>
            <w:r>
              <w:rPr>
                <w:rFonts w:hint="default" w:ascii="Times New Roman" w:hAnsi="Times New Roman" w:cs="Times New Roman"/>
                <w:b w:val="0"/>
                <w:bCs w:val="0"/>
                <w:i w:val="0"/>
                <w:iCs w:val="0"/>
                <w:color w:val="000000"/>
                <w:sz w:val="21"/>
                <w:szCs w:val="21"/>
              </w:rPr>
              <w:t>25-08-2026</w:t>
            </w:r>
          </w:p>
        </w:tc>
        <w:tc>
          <w:tcPr>
            <w:tcW w:w="1650" w:type="dxa"/>
            <w:shd w:val="clear" w:color="auto" w:fill="DCE6F1"/>
            <w:tcMar>
              <w:top w:w="100" w:type="dxa"/>
              <w:left w:w="120" w:type="dxa"/>
              <w:bottom w:w="100" w:type="dxa"/>
              <w:right w:w="120" w:type="dxa"/>
            </w:tcMar>
            <w:vAlign w:val="center"/>
          </w:tcPr>
          <w:p w14:paraId="66FE3D89">
            <w:pPr>
              <w:jc w:val="both"/>
              <w:rPr>
                <w:rFonts w:hint="default" w:ascii="Times New Roman" w:hAnsi="Times New Roman" w:cs="Times New Roman"/>
              </w:rPr>
            </w:pPr>
            <w:r>
              <w:rPr>
                <w:rFonts w:hint="default" w:ascii="Times New Roman" w:hAnsi="Times New Roman" w:cs="Times New Roman"/>
                <w:b/>
                <w:bCs/>
                <w:i w:val="0"/>
                <w:iCs w:val="0"/>
                <w:color w:val="000000"/>
                <w:sz w:val="21"/>
                <w:szCs w:val="21"/>
              </w:rPr>
              <w:t>Duration:</w:t>
            </w:r>
          </w:p>
        </w:tc>
        <w:tc>
          <w:tcPr>
            <w:tcW w:w="2000" w:type="dxa"/>
            <w:tcMar>
              <w:top w:w="100" w:type="dxa"/>
              <w:left w:w="120" w:type="dxa"/>
              <w:bottom w:w="100" w:type="dxa"/>
              <w:right w:w="120" w:type="dxa"/>
            </w:tcMar>
            <w:vAlign w:val="center"/>
          </w:tcPr>
          <w:p w14:paraId="2B759F24">
            <w:pPr>
              <w:jc w:val="both"/>
              <w:rPr>
                <w:rFonts w:hint="default" w:ascii="Times New Roman" w:hAnsi="Times New Roman" w:cs="Times New Roman"/>
              </w:rPr>
            </w:pPr>
            <w:r>
              <w:rPr>
                <w:rFonts w:hint="default" w:ascii="Times New Roman" w:hAnsi="Times New Roman" w:cs="Times New Roman"/>
                <w:b w:val="0"/>
                <w:bCs w:val="0"/>
                <w:i w:val="0"/>
                <w:iCs w:val="0"/>
                <w:color w:val="000000"/>
                <w:sz w:val="21"/>
                <w:szCs w:val="21"/>
              </w:rPr>
              <w:t>60 minutes</w:t>
            </w:r>
          </w:p>
        </w:tc>
      </w:tr>
    </w:tbl>
    <w:p w14:paraId="1B6F7A25">
      <w:pPr>
        <w:spacing w:after="200"/>
        <w:jc w:val="both"/>
        <w:rPr>
          <w:rFonts w:hint="default" w:ascii="Times New Roman" w:hAnsi="Times New Roman" w:cs="Times New Roman"/>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1985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FFFDE7"/>
            <w:tcMar>
              <w:top w:w="200" w:type="dxa"/>
              <w:left w:w="200" w:type="dxa"/>
              <w:bottom w:w="200" w:type="dxa"/>
              <w:right w:w="200" w:type="dxa"/>
            </w:tcMar>
          </w:tcPr>
          <w:p w14:paraId="187DF549">
            <w:pPr>
              <w:jc w:val="both"/>
              <w:rPr>
                <w:rFonts w:hint="default" w:ascii="Times New Roman" w:hAnsi="Times New Roman" w:cs="Times New Roman"/>
              </w:rPr>
            </w:pPr>
            <w:r>
              <w:rPr>
                <w:rFonts w:hint="default" w:ascii="Times New Roman" w:hAnsi="Times New Roman" w:cs="Times New Roman"/>
                <w:b/>
                <w:bCs/>
                <w:color w:val="C00000"/>
                <w:sz w:val="26"/>
                <w:szCs w:val="26"/>
              </w:rPr>
              <w:t>Code of Conduct</w:t>
            </w:r>
          </w:p>
          <w:p w14:paraId="7308EACC">
            <w:pPr>
              <w:spacing w:before="150"/>
              <w:jc w:val="both"/>
              <w:rPr>
                <w:rFonts w:hint="default" w:ascii="Times New Roman" w:hAnsi="Times New Roman" w:cs="Times New Roman"/>
              </w:rPr>
            </w:pPr>
            <w:r>
              <w:rPr>
                <w:rFonts w:hint="default" w:ascii="Times New Roman" w:hAnsi="Times New Roman" w:cs="Times New Roman"/>
                <w:i/>
                <w:iCs/>
                <w:sz w:val="21"/>
                <w:szCs w:val="21"/>
              </w:rPr>
              <w:t xml:space="preserve">I </w:t>
            </w:r>
            <w:r>
              <w:rPr>
                <w:rFonts w:hint="default" w:ascii="Times New Roman" w:hAnsi="Times New Roman" w:cs="Times New Roman"/>
                <w:i/>
                <w:iCs/>
                <w:sz w:val="21"/>
                <w:szCs w:val="21"/>
                <w:u w:val="single"/>
              </w:rPr>
              <w:t>JEEVAN R</w:t>
            </w:r>
            <w:r>
              <w:rPr>
                <w:rFonts w:hint="default" w:ascii="Times New Roman" w:hAnsi="Times New Roman" w:cs="Times New Roman"/>
                <w:i/>
                <w:iCs/>
                <w:sz w:val="21"/>
                <w:szCs w:val="21"/>
              </w:rPr>
              <w:t xml:space="preserve">  (Name / Reg No) certify that this submission is my original work and that I have adhered to the guidelines specified for this assessment. I understand that any violation of academic integrity rules will result in disciplinary action.</w:t>
            </w:r>
          </w:p>
          <w:p w14:paraId="7E531DFA">
            <w:pPr>
              <w:spacing w:before="250"/>
              <w:jc w:val="both"/>
              <w:rPr>
                <w:rFonts w:hint="default" w:ascii="Times New Roman" w:hAnsi="Times New Roman" w:cs="Times New Roman"/>
              </w:rPr>
            </w:pPr>
            <w:r>
              <w:rPr>
                <w:rFonts w:hint="default" w:ascii="Times New Roman" w:hAnsi="Times New Roman" w:cs="Times New Roman"/>
                <w:sz w:val="21"/>
                <w:szCs w:val="21"/>
              </w:rPr>
              <w:t xml:space="preserve">Signature of the Student: </w:t>
            </w:r>
            <w:r>
              <w:rPr>
                <w:rFonts w:hint="default" w:ascii="Times New Roman" w:hAnsi="Times New Roman" w:eastAsia="Segoe Script" w:cs="Times New Roman"/>
                <w:b/>
                <w:bCs/>
                <w:i/>
                <w:iCs/>
                <w:sz w:val="32"/>
                <w:szCs w:val="32"/>
              </w:rPr>
              <w:t>Jeevan R</w:t>
            </w:r>
          </w:p>
        </w:tc>
      </w:tr>
    </w:tbl>
    <w:p w14:paraId="388C0965">
      <w:pPr>
        <w:jc w:val="both"/>
        <w:rPr>
          <w:rFonts w:hint="default" w:ascii="Times New Roman" w:hAnsi="Times New Roman" w:cs="Times New Roman"/>
        </w:rPr>
      </w:pPr>
      <w:r>
        <w:rPr>
          <w:rFonts w:hint="default" w:ascii="Times New Roman" w:hAnsi="Times New Roman" w:cs="Times New Roman"/>
        </w:rPr>
        <w:br w:type="page"/>
      </w:r>
    </w:p>
    <w:p w14:paraId="04E39E08">
      <w:pPr>
        <w:spacing w:line="360" w:lineRule="auto"/>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CO4-AT1-Test Case Design Assignment</w:t>
      </w:r>
    </w:p>
    <w:p w14:paraId="5E1749E8">
      <w:pPr>
        <w:spacing w:before="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NAME: </w:t>
      </w:r>
      <w:r>
        <w:rPr>
          <w:rFonts w:hint="default" w:ascii="Times New Roman" w:hAnsi="Times New Roman" w:cs="Times New Roman"/>
          <w:color w:val="000000" w:themeColor="text1"/>
          <w:sz w:val="24"/>
          <w:szCs w:val="24"/>
          <w14:textFill>
            <w14:solidFill>
              <w14:schemeClr w14:val="tx1"/>
            </w14:solidFill>
          </w14:textFill>
        </w:rPr>
        <w:t>JEEVAN R</w:t>
      </w:r>
      <w:r>
        <w:rPr>
          <w:rFonts w:hint="default" w:ascii="Times New Roman" w:hAnsi="Times New Roman" w:cs="Times New Roman"/>
          <w:b/>
          <w:bCs/>
          <w:color w:val="000000" w:themeColor="text1"/>
          <w:sz w:val="24"/>
          <w:szCs w:val="24"/>
          <w14:textFill>
            <w14:solidFill>
              <w14:schemeClr w14:val="tx1"/>
            </w14:solidFill>
          </w14:textFill>
        </w:rPr>
        <w:tab/>
        <w:t/>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bCs/>
          <w:color w:val="000000" w:themeColor="text1"/>
          <w:sz w:val="24"/>
          <w:szCs w:val="24"/>
          <w14:textFill>
            <w14:solidFill>
              <w14:schemeClr w14:val="tx1"/>
            </w14:solidFill>
          </w14:textFill>
        </w:rPr>
        <w:t>SLOT: D</w:t>
      </w:r>
    </w:p>
    <w:p w14:paraId="6A7F37C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REGNO: </w:t>
      </w:r>
      <w:r>
        <w:rPr>
          <w:rFonts w:hint="default" w:ascii="Times New Roman" w:hAnsi="Times New Roman" w:cs="Times New Roman"/>
          <w:color w:val="000000" w:themeColor="text1"/>
          <w:sz w:val="24"/>
          <w:szCs w:val="24"/>
          <w14:textFill>
            <w14:solidFill>
              <w14:schemeClr w14:val="tx1"/>
            </w14:solidFill>
          </w14:textFill>
        </w:rPr>
        <w:t>192524007</w:t>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bCs/>
          <w:color w:val="000000" w:themeColor="text1"/>
          <w:sz w:val="24"/>
          <w:szCs w:val="24"/>
          <w14:textFill>
            <w14:solidFill>
              <w14:schemeClr w14:val="tx1"/>
            </w14:solidFill>
          </w14:textFill>
        </w:rPr>
        <w:t>COURSE CODE: CSA1007</w:t>
      </w:r>
    </w:p>
    <w:p w14:paraId="0AA89C52">
      <w:pPr>
        <w:spacing w:after="2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DATE: 25/08/2026</w:t>
      </w:r>
    </w:p>
    <w:p w14:paraId="7C6BD80C">
      <w:pPr>
        <w:spacing w:after="150"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Problem statement: </w:t>
      </w:r>
      <w:r>
        <w:rPr>
          <w:rFonts w:hint="default" w:ascii="Times New Roman" w:hAnsi="Times New Roman" w:cs="Times New Roman"/>
          <w:b/>
          <w:bCs/>
          <w:i/>
          <w:iCs/>
          <w:color w:val="000000" w:themeColor="text1"/>
          <w:sz w:val="28"/>
          <w:szCs w:val="28"/>
          <w14:textFill>
            <w14:solidFill>
              <w14:schemeClr w14:val="tx1"/>
            </w14:solidFill>
          </w14:textFill>
        </w:rPr>
        <w:t>Smart Medical Equipment Predictive Maintenance Platform</w:t>
      </w:r>
    </w:p>
    <w:p w14:paraId="2769AD24">
      <w:pPr>
        <w:pStyle w:val="2"/>
        <w:spacing w:before="300" w:after="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 Introduction</w:t>
      </w:r>
    </w:p>
    <w:p w14:paraId="5C753D0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Smart Medical Equipment Predictive Maintenance Platform is developed to manage medical equipment inventory, predictive maintenance activities, fault conditions, sensor data tracking, maintenance reports, and technician notifications. The purpose of this test case document is to verify whether the system works correctly under normal, invalid, boundary, and exceptional conditions.</w:t>
      </w:r>
    </w:p>
    <w:p w14:paraId="520D8C67">
      <w:pPr>
        <w:pStyle w:val="2"/>
        <w:spacing w:before="300" w:after="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 Functional Requirements to be Tested</w:t>
      </w:r>
    </w:p>
    <w:p w14:paraId="598AD9B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main functional requirements are:</w:t>
      </w:r>
    </w:p>
    <w:p w14:paraId="22705443">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 login and authentication.</w:t>
      </w:r>
    </w:p>
    <w:p w14:paraId="1CBD8979">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Medical equipment inventory management.</w:t>
      </w:r>
    </w:p>
    <w:p w14:paraId="3848E9AE">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Predictive maintenance task management.</w:t>
      </w:r>
    </w:p>
    <w:p w14:paraId="5AD7CFDA">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Fault and anomaly detection and alert generation.</w:t>
      </w:r>
    </w:p>
    <w:p w14:paraId="209D7F52">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Sensor data monitoring and tracking.</w:t>
      </w:r>
    </w:p>
    <w:p w14:paraId="4416A701">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Maintenance report generation.</w:t>
      </w:r>
    </w:p>
    <w:p w14:paraId="71C01FF1">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Notification management.</w:t>
      </w:r>
    </w:p>
    <w:p w14:paraId="4FFD46CE">
      <w:pPr>
        <w:pStyle w:val="2"/>
        <w:spacing w:before="300" w:after="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 Non-Functional Requirements to be Tested</w:t>
      </w:r>
    </w:p>
    <w:p w14:paraId="5038DBF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main non-functional requirements are:</w:t>
      </w:r>
    </w:p>
    <w:p w14:paraId="2C98564E">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Performance: The system should respond quickly to user requests.</w:t>
      </w:r>
    </w:p>
    <w:p w14:paraId="168DDA52">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Security: Only authorized users should access the system.</w:t>
      </w:r>
    </w:p>
    <w:p w14:paraId="17503123">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Reliability: The system should work without data loss or frequent failure.</w:t>
      </w:r>
    </w:p>
    <w:p w14:paraId="42122309">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Usability: The interface should be simple and easy to use.</w:t>
      </w:r>
    </w:p>
    <w:p w14:paraId="352BE0AB">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Availability: The system should be available whenever required.</w:t>
      </w:r>
    </w:p>
    <w:p w14:paraId="4BE3BFC5">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Scalability: The system should support increasing users and equipment records.</w:t>
      </w:r>
    </w:p>
    <w:p w14:paraId="6D26CB89">
      <w:pPr>
        <w:pStyle w:val="2"/>
        <w:spacing w:before="300" w:after="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 Test Scenarios</w:t>
      </w:r>
    </w:p>
    <w:p w14:paraId="2707F16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following major test scenarios are considered:</w:t>
      </w:r>
    </w:p>
    <w:p w14:paraId="4440CC10">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Verify valid and invalid user login.</w:t>
      </w:r>
    </w:p>
    <w:p w14:paraId="34F17624">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Verify addition and update of equipment details.</w:t>
      </w:r>
    </w:p>
    <w:p w14:paraId="5A1DAEB6">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Verify inventory quantity limits.</w:t>
      </w:r>
    </w:p>
    <w:p w14:paraId="5D20CD3C">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Verify maintenance task assignment and status update.</w:t>
      </w:r>
    </w:p>
    <w:p w14:paraId="2F1904B2">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Verify detection of faulty equipment conditions.</w:t>
      </w:r>
    </w:p>
    <w:p w14:paraId="7AFB2D06">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Verify alert generation.</w:t>
      </w:r>
    </w:p>
    <w:p w14:paraId="6C1B393E">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Verify sensor data tracking and equipment status.</w:t>
      </w:r>
    </w:p>
    <w:p w14:paraId="117AF324">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Verify maintenance report generation.</w:t>
      </w:r>
    </w:p>
    <w:p w14:paraId="51862FA8">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Verify system response for invalid or missing data.</w:t>
      </w:r>
    </w:p>
    <w:p w14:paraId="07F1FF26">
      <w:pPr>
        <w:pStyle w:val="2"/>
        <w:spacing w:before="300" w:after="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 Detailed Test Cases</w:t>
      </w:r>
    </w:p>
    <w:tbl>
      <w:tblPr>
        <w:tblStyle w:val="9"/>
        <w:tblW w:w="9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4"/>
        <w:gridCol w:w="1537"/>
        <w:gridCol w:w="1856"/>
        <w:gridCol w:w="1714"/>
        <w:gridCol w:w="2356"/>
        <w:gridCol w:w="1053"/>
      </w:tblGrid>
      <w:tr w14:paraId="21CF1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DCE6F1"/>
            <w:tcMar>
              <w:top w:w="80" w:type="dxa"/>
              <w:left w:w="80" w:type="dxa"/>
              <w:bottom w:w="80" w:type="dxa"/>
              <w:right w:w="80" w:type="dxa"/>
            </w:tcMar>
            <w:vAlign w:val="center"/>
          </w:tcPr>
          <w:p w14:paraId="15A3A14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Test Case ID</w:t>
            </w:r>
          </w:p>
        </w:tc>
        <w:tc>
          <w:tcPr>
            <w:tcW w:w="1550" w:type="dxa"/>
            <w:shd w:val="clear" w:color="auto" w:fill="DCE6F1"/>
            <w:tcMar>
              <w:top w:w="80" w:type="dxa"/>
              <w:left w:w="80" w:type="dxa"/>
              <w:bottom w:w="80" w:type="dxa"/>
              <w:right w:w="80" w:type="dxa"/>
            </w:tcMar>
            <w:vAlign w:val="center"/>
          </w:tcPr>
          <w:p w14:paraId="4ECB1B6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Test Scenario</w:t>
            </w:r>
          </w:p>
        </w:tc>
        <w:tc>
          <w:tcPr>
            <w:tcW w:w="1900" w:type="dxa"/>
            <w:shd w:val="clear" w:color="auto" w:fill="DCE6F1"/>
            <w:tcMar>
              <w:top w:w="80" w:type="dxa"/>
              <w:left w:w="80" w:type="dxa"/>
              <w:bottom w:w="80" w:type="dxa"/>
              <w:right w:w="80" w:type="dxa"/>
            </w:tcMar>
            <w:vAlign w:val="center"/>
          </w:tcPr>
          <w:p w14:paraId="507FCE1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Test Steps</w:t>
            </w:r>
          </w:p>
        </w:tc>
        <w:tc>
          <w:tcPr>
            <w:tcW w:w="1750" w:type="dxa"/>
            <w:shd w:val="clear" w:color="auto" w:fill="DCE6F1"/>
            <w:tcMar>
              <w:top w:w="80" w:type="dxa"/>
              <w:left w:w="80" w:type="dxa"/>
              <w:bottom w:w="80" w:type="dxa"/>
              <w:right w:w="80" w:type="dxa"/>
            </w:tcMar>
            <w:vAlign w:val="center"/>
          </w:tcPr>
          <w:p w14:paraId="4746FB5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Test Data</w:t>
            </w:r>
          </w:p>
        </w:tc>
        <w:tc>
          <w:tcPr>
            <w:tcW w:w="2450" w:type="dxa"/>
            <w:shd w:val="clear" w:color="auto" w:fill="DCE6F1"/>
            <w:tcMar>
              <w:top w:w="80" w:type="dxa"/>
              <w:left w:w="80" w:type="dxa"/>
              <w:bottom w:w="80" w:type="dxa"/>
              <w:right w:w="80" w:type="dxa"/>
            </w:tcMar>
            <w:vAlign w:val="center"/>
          </w:tcPr>
          <w:p w14:paraId="2D91033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Expected Result</w:t>
            </w:r>
          </w:p>
        </w:tc>
        <w:tc>
          <w:tcPr>
            <w:tcW w:w="900" w:type="dxa"/>
            <w:shd w:val="clear" w:color="auto" w:fill="DCE6F1"/>
            <w:tcMar>
              <w:top w:w="80" w:type="dxa"/>
              <w:left w:w="80" w:type="dxa"/>
              <w:bottom w:w="80" w:type="dxa"/>
              <w:right w:w="80" w:type="dxa"/>
            </w:tcMar>
            <w:vAlign w:val="center"/>
          </w:tcPr>
          <w:p w14:paraId="29DDD0F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Actual Result</w:t>
            </w:r>
          </w:p>
        </w:tc>
      </w:tr>
      <w:tr w14:paraId="5726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70721B6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TC01</w:t>
            </w:r>
          </w:p>
        </w:tc>
        <w:tc>
          <w:tcPr>
            <w:tcW w:w="1550" w:type="dxa"/>
            <w:tcMar>
              <w:top w:w="80" w:type="dxa"/>
              <w:left w:w="80" w:type="dxa"/>
              <w:bottom w:w="80" w:type="dxa"/>
              <w:right w:w="80" w:type="dxa"/>
            </w:tcMar>
            <w:vAlign w:val="center"/>
          </w:tcPr>
          <w:p w14:paraId="4071615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Valid User Login</w:t>
            </w:r>
          </w:p>
        </w:tc>
        <w:tc>
          <w:tcPr>
            <w:tcW w:w="1900" w:type="dxa"/>
            <w:tcMar>
              <w:top w:w="80" w:type="dxa"/>
              <w:left w:w="80" w:type="dxa"/>
              <w:bottom w:w="80" w:type="dxa"/>
              <w:right w:w="80" w:type="dxa"/>
            </w:tcMar>
            <w:vAlign w:val="center"/>
          </w:tcPr>
          <w:p w14:paraId="00C7E0B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Enter valid username and password and click Login</w:t>
            </w:r>
          </w:p>
        </w:tc>
        <w:tc>
          <w:tcPr>
            <w:tcW w:w="1750" w:type="dxa"/>
            <w:tcMar>
              <w:top w:w="80" w:type="dxa"/>
              <w:left w:w="80" w:type="dxa"/>
              <w:bottom w:w="80" w:type="dxa"/>
              <w:right w:w="80" w:type="dxa"/>
            </w:tcMar>
            <w:vAlign w:val="center"/>
          </w:tcPr>
          <w:p w14:paraId="74F6136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Username: technician1, Password: Tech@123</w:t>
            </w:r>
          </w:p>
        </w:tc>
        <w:tc>
          <w:tcPr>
            <w:tcW w:w="2450" w:type="dxa"/>
            <w:tcMar>
              <w:top w:w="80" w:type="dxa"/>
              <w:left w:w="80" w:type="dxa"/>
              <w:bottom w:w="80" w:type="dxa"/>
              <w:right w:w="80" w:type="dxa"/>
            </w:tcMar>
            <w:vAlign w:val="center"/>
          </w:tcPr>
          <w:p w14:paraId="7CF5F62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User should login successfully and dashboard should open</w:t>
            </w:r>
          </w:p>
        </w:tc>
        <w:tc>
          <w:tcPr>
            <w:tcW w:w="900" w:type="dxa"/>
            <w:tcMar>
              <w:top w:w="80" w:type="dxa"/>
              <w:left w:w="80" w:type="dxa"/>
              <w:bottom w:w="80" w:type="dxa"/>
              <w:right w:w="80" w:type="dxa"/>
            </w:tcMar>
            <w:vAlign w:val="center"/>
          </w:tcPr>
          <w:p w14:paraId="5F2551F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As Expected</w:t>
            </w:r>
          </w:p>
        </w:tc>
      </w:tr>
      <w:tr w14:paraId="4BC9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0F3A93D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TC02</w:t>
            </w:r>
          </w:p>
        </w:tc>
        <w:tc>
          <w:tcPr>
            <w:tcW w:w="1550" w:type="dxa"/>
            <w:tcMar>
              <w:top w:w="80" w:type="dxa"/>
              <w:left w:w="80" w:type="dxa"/>
              <w:bottom w:w="80" w:type="dxa"/>
              <w:right w:w="80" w:type="dxa"/>
            </w:tcMar>
            <w:vAlign w:val="center"/>
          </w:tcPr>
          <w:p w14:paraId="6250A95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Invalid User Login</w:t>
            </w:r>
          </w:p>
        </w:tc>
        <w:tc>
          <w:tcPr>
            <w:tcW w:w="1900" w:type="dxa"/>
            <w:tcMar>
              <w:top w:w="80" w:type="dxa"/>
              <w:left w:w="80" w:type="dxa"/>
              <w:bottom w:w="80" w:type="dxa"/>
              <w:right w:w="80" w:type="dxa"/>
            </w:tcMar>
            <w:vAlign w:val="center"/>
          </w:tcPr>
          <w:p w14:paraId="7E331D7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Enter incorrect password and click Login</w:t>
            </w:r>
          </w:p>
        </w:tc>
        <w:tc>
          <w:tcPr>
            <w:tcW w:w="1750" w:type="dxa"/>
            <w:tcMar>
              <w:top w:w="80" w:type="dxa"/>
              <w:left w:w="80" w:type="dxa"/>
              <w:bottom w:w="80" w:type="dxa"/>
              <w:right w:w="80" w:type="dxa"/>
            </w:tcMar>
            <w:vAlign w:val="center"/>
          </w:tcPr>
          <w:p w14:paraId="079DD41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Username: technician1, Password: wrong123</w:t>
            </w:r>
          </w:p>
        </w:tc>
        <w:tc>
          <w:tcPr>
            <w:tcW w:w="2450" w:type="dxa"/>
            <w:tcMar>
              <w:top w:w="80" w:type="dxa"/>
              <w:left w:w="80" w:type="dxa"/>
              <w:bottom w:w="80" w:type="dxa"/>
              <w:right w:w="80" w:type="dxa"/>
            </w:tcMar>
            <w:vAlign w:val="center"/>
          </w:tcPr>
          <w:p w14:paraId="3D2D123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System should display invalid credentials message</w:t>
            </w:r>
          </w:p>
        </w:tc>
        <w:tc>
          <w:tcPr>
            <w:tcW w:w="900" w:type="dxa"/>
            <w:tcMar>
              <w:top w:w="80" w:type="dxa"/>
              <w:left w:w="80" w:type="dxa"/>
              <w:bottom w:w="80" w:type="dxa"/>
              <w:right w:w="80" w:type="dxa"/>
            </w:tcMar>
            <w:vAlign w:val="center"/>
          </w:tcPr>
          <w:p w14:paraId="03FE7E9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As Expected</w:t>
            </w:r>
          </w:p>
        </w:tc>
      </w:tr>
      <w:tr w14:paraId="44EA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61AE5CA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TC03</w:t>
            </w:r>
          </w:p>
        </w:tc>
        <w:tc>
          <w:tcPr>
            <w:tcW w:w="1550" w:type="dxa"/>
            <w:tcMar>
              <w:top w:w="80" w:type="dxa"/>
              <w:left w:w="80" w:type="dxa"/>
              <w:bottom w:w="80" w:type="dxa"/>
              <w:right w:w="80" w:type="dxa"/>
            </w:tcMar>
            <w:vAlign w:val="center"/>
          </w:tcPr>
          <w:p w14:paraId="6CED340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Empty Login Fields</w:t>
            </w:r>
          </w:p>
        </w:tc>
        <w:tc>
          <w:tcPr>
            <w:tcW w:w="1900" w:type="dxa"/>
            <w:tcMar>
              <w:top w:w="80" w:type="dxa"/>
              <w:left w:w="80" w:type="dxa"/>
              <w:bottom w:w="80" w:type="dxa"/>
              <w:right w:w="80" w:type="dxa"/>
            </w:tcMar>
            <w:vAlign w:val="center"/>
          </w:tcPr>
          <w:p w14:paraId="31CDC01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Leave username and password empty and click Login</w:t>
            </w:r>
          </w:p>
        </w:tc>
        <w:tc>
          <w:tcPr>
            <w:tcW w:w="1750" w:type="dxa"/>
            <w:tcMar>
              <w:top w:w="80" w:type="dxa"/>
              <w:left w:w="80" w:type="dxa"/>
              <w:bottom w:w="80" w:type="dxa"/>
              <w:right w:w="80" w:type="dxa"/>
            </w:tcMar>
            <w:vAlign w:val="center"/>
          </w:tcPr>
          <w:p w14:paraId="03A714E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Blank fields</w:t>
            </w:r>
          </w:p>
        </w:tc>
        <w:tc>
          <w:tcPr>
            <w:tcW w:w="2450" w:type="dxa"/>
            <w:tcMar>
              <w:top w:w="80" w:type="dxa"/>
              <w:left w:w="80" w:type="dxa"/>
              <w:bottom w:w="80" w:type="dxa"/>
              <w:right w:w="80" w:type="dxa"/>
            </w:tcMar>
            <w:vAlign w:val="center"/>
          </w:tcPr>
          <w:p w14:paraId="425A77A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System should ask the user to enter required details</w:t>
            </w:r>
          </w:p>
        </w:tc>
        <w:tc>
          <w:tcPr>
            <w:tcW w:w="900" w:type="dxa"/>
            <w:tcMar>
              <w:top w:w="80" w:type="dxa"/>
              <w:left w:w="80" w:type="dxa"/>
              <w:bottom w:w="80" w:type="dxa"/>
              <w:right w:w="80" w:type="dxa"/>
            </w:tcMar>
            <w:vAlign w:val="center"/>
          </w:tcPr>
          <w:p w14:paraId="5C1881E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As Expected</w:t>
            </w:r>
          </w:p>
        </w:tc>
      </w:tr>
      <w:tr w14:paraId="5BC1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336D86F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TC04</w:t>
            </w:r>
          </w:p>
        </w:tc>
        <w:tc>
          <w:tcPr>
            <w:tcW w:w="1550" w:type="dxa"/>
            <w:tcMar>
              <w:top w:w="80" w:type="dxa"/>
              <w:left w:w="80" w:type="dxa"/>
              <w:bottom w:w="80" w:type="dxa"/>
              <w:right w:w="80" w:type="dxa"/>
            </w:tcMar>
            <w:vAlign w:val="center"/>
          </w:tcPr>
          <w:p w14:paraId="4E2DDFF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Add Equipment Record</w:t>
            </w:r>
          </w:p>
        </w:tc>
        <w:tc>
          <w:tcPr>
            <w:tcW w:w="1900" w:type="dxa"/>
            <w:tcMar>
              <w:top w:w="80" w:type="dxa"/>
              <w:left w:w="80" w:type="dxa"/>
              <w:bottom w:w="80" w:type="dxa"/>
              <w:right w:w="80" w:type="dxa"/>
            </w:tcMar>
            <w:vAlign w:val="center"/>
          </w:tcPr>
          <w:p w14:paraId="781B93B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Enter valid equipment details and click Save</w:t>
            </w:r>
          </w:p>
        </w:tc>
        <w:tc>
          <w:tcPr>
            <w:tcW w:w="1750" w:type="dxa"/>
            <w:tcMar>
              <w:top w:w="80" w:type="dxa"/>
              <w:left w:w="80" w:type="dxa"/>
              <w:bottom w:w="80" w:type="dxa"/>
              <w:right w:w="80" w:type="dxa"/>
            </w:tcMar>
            <w:vAlign w:val="center"/>
          </w:tcPr>
          <w:p w14:paraId="2738871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Type: MRI Scanner, Qty: 5, Condition: Operational</w:t>
            </w:r>
          </w:p>
        </w:tc>
        <w:tc>
          <w:tcPr>
            <w:tcW w:w="2450" w:type="dxa"/>
            <w:tcMar>
              <w:top w:w="80" w:type="dxa"/>
              <w:left w:w="80" w:type="dxa"/>
              <w:bottom w:w="80" w:type="dxa"/>
              <w:right w:w="80" w:type="dxa"/>
            </w:tcMar>
            <w:vAlign w:val="center"/>
          </w:tcPr>
          <w:p w14:paraId="1F575AF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Equipment record should be stored successfully</w:t>
            </w:r>
          </w:p>
        </w:tc>
        <w:tc>
          <w:tcPr>
            <w:tcW w:w="900" w:type="dxa"/>
            <w:tcMar>
              <w:top w:w="80" w:type="dxa"/>
              <w:left w:w="80" w:type="dxa"/>
              <w:bottom w:w="80" w:type="dxa"/>
              <w:right w:w="80" w:type="dxa"/>
            </w:tcMar>
            <w:vAlign w:val="center"/>
          </w:tcPr>
          <w:p w14:paraId="330900D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As Expected</w:t>
            </w:r>
          </w:p>
        </w:tc>
      </w:tr>
      <w:tr w14:paraId="2DE40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63243A3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TC05</w:t>
            </w:r>
          </w:p>
        </w:tc>
        <w:tc>
          <w:tcPr>
            <w:tcW w:w="1550" w:type="dxa"/>
            <w:tcMar>
              <w:top w:w="80" w:type="dxa"/>
              <w:left w:w="80" w:type="dxa"/>
              <w:bottom w:w="80" w:type="dxa"/>
              <w:right w:w="80" w:type="dxa"/>
            </w:tcMar>
            <w:vAlign w:val="center"/>
          </w:tcPr>
          <w:p w14:paraId="73F6ACF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Invalid Equipment Quantity</w:t>
            </w:r>
          </w:p>
        </w:tc>
        <w:tc>
          <w:tcPr>
            <w:tcW w:w="1900" w:type="dxa"/>
            <w:tcMar>
              <w:top w:w="80" w:type="dxa"/>
              <w:left w:w="80" w:type="dxa"/>
              <w:bottom w:w="80" w:type="dxa"/>
              <w:right w:w="80" w:type="dxa"/>
            </w:tcMar>
            <w:vAlign w:val="center"/>
          </w:tcPr>
          <w:p w14:paraId="5DEBA7D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Enter a negative equipment quantity</w:t>
            </w:r>
          </w:p>
        </w:tc>
        <w:tc>
          <w:tcPr>
            <w:tcW w:w="1750" w:type="dxa"/>
            <w:tcMar>
              <w:top w:w="80" w:type="dxa"/>
              <w:left w:w="80" w:type="dxa"/>
              <w:bottom w:w="80" w:type="dxa"/>
              <w:right w:w="80" w:type="dxa"/>
            </w:tcMar>
            <w:vAlign w:val="center"/>
          </w:tcPr>
          <w:p w14:paraId="37DE6C8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Qty: -3</w:t>
            </w:r>
          </w:p>
        </w:tc>
        <w:tc>
          <w:tcPr>
            <w:tcW w:w="2450" w:type="dxa"/>
            <w:tcMar>
              <w:top w:w="80" w:type="dxa"/>
              <w:left w:w="80" w:type="dxa"/>
              <w:bottom w:w="80" w:type="dxa"/>
              <w:right w:w="80" w:type="dxa"/>
            </w:tcMar>
            <w:vAlign w:val="center"/>
          </w:tcPr>
          <w:p w14:paraId="6C17C04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System should reject the value and display an error</w:t>
            </w:r>
          </w:p>
        </w:tc>
        <w:tc>
          <w:tcPr>
            <w:tcW w:w="900" w:type="dxa"/>
            <w:tcMar>
              <w:top w:w="80" w:type="dxa"/>
              <w:left w:w="80" w:type="dxa"/>
              <w:bottom w:w="80" w:type="dxa"/>
              <w:right w:w="80" w:type="dxa"/>
            </w:tcMar>
            <w:vAlign w:val="center"/>
          </w:tcPr>
          <w:p w14:paraId="3DE045E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As Expected</w:t>
            </w:r>
          </w:p>
        </w:tc>
      </w:tr>
      <w:tr w14:paraId="50BC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3AC27DE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TC06</w:t>
            </w:r>
          </w:p>
        </w:tc>
        <w:tc>
          <w:tcPr>
            <w:tcW w:w="1550" w:type="dxa"/>
            <w:tcMar>
              <w:top w:w="80" w:type="dxa"/>
              <w:left w:w="80" w:type="dxa"/>
              <w:bottom w:w="80" w:type="dxa"/>
              <w:right w:w="80" w:type="dxa"/>
            </w:tcMar>
            <w:vAlign w:val="center"/>
          </w:tcPr>
          <w:p w14:paraId="79C147D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Boundary Equipment Quantity</w:t>
            </w:r>
          </w:p>
        </w:tc>
        <w:tc>
          <w:tcPr>
            <w:tcW w:w="1900" w:type="dxa"/>
            <w:tcMar>
              <w:top w:w="80" w:type="dxa"/>
              <w:left w:w="80" w:type="dxa"/>
              <w:bottom w:w="80" w:type="dxa"/>
              <w:right w:w="80" w:type="dxa"/>
            </w:tcMar>
            <w:vAlign w:val="center"/>
          </w:tcPr>
          <w:p w14:paraId="0F1BBD8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Enter minimum valid quantity</w:t>
            </w:r>
          </w:p>
        </w:tc>
        <w:tc>
          <w:tcPr>
            <w:tcW w:w="1750" w:type="dxa"/>
            <w:tcMar>
              <w:top w:w="80" w:type="dxa"/>
              <w:left w:w="80" w:type="dxa"/>
              <w:bottom w:w="80" w:type="dxa"/>
              <w:right w:w="80" w:type="dxa"/>
            </w:tcMar>
            <w:vAlign w:val="center"/>
          </w:tcPr>
          <w:p w14:paraId="3213351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Qty: 1</w:t>
            </w:r>
          </w:p>
        </w:tc>
        <w:tc>
          <w:tcPr>
            <w:tcW w:w="2450" w:type="dxa"/>
            <w:tcMar>
              <w:top w:w="80" w:type="dxa"/>
              <w:left w:w="80" w:type="dxa"/>
              <w:bottom w:w="80" w:type="dxa"/>
              <w:right w:w="80" w:type="dxa"/>
            </w:tcMar>
            <w:vAlign w:val="center"/>
          </w:tcPr>
          <w:p w14:paraId="48C2056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System should accept the equipment quantity</w:t>
            </w:r>
          </w:p>
        </w:tc>
        <w:tc>
          <w:tcPr>
            <w:tcW w:w="900" w:type="dxa"/>
            <w:tcMar>
              <w:top w:w="80" w:type="dxa"/>
              <w:left w:w="80" w:type="dxa"/>
              <w:bottom w:w="80" w:type="dxa"/>
              <w:right w:w="80" w:type="dxa"/>
            </w:tcMar>
            <w:vAlign w:val="center"/>
          </w:tcPr>
          <w:p w14:paraId="792A423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As Expected</w:t>
            </w:r>
          </w:p>
        </w:tc>
      </w:tr>
      <w:tr w14:paraId="4F46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2C34355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TC07</w:t>
            </w:r>
          </w:p>
        </w:tc>
        <w:tc>
          <w:tcPr>
            <w:tcW w:w="1550" w:type="dxa"/>
            <w:tcMar>
              <w:top w:w="80" w:type="dxa"/>
              <w:left w:w="80" w:type="dxa"/>
              <w:bottom w:w="80" w:type="dxa"/>
              <w:right w:w="80" w:type="dxa"/>
            </w:tcMar>
            <w:vAlign w:val="center"/>
          </w:tcPr>
          <w:p w14:paraId="5560BF2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Update Inventory</w:t>
            </w:r>
          </w:p>
        </w:tc>
        <w:tc>
          <w:tcPr>
            <w:tcW w:w="1900" w:type="dxa"/>
            <w:tcMar>
              <w:top w:w="80" w:type="dxa"/>
              <w:left w:w="80" w:type="dxa"/>
              <w:bottom w:w="80" w:type="dxa"/>
              <w:right w:w="80" w:type="dxa"/>
            </w:tcMar>
            <w:vAlign w:val="center"/>
          </w:tcPr>
          <w:p w14:paraId="6BEC4FC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Select an equipment record and update quantity</w:t>
            </w:r>
          </w:p>
        </w:tc>
        <w:tc>
          <w:tcPr>
            <w:tcW w:w="1750" w:type="dxa"/>
            <w:tcMar>
              <w:top w:w="80" w:type="dxa"/>
              <w:left w:w="80" w:type="dxa"/>
              <w:bottom w:w="80" w:type="dxa"/>
              <w:right w:w="80" w:type="dxa"/>
            </w:tcMar>
            <w:vAlign w:val="center"/>
          </w:tcPr>
          <w:p w14:paraId="03E30B8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Existing: 5, Updated: 8</w:t>
            </w:r>
          </w:p>
        </w:tc>
        <w:tc>
          <w:tcPr>
            <w:tcW w:w="2450" w:type="dxa"/>
            <w:tcMar>
              <w:top w:w="80" w:type="dxa"/>
              <w:left w:w="80" w:type="dxa"/>
              <w:bottom w:w="80" w:type="dxa"/>
              <w:right w:w="80" w:type="dxa"/>
            </w:tcMar>
            <w:vAlign w:val="center"/>
          </w:tcPr>
          <w:p w14:paraId="21528B9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Inventory should display updated quantity</w:t>
            </w:r>
          </w:p>
        </w:tc>
        <w:tc>
          <w:tcPr>
            <w:tcW w:w="900" w:type="dxa"/>
            <w:tcMar>
              <w:top w:w="80" w:type="dxa"/>
              <w:left w:w="80" w:type="dxa"/>
              <w:bottom w:w="80" w:type="dxa"/>
              <w:right w:w="80" w:type="dxa"/>
            </w:tcMar>
            <w:vAlign w:val="center"/>
          </w:tcPr>
          <w:p w14:paraId="3B4EAFE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As Expected</w:t>
            </w:r>
          </w:p>
        </w:tc>
      </w:tr>
      <w:tr w14:paraId="436A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35B3062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TC08</w:t>
            </w:r>
          </w:p>
        </w:tc>
        <w:tc>
          <w:tcPr>
            <w:tcW w:w="1550" w:type="dxa"/>
            <w:tcMar>
              <w:top w:w="80" w:type="dxa"/>
              <w:left w:w="80" w:type="dxa"/>
              <w:bottom w:w="80" w:type="dxa"/>
              <w:right w:w="80" w:type="dxa"/>
            </w:tcMar>
            <w:vAlign w:val="center"/>
          </w:tcPr>
          <w:p w14:paraId="28DAC7B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Assign Maintenance Task</w:t>
            </w:r>
          </w:p>
        </w:tc>
        <w:tc>
          <w:tcPr>
            <w:tcW w:w="1900" w:type="dxa"/>
            <w:tcMar>
              <w:top w:w="80" w:type="dxa"/>
              <w:left w:w="80" w:type="dxa"/>
              <w:bottom w:w="80" w:type="dxa"/>
              <w:right w:w="80" w:type="dxa"/>
            </w:tcMar>
            <w:vAlign w:val="center"/>
          </w:tcPr>
          <w:p w14:paraId="565FD8E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Technician assigns a valid predictive maintenance task</w:t>
            </w:r>
          </w:p>
        </w:tc>
        <w:tc>
          <w:tcPr>
            <w:tcW w:w="1750" w:type="dxa"/>
            <w:tcMar>
              <w:top w:w="80" w:type="dxa"/>
              <w:left w:w="80" w:type="dxa"/>
              <w:bottom w:w="80" w:type="dxa"/>
              <w:right w:w="80" w:type="dxa"/>
            </w:tcMar>
            <w:vAlign w:val="center"/>
          </w:tcPr>
          <w:p w14:paraId="1525D2D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Task: Calibrate MRI Scanner</w:t>
            </w:r>
          </w:p>
        </w:tc>
        <w:tc>
          <w:tcPr>
            <w:tcW w:w="2450" w:type="dxa"/>
            <w:tcMar>
              <w:top w:w="80" w:type="dxa"/>
              <w:left w:w="80" w:type="dxa"/>
              <w:bottom w:w="80" w:type="dxa"/>
              <w:right w:w="80" w:type="dxa"/>
            </w:tcMar>
            <w:vAlign w:val="center"/>
          </w:tcPr>
          <w:p w14:paraId="7926D0C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Task should be assigned to the selected technician</w:t>
            </w:r>
          </w:p>
        </w:tc>
        <w:tc>
          <w:tcPr>
            <w:tcW w:w="900" w:type="dxa"/>
            <w:tcMar>
              <w:top w:w="80" w:type="dxa"/>
              <w:left w:w="80" w:type="dxa"/>
              <w:bottom w:w="80" w:type="dxa"/>
              <w:right w:w="80" w:type="dxa"/>
            </w:tcMar>
            <w:vAlign w:val="center"/>
          </w:tcPr>
          <w:p w14:paraId="2EDB766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As Expected</w:t>
            </w:r>
          </w:p>
        </w:tc>
      </w:tr>
      <w:tr w14:paraId="3577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20B17A2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i w:val="0"/>
                <w:iCs w:val="0"/>
                <w:color w:val="000000" w:themeColor="text1"/>
                <w:sz w:val="24"/>
                <w:szCs w:val="24"/>
                <w14:textFill>
                  <w14:solidFill>
                    <w14:schemeClr w14:val="tx1"/>
                  </w14:solidFill>
                </w14:textFill>
              </w:rPr>
              <w:t>TC09</w:t>
            </w:r>
          </w:p>
        </w:tc>
        <w:tc>
          <w:tcPr>
            <w:tcW w:w="1550" w:type="dxa"/>
            <w:tcMar>
              <w:top w:w="80" w:type="dxa"/>
              <w:left w:w="80" w:type="dxa"/>
              <w:bottom w:w="80" w:type="dxa"/>
              <w:right w:w="80" w:type="dxa"/>
            </w:tcMar>
            <w:vAlign w:val="center"/>
          </w:tcPr>
          <w:p w14:paraId="24A3E17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Update Task Status</w:t>
            </w:r>
          </w:p>
        </w:tc>
        <w:tc>
          <w:tcPr>
            <w:tcW w:w="1900" w:type="dxa"/>
            <w:tcMar>
              <w:top w:w="80" w:type="dxa"/>
              <w:left w:w="80" w:type="dxa"/>
              <w:bottom w:w="80" w:type="dxa"/>
              <w:right w:w="80" w:type="dxa"/>
            </w:tcMar>
            <w:vAlign w:val="center"/>
          </w:tcPr>
          <w:p w14:paraId="1BFFE2A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Technician changes task status</w:t>
            </w:r>
          </w:p>
        </w:tc>
        <w:tc>
          <w:tcPr>
            <w:tcW w:w="1750" w:type="dxa"/>
            <w:tcMar>
              <w:top w:w="80" w:type="dxa"/>
              <w:left w:w="80" w:type="dxa"/>
              <w:bottom w:w="80" w:type="dxa"/>
              <w:right w:w="80" w:type="dxa"/>
            </w:tcMar>
            <w:vAlign w:val="center"/>
          </w:tcPr>
          <w:p w14:paraId="4A3ED73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Pending → Completed</w:t>
            </w:r>
          </w:p>
        </w:tc>
        <w:tc>
          <w:tcPr>
            <w:tcW w:w="2450" w:type="dxa"/>
            <w:tcMar>
              <w:top w:w="80" w:type="dxa"/>
              <w:left w:w="80" w:type="dxa"/>
              <w:bottom w:w="80" w:type="dxa"/>
              <w:right w:w="80" w:type="dxa"/>
            </w:tcMar>
            <w:vAlign w:val="center"/>
          </w:tcPr>
          <w:p w14:paraId="49EA3F4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System should update the task status successfully</w:t>
            </w:r>
          </w:p>
        </w:tc>
        <w:tc>
          <w:tcPr>
            <w:tcW w:w="900" w:type="dxa"/>
            <w:tcMar>
              <w:top w:w="80" w:type="dxa"/>
              <w:left w:w="80" w:type="dxa"/>
              <w:bottom w:w="80" w:type="dxa"/>
              <w:right w:w="80" w:type="dxa"/>
            </w:tcMar>
            <w:vAlign w:val="center"/>
          </w:tcPr>
          <w:p w14:paraId="4C22511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As Expected</w:t>
            </w:r>
          </w:p>
        </w:tc>
      </w:tr>
    </w:tbl>
    <w:p w14:paraId="60A231F2">
      <w:pPr>
        <w:spacing w:after="20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2DAAB792">
      <w:pPr>
        <w:pStyle w:val="2"/>
        <w:spacing w:before="300" w:after="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 Test Design Techniques</w:t>
      </w:r>
    </w:p>
    <w:p w14:paraId="1E024C86">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6.1 Equivalence Partitioning</w:t>
      </w:r>
    </w:p>
    <w:p w14:paraId="7C3A8A9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Equivalence Partitioning divides input data into valid and invalid groups. For equipment quantity:</w:t>
      </w:r>
    </w:p>
    <w:p w14:paraId="2D758399">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 class: Quantity greater than or equal to 1.</w:t>
      </w:r>
    </w:p>
    <w:p w14:paraId="5EACCE3B">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Invalid class: Quantity less than 1.</w:t>
      </w:r>
    </w:p>
    <w:p w14:paraId="394945D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Example: Quantity = 5 → Valid, Quantity = -3 → Invalid</w:t>
      </w:r>
    </w:p>
    <w:p w14:paraId="50F5BAA6">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6.2 Boundary Value Analysis</w:t>
      </w:r>
    </w:p>
    <w:p w14:paraId="4E20E062">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Boundary Value Analysis checks values near the minimum or maximum allowed limit. For equipment quantity:</w:t>
      </w:r>
    </w:p>
    <w:p w14:paraId="49E56AE8">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0 → Invalid</w:t>
      </w:r>
    </w:p>
    <w:p w14:paraId="73A6A0D3">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 Valid</w:t>
      </w:r>
    </w:p>
    <w:p w14:paraId="1709863B">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 Valid</w:t>
      </w:r>
    </w:p>
    <w:p w14:paraId="04C5E025">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This helps verify whether the system correctly handles values close to the boundary.</w:t>
      </w:r>
    </w:p>
    <w:p w14:paraId="76B6FD98">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6.3 Decision Table Testing</w:t>
      </w:r>
    </w:p>
    <w:p w14:paraId="553B902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Decision Table Testing is used for login verification.</w:t>
      </w:r>
    </w:p>
    <w:p w14:paraId="41953991">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6.4 State Transition Testing</w:t>
      </w:r>
    </w:p>
    <w:p w14:paraId="0E65E31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State Transition Testing is used for predictive maintenance task status. Task States:</w:t>
      </w:r>
    </w:p>
    <w:p w14:paraId="1E7B47F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Pending → In Progress → Completed</w:t>
      </w:r>
    </w:p>
    <w:p w14:paraId="5BF419C5">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 task should move only through valid states. For example, a completed task should not return directly to the pending state without proper authorization.</w:t>
      </w:r>
    </w:p>
    <w:p w14:paraId="586E9706">
      <w:pPr>
        <w:pStyle w:val="2"/>
        <w:spacing w:before="300" w:after="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7. Requirement Traceability and Coverage</w:t>
      </w:r>
    </w:p>
    <w:p w14:paraId="6E469A5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test cases are mapped with the main system requirements to ensure proper coverage.</w:t>
      </w:r>
    </w:p>
    <w:p w14:paraId="1391C58C">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Login and Security: TC01, TC02, TC03, TC18</w:t>
      </w:r>
    </w:p>
    <w:p w14:paraId="1C84EBB2">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Equipment Inventory: TC04, TC05, TC06, TC07</w:t>
      </w:r>
    </w:p>
    <w:p w14:paraId="6FA4544B">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Maintenance Operations: TC08, TC09</w:t>
      </w:r>
    </w:p>
    <w:p w14:paraId="5B625E15">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Fault Detection: TC10, TC11, TC12, TC17</w:t>
      </w:r>
    </w:p>
    <w:p w14:paraId="44C7321C">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Sensor Data Tracking: TC13, TC14</w:t>
      </w:r>
    </w:p>
    <w:p w14:paraId="4E7D8354">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Maintenance Reports: TC15, TC16</w:t>
      </w:r>
    </w:p>
    <w:p w14:paraId="6D5FE4D0">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test cases cover normal conditions, invalid inputs, boundary values, missing data, unauthorized access, and exceptional situations.</w:t>
      </w:r>
    </w:p>
    <w:p w14:paraId="2211395F">
      <w:pPr>
        <w:pStyle w:val="2"/>
        <w:spacing w:before="300" w:after="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8. Types of Testing Applied</w:t>
      </w:r>
    </w:p>
    <w:p w14:paraId="4AABA87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Different types of testing are used to check whether the Smart Medical Equipment Predictive Maintenance Platform works correctly and satisfies user requirements.</w:t>
      </w:r>
    </w:p>
    <w:p w14:paraId="20D15F9E">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8.1 Functional Testing</w:t>
      </w:r>
    </w:p>
    <w:p w14:paraId="30C1D830">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Functional testing is used to verify the main functions of the system. It checks features such as user login, equipment inventory, maintenance task management, fault detection, sensor data tracking, report generation, and notifications.</w:t>
      </w:r>
    </w:p>
    <w:p w14:paraId="74C4AB0D">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8.2 Validation Testing</w:t>
      </w:r>
    </w:p>
    <w:p w14:paraId="121F960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Validation testing checks whether the user enters correct and acceptable data into the system. For example, equipment quantity should not contain negative values, and mandatory fields should not be left empty.</w:t>
      </w:r>
    </w:p>
    <w:p w14:paraId="7FA78F25">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8.3 Security Testing</w:t>
      </w:r>
    </w:p>
    <w:p w14:paraId="59AC487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Security testing is performed to ensure that unauthorized users cannot access restricted features. For example, a maintenance technician should not be able to access administrator functions.</w:t>
      </w:r>
    </w:p>
    <w:p w14:paraId="41190932">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8.4 Performance Testing</w:t>
      </w:r>
    </w:p>
    <w:p w14:paraId="23DEF6D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Performance testing checks whether the system responds quickly while processing inventory records, maintenance tasks, sensor data, reports, and other user requests.</w:t>
      </w:r>
    </w:p>
    <w:p w14:paraId="2A8E3A79">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8.5 Usability Testing</w:t>
      </w:r>
    </w:p>
    <w:p w14:paraId="0AE0FC7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Usability testing ensures that the application is simple and easy to understand. Users should be able to access important features without confusion.</w:t>
      </w:r>
    </w:p>
    <w:p w14:paraId="0926A8B9">
      <w:pPr>
        <w:pStyle w:val="2"/>
        <w:spacing w:before="300" w:after="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9. Testing Process</w:t>
      </w:r>
    </w:p>
    <w:p w14:paraId="0A87EB2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testing process is carried out step by step to identify errors and verify the overall working of the system.</w:t>
      </w:r>
    </w:p>
    <w:p w14:paraId="63429A17">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1 – Requirement Analysis</w:t>
      </w:r>
    </w:p>
    <w:p w14:paraId="628F5DB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functional and non-functional requirements of the system are studied to understand what features need to be tested.</w:t>
      </w:r>
    </w:p>
    <w:p w14:paraId="364B32B5">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2 – Test Scenario Identification</w:t>
      </w:r>
    </w:p>
    <w:p w14:paraId="3B0A4D8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Different situations such as valid login, invalid login, equipment entry, fault detection, sensor tracking, and report generation are identified.</w:t>
      </w:r>
    </w:p>
    <w:p w14:paraId="3AF641C7">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3 – Test Case Preparation</w:t>
      </w:r>
    </w:p>
    <w:p w14:paraId="68A23F1A">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Test cases are prepared with test data, test steps, expected results, and actual results.</w:t>
      </w:r>
    </w:p>
    <w:p w14:paraId="7432450B">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4 – Test Execution</w:t>
      </w:r>
    </w:p>
    <w:p w14:paraId="1492BD2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prepared test cases are executed on the system and the actual output is compared with the expected output.</w:t>
      </w:r>
    </w:p>
    <w:p w14:paraId="4A2ED204">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5 – Defect Identification</w:t>
      </w:r>
    </w:p>
    <w:p w14:paraId="709351B8">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If the actual result is different from the expected result, the issue is identified and recorded as a defect.</w:t>
      </w:r>
    </w:p>
    <w:p w14:paraId="3EF18AD6">
      <w:pPr>
        <w:pStyle w:val="3"/>
        <w:spacing w:before="200"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6 – Retesting</w:t>
      </w:r>
    </w:p>
    <w:p w14:paraId="47BD849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After correcting the identified defect, the same test case is executed again to confirm that the problem has been solved.</w:t>
      </w:r>
    </w:p>
    <w:p w14:paraId="4DD6A8FE">
      <w:pPr>
        <w:pStyle w:val="2"/>
        <w:spacing w:before="300" w:after="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10. Defect Handling and Test Result Analysis</w:t>
      </w:r>
    </w:p>
    <w:p w14:paraId="13BCF21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During software testing, defects may occur when the actual output of the system does not match the expected output. These defects should be identified and corrected before the system is released. Defects can be classified based on their impact:</w:t>
      </w:r>
    </w:p>
    <w:p w14:paraId="715E0553">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Critical: The system or an important feature cannot function.</w:t>
      </w:r>
    </w:p>
    <w:p w14:paraId="433DE34E">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High: A major functionality does not work correctly.</w:t>
      </w:r>
    </w:p>
    <w:p w14:paraId="08D6E4A6">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Medium: The functionality works but contains some errors.</w:t>
      </w:r>
    </w:p>
    <w:p w14:paraId="7379A81B">
      <w:pPr>
        <w:pStyle w:val="16"/>
        <w:numPr>
          <w:ilvl w:val="0"/>
          <w:numId w:val="1"/>
        </w:numPr>
        <w:spacing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Low: Minor issues that do not affect the main operation of the system.</w:t>
      </w:r>
    </w:p>
    <w:p w14:paraId="49E740E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After fixing a defect, retesting should be performed to ensure that the problem has been resolved. Regression testing can also be performed to verify that the changes have not affected other existing features. The final test results help determine whether the Smart Medical Equipment Predictive Maintenance Platform is stable and ready for use.</w:t>
      </w:r>
    </w:p>
    <w:p w14:paraId="493667EC">
      <w:pPr>
        <w:pStyle w:val="2"/>
        <w:spacing w:before="300" w:after="15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11. Conclusion</w:t>
      </w:r>
    </w:p>
    <w:p w14:paraId="1E4424F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prepared test cases verify the important functions of the Smart Medical Equipment Predictive Maintenance Platform. The test design covers login, equipment inventory management, maintenance operations, fault detection, sensor data tracking, reporting, and notifications. Techniques such as Equivalence Partitioning, B</w:t>
      </w:r>
      <w:bookmarkStart w:id="0" w:name="_GoBack"/>
      <w:bookmarkEnd w:id="0"/>
      <w:r>
        <w:rPr>
          <w:rFonts w:hint="default" w:ascii="Times New Roman" w:hAnsi="Times New Roman" w:cs="Times New Roman"/>
          <w:b w:val="0"/>
          <w:bCs w:val="0"/>
          <w:color w:val="000000" w:themeColor="text1"/>
          <w:sz w:val="24"/>
          <w:szCs w:val="24"/>
          <w14:textFill>
            <w14:solidFill>
              <w14:schemeClr w14:val="tx1"/>
            </w14:solidFill>
          </w14:textFill>
        </w:rPr>
        <w:t>oundary Value Analysis, Decision Table Testing, and State Transition Testing are applied to improve test coverage and system reliability.</w:t>
      </w:r>
    </w:p>
    <w:sectPr>
      <w:pgSz w:w="12240" w:h="15840"/>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Script">
    <w:panose1 w:val="030B0504020000000003"/>
    <w:charset w:val="00"/>
    <w:family w:val="auto"/>
    <w:pitch w:val="default"/>
    <w:sig w:usb0="0000028F" w:usb1="00000000" w:usb2="00000000" w:usb3="00000000" w:csb0="000000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16A50F9"/>
    <w:rsid w:val="602202C6"/>
    <w:rsid w:val="687F18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2026-08-25T05:49:00Z</dcterms:created>
  <dc:creator>Un-named</dc:creator>
  <cp:lastModifiedBy>surit</cp:lastModifiedBy>
  <dcterms:modified xsi:type="dcterms:W3CDTF">2026-08-25T05:55:01Z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C8FFAFCCCE624C3A837FEE48AC0DD55E_13</vt:lpwstr>
  </property>
</Properties>
</file>