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1F4E79"/>
          <w:sz w:val="26"/>
          <w:szCs w:val="26"/>
        </w:rPr>
        <w:t xml:space="preserve">SIMATS ENGINEERING (SAVEETHA SCHOOL OF ENGINEERING)</w:t>
      </w:r>
    </w:p>
    <w:p>
      <w:pPr>
        <w:spacing w:after="40" w:before="0"/>
        <w:jc w:val="center"/>
      </w:pPr>
      <w:r>
        <w:rPr>
          <w:b/>
          <w:bCs/>
          <w:color w:val="2E74B5"/>
          <w:sz w:val="22"/>
          <w:szCs w:val="22"/>
        </w:rPr>
        <w:t xml:space="preserve">Department of Computer Science and Engineering</w:t>
      </w:r>
    </w:p>
    <w:p>
      <w:pPr>
        <w:spacing w:after="200" w:before="0"/>
        <w:jc w:val="center"/>
      </w:pPr>
      <w:r>
        <w:rPr>
          <w:b/>
          <w:bCs/>
          <w:color w:val="C00000"/>
          <w:sz w:val="24"/>
          <w:szCs w:val="24"/>
        </w:rPr>
        <w:t xml:space="preserve">CO3 ASSESSMENT TOOL 2 – CODE REVIEW &amp; REPOSITORY EVALUATION</w:t>
      </w:r>
    </w:p>
    <w:p>
      <w:pPr>
        <w:pBdr>
          <w:bottom w:val="single" w:color="1F4E79" w:sz="6"/>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shd w:fill="DCE6F1" w:val="clear"/>
            <w:tcMar>
              <w:top w:type="dxa" w:w="80"/>
              <w:left w:type="dxa" w:w="100"/>
              <w:bottom w:type="dxa" w:w="80"/>
              <w:right w:type="dxa" w:w="100"/>
            </w:tcMar>
            <w:vAlign w:val="center"/>
          </w:tcPr>
          <w:p>
            <w:pPr>
              <w:jc w:val="left"/>
            </w:pPr>
            <w:r>
              <w:rPr>
                <w:b/>
                <w:bCs/>
              </w:rPr>
              <w:t xml:space="preserve">Course Code:</w:t>
            </w:r>
          </w:p>
        </w:tc>
        <w:tc>
          <w:tcPr>
            <w:tcW w:type="dxa" w:w="2480"/>
            <w:tcMar>
              <w:top w:type="dxa" w:w="80"/>
              <w:left w:type="dxa" w:w="100"/>
              <w:bottom w:type="dxa" w:w="80"/>
              <w:right w:type="dxa" w:w="100"/>
            </w:tcMar>
            <w:vAlign w:val="center"/>
          </w:tcPr>
          <w:p>
            <w:pPr>
              <w:jc w:val="left"/>
            </w:pPr>
            <w:r>
              <w:t xml:space="preserve">CSA1007</w:t>
            </w:r>
          </w:p>
        </w:tc>
        <w:tc>
          <w:tcPr>
            <w:tcW w:type="dxa" w:w="2200"/>
            <w:shd w:fill="DCE6F1" w:val="clear"/>
            <w:tcMar>
              <w:top w:type="dxa" w:w="80"/>
              <w:left w:type="dxa" w:w="100"/>
              <w:bottom w:type="dxa" w:w="80"/>
              <w:right w:type="dxa" w:w="100"/>
            </w:tcMar>
            <w:vAlign w:val="center"/>
          </w:tcPr>
          <w:p>
            <w:pPr>
              <w:jc w:val="left"/>
            </w:pPr>
            <w:r>
              <w:rPr>
                <w:b/>
                <w:bCs/>
              </w:rPr>
              <w:t xml:space="preserve">Course Title:</w:t>
            </w:r>
          </w:p>
        </w:tc>
        <w:tc>
          <w:tcPr>
            <w:tcW w:type="dxa" w:w="2480"/>
            <w:tcMar>
              <w:top w:type="dxa" w:w="80"/>
              <w:left w:type="dxa" w:w="100"/>
              <w:bottom w:type="dxa" w:w="80"/>
              <w:right w:type="dxa" w:w="100"/>
            </w:tcMar>
            <w:vAlign w:val="center"/>
          </w:tcPr>
          <w:p>
            <w:pPr>
              <w:jc w:val="left"/>
            </w:pPr>
            <w:r>
              <w:t xml:space="preserve">Software Engineering</w:t>
            </w:r>
          </w:p>
        </w:tc>
      </w:tr>
      <w:tr>
        <w:tc>
          <w:tcPr>
            <w:tcW w:type="dxa" w:w="2200"/>
            <w:shd w:fill="DCE6F1" w:val="clear"/>
            <w:tcMar>
              <w:top w:type="dxa" w:w="80"/>
              <w:left w:type="dxa" w:w="100"/>
              <w:bottom w:type="dxa" w:w="80"/>
              <w:right w:type="dxa" w:w="100"/>
            </w:tcMar>
            <w:vAlign w:val="center"/>
          </w:tcPr>
          <w:p>
            <w:pPr>
              <w:jc w:val="left"/>
            </w:pPr>
            <w:r>
              <w:rPr>
                <w:b/>
                <w:bCs/>
              </w:rPr>
              <w:t xml:space="preserve">CO Assessed:</w:t>
            </w:r>
          </w:p>
        </w:tc>
        <w:tc>
          <w:tcPr>
            <w:tcW w:type="dxa" w:w="2480"/>
            <w:tcMar>
              <w:top w:type="dxa" w:w="80"/>
              <w:left w:type="dxa" w:w="100"/>
              <w:bottom w:type="dxa" w:w="80"/>
              <w:right w:type="dxa" w:w="100"/>
            </w:tcMar>
            <w:vAlign w:val="center"/>
          </w:tcPr>
          <w:p>
            <w:pPr>
              <w:jc w:val="left"/>
            </w:pPr>
            <w:r>
              <w:t xml:space="preserve">CO3</w:t>
            </w:r>
          </w:p>
        </w:tc>
        <w:tc>
          <w:tcPr>
            <w:tcW w:type="dxa" w:w="2200"/>
            <w:shd w:fill="DCE6F1" w:val="clear"/>
            <w:tcMar>
              <w:top w:type="dxa" w:w="80"/>
              <w:left w:type="dxa" w:w="100"/>
              <w:bottom w:type="dxa" w:w="80"/>
              <w:right w:type="dxa" w:w="100"/>
            </w:tcMar>
            <w:vAlign w:val="center"/>
          </w:tcPr>
          <w:p>
            <w:pPr>
              <w:jc w:val="left"/>
            </w:pPr>
            <w:r>
              <w:rPr>
                <w:b/>
                <w:bCs/>
              </w:rPr>
              <w:t xml:space="preserve">Assessment:</w:t>
            </w:r>
          </w:p>
        </w:tc>
        <w:tc>
          <w:tcPr>
            <w:tcW w:type="dxa" w:w="2480"/>
            <w:tcMar>
              <w:top w:type="dxa" w:w="80"/>
              <w:left w:type="dxa" w:w="100"/>
              <w:bottom w:type="dxa" w:w="80"/>
              <w:right w:type="dxa" w:w="100"/>
            </w:tcMar>
            <w:vAlign w:val="center"/>
          </w:tcPr>
          <w:p>
            <w:pPr>
              <w:jc w:val="left"/>
            </w:pPr>
            <w:r>
              <w:t xml:space="preserve">Assessment Tool 2 – Code Review &amp; Repository Evaluation</w:t>
            </w:r>
          </w:p>
        </w:tc>
      </w:tr>
      <w:tr>
        <w:tc>
          <w:tcPr>
            <w:tcW w:type="dxa" w:w="2200"/>
            <w:shd w:fill="DCE6F1" w:val="clear"/>
            <w:tcMar>
              <w:top w:type="dxa" w:w="80"/>
              <w:left w:type="dxa" w:w="100"/>
              <w:bottom w:type="dxa" w:w="80"/>
              <w:right w:type="dxa" w:w="100"/>
            </w:tcMar>
            <w:vAlign w:val="center"/>
          </w:tcPr>
          <w:p>
            <w:pPr>
              <w:jc w:val="left"/>
            </w:pPr>
            <w:r>
              <w:rPr>
                <w:b/>
                <w:bCs/>
              </w:rPr>
              <w:t xml:space="preserve">Weightage:</w:t>
            </w:r>
          </w:p>
        </w:tc>
        <w:tc>
          <w:tcPr>
            <w:tcW w:type="dxa" w:w="2480"/>
            <w:tcMar>
              <w:top w:type="dxa" w:w="80"/>
              <w:left w:type="dxa" w:w="100"/>
              <w:bottom w:type="dxa" w:w="80"/>
              <w:right w:type="dxa" w:w="100"/>
            </w:tcMar>
            <w:vAlign w:val="center"/>
          </w:tcPr>
          <w:p>
            <w:pPr>
              <w:jc w:val="left"/>
            </w:pPr>
            <w:r>
              <w:t xml:space="preserve">20%</w:t>
            </w:r>
          </w:p>
        </w:tc>
        <w:tc>
          <w:tcPr>
            <w:tcW w:type="dxa" w:w="2200"/>
            <w:shd w:fill="DCE6F1" w:val="clear"/>
            <w:tcMar>
              <w:top w:type="dxa" w:w="80"/>
              <w:left w:type="dxa" w:w="100"/>
              <w:bottom w:type="dxa" w:w="80"/>
              <w:right w:type="dxa" w:w="100"/>
            </w:tcMar>
            <w:vAlign w:val="center"/>
          </w:tcPr>
          <w:p>
            <w:pPr>
              <w:jc w:val="left"/>
            </w:pPr>
            <w:r>
              <w:rPr>
                <w:b/>
                <w:bCs/>
              </w:rPr>
              <w:t xml:space="preserve">Total Marks:</w:t>
            </w:r>
          </w:p>
        </w:tc>
        <w:tc>
          <w:tcPr>
            <w:tcW w:type="dxa" w:w="2480"/>
            <w:tcMar>
              <w:top w:type="dxa" w:w="80"/>
              <w:left w:type="dxa" w:w="100"/>
              <w:bottom w:type="dxa" w:w="80"/>
              <w:right w:type="dxa" w:w="100"/>
            </w:tcMar>
            <w:vAlign w:val="center"/>
          </w:tcPr>
          <w:p>
            <w:pPr>
              <w:jc w:val="left"/>
            </w:pPr>
            <w:r>
              <w:t xml:space="preserve">25</w:t>
            </w:r>
          </w:p>
        </w:tc>
      </w:tr>
      <w:tr>
        <w:tc>
          <w:tcPr>
            <w:tcW w:type="dxa" w:w="2200"/>
            <w:shd w:fill="DCE6F1" w:val="clear"/>
            <w:tcMar>
              <w:top w:type="dxa" w:w="80"/>
              <w:left w:type="dxa" w:w="100"/>
              <w:bottom w:type="dxa" w:w="80"/>
              <w:right w:type="dxa" w:w="100"/>
            </w:tcMar>
            <w:vAlign w:val="center"/>
          </w:tcPr>
          <w:p>
            <w:pPr>
              <w:jc w:val="left"/>
            </w:pPr>
            <w:r>
              <w:rPr>
                <w:b/>
                <w:bCs/>
              </w:rPr>
              <w:t xml:space="preserve">CO3 Statement:</w:t>
            </w:r>
          </w:p>
        </w:tc>
        <w:tc>
          <w:tcPr>
            <w:tcW w:type="dxa" w:w="9440"/>
            <w:tcMar>
              <w:top w:type="dxa" w:w="80"/>
              <w:left w:type="dxa" w:w="100"/>
              <w:bottom w:type="dxa" w:w="80"/>
              <w:right w:type="dxa" w:w="100"/>
            </w:tcMar>
          </w:tcPr>
          <w:p>
            <w:r>
              <w:rPr>
                <w:i/>
                <w:iCs/>
              </w:rPr>
              <w:t xml:space="preserve">Build full-stack applications with an emphasis on containerization, version control, and collaborative development</w:t>
            </w:r>
          </w:p>
        </w:tc>
      </w:tr>
      <w:tr>
        <w:tc>
          <w:tcPr>
            <w:tcW w:type="dxa" w:w="2200"/>
            <w:shd w:fill="DCE6F1" w:val="clear"/>
            <w:tcMar>
              <w:top w:type="dxa" w:w="80"/>
              <w:left w:type="dxa" w:w="100"/>
              <w:bottom w:type="dxa" w:w="80"/>
              <w:right w:type="dxa" w:w="100"/>
            </w:tcMar>
            <w:vAlign w:val="center"/>
          </w:tcPr>
          <w:p>
            <w:pPr>
              <w:jc w:val="left"/>
            </w:pPr>
            <w:r>
              <w:rPr>
                <w:b/>
                <w:bCs/>
              </w:rPr>
              <w:t xml:space="preserve">Student Name:</w:t>
            </w:r>
          </w:p>
        </w:tc>
        <w:tc>
          <w:tcPr>
            <w:tcW w:type="dxa" w:w="2480"/>
            <w:tcMar>
              <w:top w:type="dxa" w:w="80"/>
              <w:left w:type="dxa" w:w="100"/>
              <w:bottom w:type="dxa" w:w="80"/>
              <w:right w:type="dxa" w:w="100"/>
            </w:tcMar>
            <w:vAlign w:val="center"/>
          </w:tcPr>
          <w:p>
            <w:pPr>
              <w:jc w:val="left"/>
            </w:pPr>
            <w:r>
              <w:t xml:space="preserve">Jeevan R</w:t>
            </w:r>
          </w:p>
        </w:tc>
        <w:tc>
          <w:tcPr>
            <w:tcW w:type="dxa" w:w="2200"/>
            <w:shd w:fill="DCE6F1" w:val="clear"/>
            <w:tcMar>
              <w:top w:type="dxa" w:w="80"/>
              <w:left w:type="dxa" w:w="100"/>
              <w:bottom w:type="dxa" w:w="80"/>
              <w:right w:type="dxa" w:w="100"/>
            </w:tcMar>
            <w:vAlign w:val="center"/>
          </w:tcPr>
          <w:p>
            <w:pPr>
              <w:jc w:val="left"/>
            </w:pPr>
            <w:r>
              <w:rPr>
                <w:b/>
                <w:bCs/>
              </w:rPr>
              <w:t xml:space="preserve">Reg. No:</w:t>
            </w:r>
          </w:p>
        </w:tc>
        <w:tc>
          <w:tcPr>
            <w:tcW w:type="dxa" w:w="2480"/>
            <w:tcMar>
              <w:top w:type="dxa" w:w="80"/>
              <w:left w:type="dxa" w:w="100"/>
              <w:bottom w:type="dxa" w:w="80"/>
              <w:right w:type="dxa" w:w="100"/>
            </w:tcMar>
            <w:vAlign w:val="center"/>
          </w:tcPr>
          <w:p>
            <w:pPr>
              <w:jc w:val="left"/>
            </w:pPr>
            <w:r>
              <w:t xml:space="preserve">192524007</w:t>
            </w:r>
          </w:p>
        </w:tc>
      </w:tr>
      <w:tr>
        <w:tc>
          <w:tcPr>
            <w:tcW w:type="dxa" w:w="2200"/>
            <w:shd w:fill="DCE6F1" w:val="clear"/>
            <w:tcMar>
              <w:top w:type="dxa" w:w="80"/>
              <w:left w:type="dxa" w:w="100"/>
              <w:bottom w:type="dxa" w:w="80"/>
              <w:right w:type="dxa" w:w="100"/>
            </w:tcMar>
            <w:vAlign w:val="center"/>
          </w:tcPr>
          <w:p>
            <w:pPr>
              <w:jc w:val="left"/>
            </w:pPr>
            <w:r>
              <w:rPr>
                <w:b/>
                <w:bCs/>
              </w:rPr>
              <w:t xml:space="preserve">Date:</w:t>
            </w:r>
          </w:p>
        </w:tc>
        <w:tc>
          <w:tcPr>
            <w:tcW w:type="dxa" w:w="2480"/>
            <w:tcMar>
              <w:top w:type="dxa" w:w="80"/>
              <w:left w:type="dxa" w:w="100"/>
              <w:bottom w:type="dxa" w:w="80"/>
              <w:right w:type="dxa" w:w="100"/>
            </w:tcMar>
            <w:vAlign w:val="center"/>
          </w:tcPr>
          <w:p>
            <w:pPr>
              <w:jc w:val="left"/>
            </w:pPr>
            <w:r>
              <w:t xml:space="preserve">15/08/2026</w:t>
            </w:r>
          </w:p>
        </w:tc>
        <w:tc>
          <w:tcPr>
            <w:tcW w:type="dxa" w:w="2200"/>
            <w:shd w:fill="DCE6F1" w:val="clear"/>
            <w:tcMar>
              <w:top w:type="dxa" w:w="80"/>
              <w:left w:type="dxa" w:w="100"/>
              <w:bottom w:type="dxa" w:w="80"/>
              <w:right w:type="dxa" w:w="100"/>
            </w:tcMar>
            <w:vAlign w:val="center"/>
          </w:tcPr>
          <w:p>
            <w:pPr>
              <w:jc w:val="left"/>
            </w:pPr>
            <w:r>
              <w:rPr>
                <w:b/>
                <w:bCs/>
              </w:rPr>
              <w:t xml:space="preserve">Duration:</w:t>
            </w:r>
          </w:p>
        </w:tc>
        <w:tc>
          <w:tcPr>
            <w:tcW w:type="dxa" w:w="2480"/>
            <w:tcMar>
              <w:top w:type="dxa" w:w="80"/>
              <w:left w:type="dxa" w:w="100"/>
              <w:bottom w:type="dxa" w:w="80"/>
              <w:right w:type="dxa" w:w="100"/>
            </w:tcMar>
            <w:vAlign w:val="center"/>
          </w:tcPr>
          <w:p>
            <w:pPr>
              <w:jc w:val="left"/>
            </w:pPr>
            <w:r>
              <w:t xml:space="preserve">60 minutes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60" w:before="0"/>
            </w:pPr>
            <w:r>
              <w:rPr>
                <w:b/>
                <w:bCs/>
                <w:color w:val="C00000"/>
              </w:rPr>
              <w:t xml:space="preserve">Code of Conduct</w:t>
            </w:r>
          </w:p>
          <w:p>
            <w:pPr>
              <w:spacing w:after="60"/>
            </w:pPr>
            <w:r>
              <w:rPr>
                <w:i/>
                <w:iCs/>
              </w:rPr>
              <w:t xml:space="preserve">I JEEVAN R/192524007 (Name / Reg No) certify that this submission is my original work and that I have adhered to the guidelines specified for this assessment. I understand that any violation of academic integrity rules will result in disciplinary action.</w:t>
            </w:r>
          </w:p>
          <w:p>
            <w:r>
              <w:t xml:space="preserve">Signature of the Student: </w:t>
            </w:r>
            <w:r>
              <w:rPr>
                <w:b/>
                <w:bCs/>
              </w:rPr>
              <w:t xml:space="preserve">JEEVAN R</w:t>
            </w:r>
          </w:p>
        </w:tc>
      </w:tr>
    </w:tbl>
    <w:p>
      <w:pPr>
        <w:pBdr>
          <w:bottom w:val="single" w:color="C00000" w:sz="4"/>
        </w:pBdr>
        <w:spacing w:after="120" w:before="280"/>
      </w:pPr>
      <w:r>
        <w:rPr>
          <w:b/>
          <w:bCs/>
          <w:color w:val="C00000"/>
          <w:sz w:val="24"/>
          <w:szCs w:val="24"/>
        </w:rPr>
        <w:t xml:space="preserve">Annexure A – </w:t>
      </w:r>
      <w:r>
        <w:rPr>
          <w:b/>
          <w:bCs/>
          <w:color w:val="1F4E79"/>
          <w:sz w:val="24"/>
          <w:szCs w:val="24"/>
        </w:rPr>
        <w:t xml:space="preserve">Code Review &amp; Repository Evaluation</w:t>
      </w:r>
    </w:p>
    <w:p>
      <w:pPr>
        <w:spacing w:after="80" w:before="0"/>
      </w:pPr>
      <w:r>
        <w:rPr>
          <w:b/>
          <w:bCs/>
        </w:rPr>
        <w:t xml:space="preserve">Instructions to Students:</w:t>
      </w:r>
    </w:p>
    <w:p>
      <w:pPr>
        <w:spacing w:after="160" w:before="0"/>
      </w:pPr>
      <w:r>
        <w:t xml:space="preserve">Each student has been assigned an individual problem statement. Based on the assigned problem statement, perform a Code Review and Repository Evaluation of your project. Analyze the quality of the source code, repository organization, documentation, coding practices, and overall maintainability. Provide appropriate screenshots, code snippets, diagrams, and justifications wherever applicable.</w:t>
      </w:r>
    </w:p>
    <w:p>
      <w:pPr>
        <w:spacing w:after="120" w:before="120"/>
      </w:pPr>
      <w:r>
        <w:rPr>
          <w:b/>
          <w:bCs/>
        </w:rPr>
        <w:t xml:space="preserve">Assignment Questions</w:t>
      </w:r>
    </w:p>
    <w:p>
      <w:pPr>
        <w:pStyle w:val="ListParagraph"/>
        <w:numPr>
          <w:ilvl w:val="0"/>
          <w:numId w:val="2"/>
        </w:numPr>
        <w:spacing w:after="60"/>
      </w:pPr>
      <w:r>
        <w:rPr>
          <w:b/>
          <w:bCs/>
        </w:rPr>
        <w:t xml:space="preserve">Problem Overview</w:t>
      </w:r>
    </w:p>
    <w:p>
      <w:pPr>
        <w:pStyle w:val="ListParagraph"/>
        <w:numPr>
          <w:ilvl w:val="1"/>
          <w:numId w:val="2"/>
        </w:numPr>
        <w:spacing w:after="60"/>
      </w:pPr>
      <w:r>
        <w:t xml:space="preserve">Explain the assigned problem statement and summarize the implemented solution.</w:t>
      </w:r>
    </w:p>
    <w:p>
      <w:pPr>
        <w:pStyle w:val="ListParagraph"/>
        <w:numPr>
          <w:ilvl w:val="1"/>
          <w:numId w:val="2"/>
        </w:numPr>
        <w:spacing w:after="60"/>
      </w:pPr>
      <w:r>
        <w:t xml:space="preserve">Describe the project objectives and key functionalities.</w:t>
      </w:r>
    </w:p>
    <w:p>
      <w:pPr>
        <w:pStyle w:val="ListParagraph"/>
        <w:numPr>
          <w:ilvl w:val="0"/>
          <w:numId w:val="2"/>
        </w:numPr>
        <w:spacing w:after="60"/>
      </w:pPr>
      <w:r>
        <w:rPr>
          <w:b/>
          <w:bCs/>
        </w:rPr>
        <w:t xml:space="preserve">Repository Organization</w:t>
      </w:r>
    </w:p>
    <w:p>
      <w:pPr>
        <w:pStyle w:val="ListParagraph"/>
        <w:numPr>
          <w:ilvl w:val="1"/>
          <w:numId w:val="2"/>
        </w:numPr>
        <w:spacing w:after="60"/>
      </w:pPr>
      <w:r>
        <w:t xml:space="preserve">Evaluate the repository structure, folder organization, and file naming conventions.</w:t>
      </w:r>
    </w:p>
    <w:p>
      <w:pPr>
        <w:pStyle w:val="ListParagraph"/>
        <w:numPr>
          <w:ilvl w:val="1"/>
          <w:numId w:val="2"/>
        </w:numPr>
        <w:spacing w:after="60"/>
      </w:pPr>
      <w:r>
        <w:t xml:space="preserve">Justify how the repository layout supports maintainability and collaboration.</w:t>
      </w:r>
    </w:p>
    <w:p>
      <w:pPr>
        <w:pStyle w:val="ListParagraph"/>
        <w:numPr>
          <w:ilvl w:val="0"/>
          <w:numId w:val="2"/>
        </w:numPr>
        <w:spacing w:after="60"/>
      </w:pPr>
      <w:r>
        <w:rPr>
          <w:b/>
          <w:bCs/>
        </w:rPr>
        <w:t xml:space="preserve">Code Quality Review</w:t>
      </w:r>
    </w:p>
    <w:p>
      <w:pPr>
        <w:pStyle w:val="ListParagraph"/>
        <w:numPr>
          <w:ilvl w:val="1"/>
          <w:numId w:val="2"/>
        </w:numPr>
        <w:spacing w:after="60"/>
      </w:pPr>
      <w:r>
        <w:t xml:space="preserve">Review the source code for readability, modularity, coding standards, and documentation.</w:t>
      </w:r>
    </w:p>
    <w:p>
      <w:pPr>
        <w:pStyle w:val="ListParagraph"/>
        <w:numPr>
          <w:ilvl w:val="1"/>
          <w:numId w:val="2"/>
        </w:numPr>
        <w:spacing w:after="60"/>
      </w:pPr>
      <w:r>
        <w:t xml:space="preserve">Identify strengths and areas for improvement.</w:t>
      </w:r>
    </w:p>
    <w:p>
      <w:pPr>
        <w:pStyle w:val="ListParagraph"/>
        <w:numPr>
          <w:ilvl w:val="0"/>
          <w:numId w:val="2"/>
        </w:numPr>
        <w:spacing w:after="60"/>
      </w:pPr>
      <w:r>
        <w:rPr>
          <w:b/>
          <w:bCs/>
        </w:rPr>
        <w:t xml:space="preserve">Version Control Evaluation</w:t>
      </w:r>
    </w:p>
    <w:p>
      <w:pPr>
        <w:pStyle w:val="ListParagraph"/>
        <w:numPr>
          <w:ilvl w:val="1"/>
          <w:numId w:val="2"/>
        </w:numPr>
        <w:spacing w:after="60"/>
      </w:pPr>
      <w:r>
        <w:t xml:space="preserve">Analyze the Git repository by reviewing commit history, branching strategy, commit messages, and repository maintenance practices.</w:t>
      </w:r>
    </w:p>
    <w:p>
      <w:pPr>
        <w:pStyle w:val="ListParagraph"/>
        <w:numPr>
          <w:ilvl w:val="1"/>
          <w:numId w:val="2"/>
        </w:numPr>
        <w:spacing w:after="60"/>
      </w:pPr>
      <w:r>
        <w:t xml:space="preserve">Explain how version control supports collaborative software development.</w:t>
      </w:r>
    </w:p>
    <w:p>
      <w:pPr>
        <w:pStyle w:val="ListParagraph"/>
        <w:numPr>
          <w:ilvl w:val="0"/>
          <w:numId w:val="2"/>
        </w:numPr>
        <w:spacing w:after="60"/>
      </w:pPr>
      <w:r>
        <w:rPr>
          <w:b/>
          <w:bCs/>
        </w:rPr>
        <w:t xml:space="preserve">Code Testing and Validation</w:t>
      </w:r>
    </w:p>
    <w:p>
      <w:pPr>
        <w:pStyle w:val="ListParagraph"/>
        <w:numPr>
          <w:ilvl w:val="1"/>
          <w:numId w:val="2"/>
        </w:numPr>
        <w:spacing w:after="60"/>
      </w:pPr>
      <w:r>
        <w:t xml:space="preserve">Demonstrate that the application functions correctly through appropriate testing.</w:t>
      </w:r>
    </w:p>
    <w:p>
      <w:pPr>
        <w:pStyle w:val="ListParagraph"/>
        <w:numPr>
          <w:ilvl w:val="1"/>
          <w:numId w:val="2"/>
        </w:numPr>
        <w:spacing w:after="60"/>
      </w:pPr>
      <w:r>
        <w:t xml:space="preserve">Present test cases, execution results, and screenshots as evidence.</w:t>
      </w:r>
    </w:p>
    <w:p>
      <w:pPr>
        <w:pStyle w:val="ListParagraph"/>
        <w:numPr>
          <w:ilvl w:val="0"/>
          <w:numId w:val="2"/>
        </w:numPr>
        <w:spacing w:after="60"/>
      </w:pPr>
      <w:r>
        <w:rPr>
          <w:b/>
          <w:bCs/>
        </w:rPr>
        <w:t xml:space="preserve">Repository Documentation</w:t>
      </w:r>
    </w:p>
    <w:p>
      <w:pPr>
        <w:pStyle w:val="ListParagraph"/>
        <w:numPr>
          <w:ilvl w:val="1"/>
          <w:numId w:val="2"/>
        </w:numPr>
        <w:spacing w:after="60"/>
      </w:pPr>
      <w:r>
        <w:t xml:space="preserve">Evaluate the completeness of the project documentation, including the README, installation instructions, usage guide, and dependencies.</w:t>
      </w:r>
    </w:p>
    <w:p>
      <w:pPr>
        <w:pStyle w:val="ListParagraph"/>
        <w:numPr>
          <w:ilvl w:val="1"/>
          <w:numId w:val="2"/>
        </w:numPr>
        <w:spacing w:after="60"/>
      </w:pPr>
      <w:r>
        <w:t xml:space="preserve">Suggest improvements to enhance usability and maintainability.</w:t>
      </w:r>
    </w:p>
    <w:p>
      <w:pPr>
        <w:pStyle w:val="ListParagraph"/>
        <w:numPr>
          <w:ilvl w:val="0"/>
          <w:numId w:val="2"/>
        </w:numPr>
        <w:spacing w:after="60"/>
      </w:pPr>
      <w:r>
        <w:rPr>
          <w:b/>
          <w:bCs/>
        </w:rPr>
        <w:t xml:space="preserve">Code Review Findings and Recommendations</w:t>
      </w:r>
    </w:p>
    <w:p>
      <w:pPr>
        <w:pStyle w:val="ListParagraph"/>
        <w:numPr>
          <w:ilvl w:val="1"/>
          <w:numId w:val="2"/>
        </w:numPr>
        <w:spacing w:after="60"/>
      </w:pPr>
      <w:r>
        <w:t xml:space="preserve">Summarize the overall code review findings.</w:t>
      </w:r>
    </w:p>
    <w:p>
      <w:pPr>
        <w:pStyle w:val="ListParagraph"/>
        <w:numPr>
          <w:ilvl w:val="1"/>
          <w:numId w:val="2"/>
        </w:numPr>
        <w:spacing w:after="60"/>
      </w:pPr>
      <w:r>
        <w:t xml:space="preserve">Recommend improvements related to code quality, repository management, documentation, testing, and future enhancements.</w:t>
      </w:r>
    </w:p>
    <w:p>
      <w:pPr>
        <w:spacing w:after="80" w:before="160"/>
      </w:pPr>
      <w:r>
        <w:rPr>
          <w:b/>
          <w:bCs/>
        </w:rPr>
        <w:t xml:space="preserve">Expected Deliverables</w:t>
      </w:r>
    </w:p>
    <w:p>
      <w:pPr>
        <w:pStyle w:val="ListParagraph"/>
        <w:numPr>
          <w:ilvl w:val="0"/>
          <w:numId w:val="1"/>
        </w:numPr>
        <w:spacing w:after="100"/>
      </w:pPr>
      <w:r>
        <w:t xml:space="preserve">Code Review Report (10–15 pages)</w:t>
      </w:r>
    </w:p>
    <w:p>
      <w:pPr>
        <w:pStyle w:val="ListParagraph"/>
        <w:numPr>
          <w:ilvl w:val="0"/>
          <w:numId w:val="1"/>
        </w:numPr>
        <w:spacing w:after="100"/>
      </w:pPr>
      <w:r>
        <w:t xml:space="preserve">Git repository link</w:t>
      </w:r>
    </w:p>
    <w:p>
      <w:pPr>
        <w:pStyle w:val="ListParagraph"/>
        <w:numPr>
          <w:ilvl w:val="0"/>
          <w:numId w:val="1"/>
        </w:numPr>
        <w:spacing w:after="100"/>
      </w:pPr>
      <w:r>
        <w:t xml:space="preserve">Screenshots of repository structure and commit history</w:t>
      </w:r>
    </w:p>
    <w:p>
      <w:pPr>
        <w:pStyle w:val="ListParagraph"/>
        <w:numPr>
          <w:ilvl w:val="0"/>
          <w:numId w:val="1"/>
        </w:numPr>
        <w:spacing w:after="100"/>
      </w:pPr>
      <w:r>
        <w:t xml:space="preserve">Code review observations with examples</w:t>
      </w:r>
    </w:p>
    <w:p>
      <w:pPr>
        <w:pStyle w:val="ListParagraph"/>
        <w:numPr>
          <w:ilvl w:val="0"/>
          <w:numId w:val="1"/>
        </w:numPr>
        <w:spacing w:after="100"/>
      </w:pPr>
      <w:r>
        <w:t xml:space="preserve">Test execution screenshots</w:t>
      </w:r>
    </w:p>
    <w:p>
      <w:pPr>
        <w:pStyle w:val="ListParagraph"/>
        <w:numPr>
          <w:ilvl w:val="0"/>
          <w:numId w:val="1"/>
        </w:numPr>
        <w:spacing w:after="100"/>
      </w:pPr>
      <w:r>
        <w:t xml:space="preserve">Recommendations for improvement</w:t>
      </w:r>
    </w:p>
    <w:p>
      <w:pPr>
        <w:spacing w:after="120" w:before="200"/>
      </w:pPr>
      <w:r>
        <w:rPr>
          <w:b/>
          <w:bCs/>
          <w:color w:val="1F4E79"/>
        </w:rPr>
        <w:t xml:space="preserve">Rubrics for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shd w:fill="1F4E79" w:val="clear"/>
            <w:tcMar>
              <w:top w:type="dxa" w:w="80"/>
              <w:left w:type="dxa" w:w="100"/>
              <w:bottom w:type="dxa" w:w="80"/>
              <w:right w:type="dxa" w:w="100"/>
            </w:tcMar>
            <w:vAlign w:val="center"/>
          </w:tcPr>
          <w:p>
            <w:pPr>
              <w:jc w:val="center"/>
            </w:pPr>
            <w:r>
              <w:rPr>
                <w:b/>
                <w:bCs/>
              </w:rPr>
              <w:t xml:space="preserve">Evaluation Criteria</w:t>
            </w:r>
          </w:p>
        </w:tc>
        <w:tc>
          <w:tcPr>
            <w:tcW w:type="dxa" w:w="1815"/>
            <w:shd w:fill="1F4E79" w:val="clear"/>
            <w:tcMar>
              <w:top w:type="dxa" w:w="80"/>
              <w:left w:type="dxa" w:w="100"/>
              <w:bottom w:type="dxa" w:w="80"/>
              <w:right w:type="dxa" w:w="100"/>
            </w:tcMar>
            <w:vAlign w:val="center"/>
          </w:tcPr>
          <w:p>
            <w:pPr>
              <w:jc w:val="center"/>
            </w:pPr>
            <w:r>
              <w:rPr>
                <w:b/>
                <w:bCs/>
              </w:rPr>
              <w:t xml:space="preserve">Excellent (4 Marks)</w:t>
            </w:r>
          </w:p>
        </w:tc>
        <w:tc>
          <w:tcPr>
            <w:tcW w:type="dxa" w:w="1815"/>
            <w:shd w:fill="1F4E79" w:val="clear"/>
            <w:tcMar>
              <w:top w:type="dxa" w:w="80"/>
              <w:left w:type="dxa" w:w="100"/>
              <w:bottom w:type="dxa" w:w="80"/>
              <w:right w:type="dxa" w:w="100"/>
            </w:tcMar>
            <w:vAlign w:val="center"/>
          </w:tcPr>
          <w:p>
            <w:pPr>
              <w:jc w:val="center"/>
            </w:pPr>
            <w:r>
              <w:rPr>
                <w:b/>
                <w:bCs/>
              </w:rPr>
              <w:t xml:space="preserve">Good (3 Marks)</w:t>
            </w:r>
          </w:p>
        </w:tc>
        <w:tc>
          <w:tcPr>
            <w:tcW w:type="dxa" w:w="1815"/>
            <w:shd w:fill="1F4E79" w:val="clear"/>
            <w:tcMar>
              <w:top w:type="dxa" w:w="80"/>
              <w:left w:type="dxa" w:w="100"/>
              <w:bottom w:type="dxa" w:w="80"/>
              <w:right w:type="dxa" w:w="100"/>
            </w:tcMar>
            <w:vAlign w:val="center"/>
          </w:tcPr>
          <w:p>
            <w:pPr>
              <w:jc w:val="center"/>
            </w:pPr>
            <w:r>
              <w:rPr>
                <w:b/>
                <w:bCs/>
              </w:rPr>
              <w:t xml:space="preserve">Satisfactory (2 Marks)</w:t>
            </w:r>
          </w:p>
        </w:tc>
        <w:tc>
          <w:tcPr>
            <w:tcW w:type="dxa" w:w="1815"/>
            <w:shd w:fill="1F4E79" w:val="clear"/>
            <w:tcMar>
              <w:top w:type="dxa" w:w="80"/>
              <w:left w:type="dxa" w:w="100"/>
              <w:bottom w:type="dxa" w:w="80"/>
              <w:right w:type="dxa" w:w="100"/>
            </w:tcMar>
            <w:vAlign w:val="center"/>
          </w:tcPr>
          <w:p>
            <w:pPr>
              <w:jc w:val="center"/>
            </w:pPr>
            <w:r>
              <w:rPr>
                <w:b/>
                <w:bCs/>
              </w:rPr>
              <w:t xml:space="preserve">Needs Improvement (1 Mark)</w:t>
            </w:r>
          </w:p>
        </w:tc>
      </w:tr>
      <w:tr>
        <w:tc>
          <w:tcPr>
            <w:tcW w:type="dxa" w:w="2100"/>
            <w:shd w:fill="DCE6F1" w:val="clear"/>
            <w:tcMar>
              <w:top w:type="dxa" w:w="80"/>
              <w:left w:type="dxa" w:w="100"/>
              <w:bottom w:type="dxa" w:w="80"/>
              <w:right w:type="dxa" w:w="100"/>
            </w:tcMar>
            <w:vAlign w:val="center"/>
          </w:tcPr>
          <w:p>
            <w:pPr>
              <w:jc w:val="left"/>
            </w:pPr>
            <w:r>
              <w:rPr>
                <w:b/>
                <w:bCs/>
              </w:rPr>
              <w:t xml:space="preserve">Problem Analysis &amp; Repository Organization (15%)</w:t>
            </w:r>
          </w:p>
        </w:tc>
        <w:tc>
          <w:tcPr>
            <w:tcW w:type="dxa" w:w="1815"/>
            <w:shd w:fill="DCE6F1" w:val="clear"/>
            <w:tcMar>
              <w:top w:type="dxa" w:w="80"/>
              <w:left w:type="dxa" w:w="100"/>
              <w:bottom w:type="dxa" w:w="80"/>
              <w:right w:type="dxa" w:w="100"/>
            </w:tcMar>
            <w:vAlign w:val="center"/>
          </w:tcPr>
          <w:p>
            <w:pPr>
              <w:jc w:val="left"/>
            </w:pPr>
            <w:r>
              <w:t xml:space="preserve">Clearly explains the problem, solution, and repository structure with logical organization and justification.</w:t>
            </w:r>
          </w:p>
        </w:tc>
        <w:tc>
          <w:tcPr>
            <w:tcW w:type="dxa" w:w="1815"/>
            <w:shd w:fill="E2EFDA" w:val="clear"/>
            <w:tcMar>
              <w:top w:type="dxa" w:w="80"/>
              <w:left w:type="dxa" w:w="100"/>
              <w:bottom w:type="dxa" w:w="80"/>
              <w:right w:type="dxa" w:w="100"/>
            </w:tcMar>
            <w:vAlign w:val="center"/>
          </w:tcPr>
          <w:p>
            <w:pPr>
              <w:jc w:val="left"/>
            </w:pPr>
            <w:r>
              <w:t xml:space="preserve">Good explanation with minor omissions.</w:t>
            </w:r>
          </w:p>
        </w:tc>
        <w:tc>
          <w:tcPr>
            <w:tcW w:type="dxa" w:w="1815"/>
            <w:shd w:fill="FFF2CC" w:val="clear"/>
            <w:tcMar>
              <w:top w:type="dxa" w:w="80"/>
              <w:left w:type="dxa" w:w="100"/>
              <w:bottom w:type="dxa" w:w="80"/>
              <w:right w:type="dxa" w:w="100"/>
            </w:tcMar>
            <w:vAlign w:val="center"/>
          </w:tcPr>
          <w:p>
            <w:pPr>
              <w:jc w:val="left"/>
            </w:pPr>
            <w:r>
              <w:t xml:space="preserve">Basic explanation and repository organization.</w:t>
            </w:r>
          </w:p>
        </w:tc>
        <w:tc>
          <w:tcPr>
            <w:tcW w:type="dxa" w:w="1815"/>
            <w:tcMar>
              <w:top w:type="dxa" w:w="80"/>
              <w:left w:type="dxa" w:w="100"/>
              <w:bottom w:type="dxa" w:w="80"/>
              <w:right w:type="dxa" w:w="100"/>
            </w:tcMar>
            <w:vAlign w:val="center"/>
          </w:tcPr>
          <w:p>
            <w:pPr>
              <w:jc w:val="left"/>
            </w:pPr>
            <w:r>
              <w:t xml:space="preserve">Incomplete or poorly organized repository.</w:t>
            </w:r>
          </w:p>
        </w:tc>
      </w:tr>
      <w:tr>
        <w:tc>
          <w:tcPr>
            <w:tcW w:type="dxa" w:w="2100"/>
            <w:shd w:fill="DCE6F1" w:val="clear"/>
            <w:tcMar>
              <w:top w:type="dxa" w:w="80"/>
              <w:left w:type="dxa" w:w="100"/>
              <w:bottom w:type="dxa" w:w="80"/>
              <w:right w:type="dxa" w:w="100"/>
            </w:tcMar>
            <w:vAlign w:val="center"/>
          </w:tcPr>
          <w:p>
            <w:pPr>
              <w:jc w:val="left"/>
            </w:pPr>
            <w:r>
              <w:rPr>
                <w:b/>
                <w:bCs/>
              </w:rPr>
              <w:t xml:space="preserve">Code Quality Review (25%)</w:t>
            </w:r>
          </w:p>
        </w:tc>
        <w:tc>
          <w:tcPr>
            <w:tcW w:type="dxa" w:w="1815"/>
            <w:shd w:fill="DCE6F1" w:val="clear"/>
            <w:tcMar>
              <w:top w:type="dxa" w:w="80"/>
              <w:left w:type="dxa" w:w="100"/>
              <w:bottom w:type="dxa" w:w="80"/>
              <w:right w:type="dxa" w:w="100"/>
            </w:tcMar>
            <w:vAlign w:val="center"/>
          </w:tcPr>
          <w:p>
            <w:pPr>
              <w:jc w:val="left"/>
            </w:pPr>
            <w:r>
              <w:t xml:space="preserve">Thorough evaluation of code readability, modularity, coding standards, documentation, and maintainability with clear observations.</w:t>
            </w:r>
          </w:p>
        </w:tc>
        <w:tc>
          <w:tcPr>
            <w:tcW w:type="dxa" w:w="1815"/>
            <w:shd w:fill="E2EFDA" w:val="clear"/>
            <w:tcMar>
              <w:top w:type="dxa" w:w="80"/>
              <w:left w:type="dxa" w:w="100"/>
              <w:bottom w:type="dxa" w:w="80"/>
              <w:right w:type="dxa" w:w="100"/>
            </w:tcMar>
            <w:vAlign w:val="center"/>
          </w:tcPr>
          <w:p>
            <w:pPr>
              <w:jc w:val="left"/>
            </w:pPr>
            <w:r>
              <w:t xml:space="preserve">Good code review with minor gaps.</w:t>
            </w:r>
          </w:p>
        </w:tc>
        <w:tc>
          <w:tcPr>
            <w:tcW w:type="dxa" w:w="1815"/>
            <w:shd w:fill="FFF2CC" w:val="clear"/>
            <w:tcMar>
              <w:top w:type="dxa" w:w="80"/>
              <w:left w:type="dxa" w:w="100"/>
              <w:bottom w:type="dxa" w:w="80"/>
              <w:right w:type="dxa" w:w="100"/>
            </w:tcMar>
            <w:vAlign w:val="center"/>
          </w:tcPr>
          <w:p>
            <w:pPr>
              <w:jc w:val="left"/>
            </w:pPr>
            <w:r>
              <w:t xml:space="preserve">Basic review with limited analysis.</w:t>
            </w:r>
          </w:p>
        </w:tc>
        <w:tc>
          <w:tcPr>
            <w:tcW w:type="dxa" w:w="1815"/>
            <w:tcMar>
              <w:top w:type="dxa" w:w="80"/>
              <w:left w:type="dxa" w:w="100"/>
              <w:bottom w:type="dxa" w:w="80"/>
              <w:right w:type="dxa" w:w="100"/>
            </w:tcMar>
            <w:vAlign w:val="center"/>
          </w:tcPr>
          <w:p>
            <w:pPr>
              <w:jc w:val="left"/>
            </w:pPr>
            <w:r>
              <w:t xml:space="preserve">Superficial or inaccurate code review.</w:t>
            </w:r>
          </w:p>
        </w:tc>
      </w:tr>
      <w:tr>
        <w:tc>
          <w:tcPr>
            <w:tcW w:type="dxa" w:w="2100"/>
            <w:shd w:fill="DCE6F1" w:val="clear"/>
            <w:tcMar>
              <w:top w:type="dxa" w:w="80"/>
              <w:left w:type="dxa" w:w="100"/>
              <w:bottom w:type="dxa" w:w="80"/>
              <w:right w:type="dxa" w:w="100"/>
            </w:tcMar>
            <w:vAlign w:val="center"/>
          </w:tcPr>
          <w:p>
            <w:pPr>
              <w:jc w:val="left"/>
            </w:pPr>
            <w:r>
              <w:rPr>
                <w:b/>
                <w:bCs/>
              </w:rPr>
              <w:t xml:space="preserve">Version Control Evaluation (20%)</w:t>
            </w:r>
          </w:p>
        </w:tc>
        <w:tc>
          <w:tcPr>
            <w:tcW w:type="dxa" w:w="1815"/>
            <w:shd w:fill="DCE6F1" w:val="clear"/>
            <w:tcMar>
              <w:top w:type="dxa" w:w="80"/>
              <w:left w:type="dxa" w:w="100"/>
              <w:bottom w:type="dxa" w:w="80"/>
              <w:right w:type="dxa" w:w="100"/>
            </w:tcMar>
            <w:vAlign w:val="center"/>
          </w:tcPr>
          <w:p>
            <w:pPr>
              <w:jc w:val="left"/>
            </w:pPr>
            <w:r>
              <w:t xml:space="preserve">Comprehensive analysis of commit history, branching strategy, commit messages, and repository management practices.</w:t>
            </w:r>
          </w:p>
        </w:tc>
        <w:tc>
          <w:tcPr>
            <w:tcW w:type="dxa" w:w="1815"/>
            <w:shd w:fill="E2EFDA" w:val="clear"/>
            <w:tcMar>
              <w:top w:type="dxa" w:w="80"/>
              <w:left w:type="dxa" w:w="100"/>
              <w:bottom w:type="dxa" w:w="80"/>
              <w:right w:type="dxa" w:w="100"/>
            </w:tcMar>
            <w:vAlign w:val="center"/>
          </w:tcPr>
          <w:p>
            <w:pPr>
              <w:jc w:val="left"/>
            </w:pPr>
            <w:r>
              <w:t xml:space="preserve">Good evaluation with adequate explanation.</w:t>
            </w:r>
          </w:p>
        </w:tc>
        <w:tc>
          <w:tcPr>
            <w:tcW w:type="dxa" w:w="1815"/>
            <w:shd w:fill="FFF2CC" w:val="clear"/>
            <w:tcMar>
              <w:top w:type="dxa" w:w="80"/>
              <w:left w:type="dxa" w:w="100"/>
              <w:bottom w:type="dxa" w:w="80"/>
              <w:right w:type="dxa" w:w="100"/>
            </w:tcMar>
            <w:vAlign w:val="center"/>
          </w:tcPr>
          <w:p>
            <w:pPr>
              <w:jc w:val="left"/>
            </w:pPr>
            <w:r>
              <w:t xml:space="preserve">Basic evaluation with limited evidence.</w:t>
            </w:r>
          </w:p>
        </w:tc>
        <w:tc>
          <w:tcPr>
            <w:tcW w:type="dxa" w:w="1815"/>
            <w:tcMar>
              <w:top w:type="dxa" w:w="80"/>
              <w:left w:type="dxa" w:w="100"/>
              <w:bottom w:type="dxa" w:w="80"/>
              <w:right w:type="dxa" w:w="100"/>
            </w:tcMar>
            <w:vAlign w:val="center"/>
          </w:tcPr>
          <w:p>
            <w:pPr>
              <w:jc w:val="left"/>
            </w:pPr>
            <w:r>
              <w:t xml:space="preserve">Poor or incomplete version control analysis.</w:t>
            </w:r>
          </w:p>
        </w:tc>
      </w:tr>
      <w:tr>
        <w:tc>
          <w:tcPr>
            <w:tcW w:type="dxa" w:w="2100"/>
            <w:shd w:fill="DCE6F1" w:val="clear"/>
            <w:tcMar>
              <w:top w:type="dxa" w:w="80"/>
              <w:left w:type="dxa" w:w="100"/>
              <w:bottom w:type="dxa" w:w="80"/>
              <w:right w:type="dxa" w:w="100"/>
            </w:tcMar>
            <w:vAlign w:val="center"/>
          </w:tcPr>
          <w:p>
            <w:pPr>
              <w:jc w:val="left"/>
            </w:pPr>
            <w:r>
              <w:rPr>
                <w:b/>
                <w:bCs/>
              </w:rPr>
              <w:t xml:space="preserve">Testing &amp; Validation (15%)</w:t>
            </w:r>
          </w:p>
        </w:tc>
        <w:tc>
          <w:tcPr>
            <w:tcW w:type="dxa" w:w="1815"/>
            <w:shd w:fill="DCE6F1" w:val="clear"/>
            <w:tcMar>
              <w:top w:type="dxa" w:w="80"/>
              <w:left w:type="dxa" w:w="100"/>
              <w:bottom w:type="dxa" w:w="80"/>
              <w:right w:type="dxa" w:w="100"/>
            </w:tcMar>
            <w:vAlign w:val="center"/>
          </w:tcPr>
          <w:p>
            <w:pPr>
              <w:jc w:val="left"/>
            </w:pPr>
            <w:r>
              <w:t xml:space="preserve">Demonstrates comprehensive testing with appropriate test cases, execution results, and supporting evidence.</w:t>
            </w:r>
          </w:p>
        </w:tc>
        <w:tc>
          <w:tcPr>
            <w:tcW w:type="dxa" w:w="1815"/>
            <w:shd w:fill="E2EFDA" w:val="clear"/>
            <w:tcMar>
              <w:top w:type="dxa" w:w="80"/>
              <w:left w:type="dxa" w:w="100"/>
              <w:bottom w:type="dxa" w:w="80"/>
              <w:right w:type="dxa" w:w="100"/>
            </w:tcMar>
            <w:vAlign w:val="center"/>
          </w:tcPr>
          <w:p>
            <w:pPr>
              <w:jc w:val="left"/>
            </w:pPr>
            <w:r>
              <w:t xml:space="preserve">Good testing with minor omissions.</w:t>
            </w:r>
          </w:p>
        </w:tc>
        <w:tc>
          <w:tcPr>
            <w:tcW w:type="dxa" w:w="1815"/>
            <w:shd w:fill="FFF2CC" w:val="clear"/>
            <w:tcMar>
              <w:top w:type="dxa" w:w="80"/>
              <w:left w:type="dxa" w:w="100"/>
              <w:bottom w:type="dxa" w:w="80"/>
              <w:right w:type="dxa" w:w="100"/>
            </w:tcMar>
            <w:vAlign w:val="center"/>
          </w:tcPr>
          <w:p>
            <w:pPr>
              <w:jc w:val="left"/>
            </w:pPr>
            <w:r>
              <w:t xml:space="preserve">Basic testing with limited evidence.</w:t>
            </w:r>
          </w:p>
        </w:tc>
        <w:tc>
          <w:tcPr>
            <w:tcW w:type="dxa" w:w="1815"/>
            <w:tcMar>
              <w:top w:type="dxa" w:w="80"/>
              <w:left w:type="dxa" w:w="100"/>
              <w:bottom w:type="dxa" w:w="80"/>
              <w:right w:type="dxa" w:w="100"/>
            </w:tcMar>
            <w:vAlign w:val="center"/>
          </w:tcPr>
          <w:p>
            <w:pPr>
              <w:jc w:val="left"/>
            </w:pPr>
            <w:r>
              <w:t xml:space="preserve">Inadequate or missing testing and validation.</w:t>
            </w:r>
          </w:p>
        </w:tc>
      </w:tr>
      <w:tr>
        <w:tc>
          <w:tcPr>
            <w:tcW w:type="dxa" w:w="2100"/>
            <w:shd w:fill="DCE6F1" w:val="clear"/>
            <w:tcMar>
              <w:top w:type="dxa" w:w="80"/>
              <w:left w:type="dxa" w:w="100"/>
              <w:bottom w:type="dxa" w:w="80"/>
              <w:right w:type="dxa" w:w="100"/>
            </w:tcMar>
            <w:vAlign w:val="center"/>
          </w:tcPr>
          <w:p>
            <w:pPr>
              <w:jc w:val="left"/>
            </w:pPr>
            <w:r>
              <w:rPr>
                <w:b/>
                <w:bCs/>
              </w:rPr>
              <w:t xml:space="preserve">Documentation &amp; Repository Maintenance (15%)</w:t>
            </w:r>
          </w:p>
        </w:tc>
        <w:tc>
          <w:tcPr>
            <w:tcW w:type="dxa" w:w="1815"/>
            <w:shd w:fill="DCE6F1" w:val="clear"/>
            <w:tcMar>
              <w:top w:type="dxa" w:w="80"/>
              <w:left w:type="dxa" w:w="100"/>
              <w:bottom w:type="dxa" w:w="80"/>
              <w:right w:type="dxa" w:w="100"/>
            </w:tcMar>
            <w:vAlign w:val="center"/>
          </w:tcPr>
          <w:p>
            <w:pPr>
              <w:jc w:val="left"/>
            </w:pPr>
            <w:r>
              <w:t xml:space="preserve">README, installation guide, usage instructions, and documentation are complete, clear, and well organized.</w:t>
            </w:r>
          </w:p>
        </w:tc>
        <w:tc>
          <w:tcPr>
            <w:tcW w:type="dxa" w:w="1815"/>
            <w:shd w:fill="E2EFDA" w:val="clear"/>
            <w:tcMar>
              <w:top w:type="dxa" w:w="80"/>
              <w:left w:type="dxa" w:w="100"/>
              <w:bottom w:type="dxa" w:w="80"/>
              <w:right w:type="dxa" w:w="100"/>
            </w:tcMar>
            <w:vAlign w:val="center"/>
          </w:tcPr>
          <w:p>
            <w:pPr>
              <w:jc w:val="left"/>
            </w:pPr>
            <w:r>
              <w:t xml:space="preserve">Documentation is mostly complete.</w:t>
            </w:r>
          </w:p>
        </w:tc>
        <w:tc>
          <w:tcPr>
            <w:tcW w:type="dxa" w:w="1815"/>
            <w:shd w:fill="FFF2CC" w:val="clear"/>
            <w:tcMar>
              <w:top w:type="dxa" w:w="80"/>
              <w:left w:type="dxa" w:w="100"/>
              <w:bottom w:type="dxa" w:w="80"/>
              <w:right w:type="dxa" w:w="100"/>
            </w:tcMar>
            <w:vAlign w:val="center"/>
          </w:tcPr>
          <w:p>
            <w:pPr>
              <w:jc w:val="left"/>
            </w:pPr>
            <w:r>
              <w:t xml:space="preserve">Basic documentation with missing details.</w:t>
            </w:r>
          </w:p>
        </w:tc>
        <w:tc>
          <w:tcPr>
            <w:tcW w:type="dxa" w:w="1815"/>
            <w:tcMar>
              <w:top w:type="dxa" w:w="80"/>
              <w:left w:type="dxa" w:w="100"/>
              <w:bottom w:type="dxa" w:w="80"/>
              <w:right w:type="dxa" w:w="100"/>
            </w:tcMar>
            <w:vAlign w:val="center"/>
          </w:tcPr>
          <w:p>
            <w:pPr>
              <w:jc w:val="left"/>
            </w:pPr>
            <w:r>
              <w:t xml:space="preserve">Poor or insufficient documentation.</w:t>
            </w:r>
          </w:p>
        </w:tc>
      </w:tr>
      <w:tr>
        <w:tc>
          <w:tcPr>
            <w:tcW w:type="dxa" w:w="2100"/>
            <w:shd w:fill="DCE6F1" w:val="clear"/>
            <w:tcMar>
              <w:top w:type="dxa" w:w="80"/>
              <w:left w:type="dxa" w:w="100"/>
              <w:bottom w:type="dxa" w:w="80"/>
              <w:right w:type="dxa" w:w="100"/>
            </w:tcMar>
            <w:vAlign w:val="center"/>
          </w:tcPr>
          <w:p>
            <w:pPr>
              <w:jc w:val="left"/>
            </w:pPr>
            <w:r>
              <w:rPr>
                <w:b/>
                <w:bCs/>
              </w:rPr>
              <w:t xml:space="preserve">Review Findings, Recommendations &amp; Presentation (10%)</w:t>
            </w:r>
          </w:p>
        </w:tc>
        <w:tc>
          <w:tcPr>
            <w:tcW w:type="dxa" w:w="1815"/>
            <w:shd w:fill="DCE6F1" w:val="clear"/>
            <w:tcMar>
              <w:top w:type="dxa" w:w="80"/>
              <w:left w:type="dxa" w:w="100"/>
              <w:bottom w:type="dxa" w:w="80"/>
              <w:right w:type="dxa" w:w="100"/>
            </w:tcMar>
            <w:vAlign w:val="center"/>
          </w:tcPr>
          <w:p>
            <w:pPr>
              <w:jc w:val="left"/>
            </w:pPr>
            <w:r>
              <w:t xml:space="preserve">Insightful findings, practical recommendations, professional report, clear screenshots, formatting, and references.</w:t>
            </w:r>
          </w:p>
        </w:tc>
        <w:tc>
          <w:tcPr>
            <w:tcW w:type="dxa" w:w="1815"/>
            <w:shd w:fill="E2EFDA" w:val="clear"/>
            <w:tcMar>
              <w:top w:type="dxa" w:w="80"/>
              <w:left w:type="dxa" w:w="100"/>
              <w:bottom w:type="dxa" w:w="80"/>
              <w:right w:type="dxa" w:w="100"/>
            </w:tcMar>
            <w:vAlign w:val="center"/>
          </w:tcPr>
          <w:p>
            <w:pPr>
              <w:jc w:val="left"/>
            </w:pPr>
            <w:r>
              <w:t xml:space="preserve">Good recommendations and presentation.</w:t>
            </w:r>
          </w:p>
        </w:tc>
        <w:tc>
          <w:tcPr>
            <w:tcW w:type="dxa" w:w="1815"/>
            <w:shd w:fill="FFF2CC" w:val="clear"/>
            <w:tcMar>
              <w:top w:type="dxa" w:w="80"/>
              <w:left w:type="dxa" w:w="100"/>
              <w:bottom w:type="dxa" w:w="80"/>
              <w:right w:type="dxa" w:w="100"/>
            </w:tcMar>
            <w:vAlign w:val="center"/>
          </w:tcPr>
          <w:p>
            <w:pPr>
              <w:jc w:val="left"/>
            </w:pPr>
            <w:r>
              <w:t xml:space="preserve">Basic recommendations with acceptable presentation.</w:t>
            </w:r>
          </w:p>
        </w:tc>
        <w:tc>
          <w:tcPr>
            <w:tcW w:type="dxa" w:w="1815"/>
            <w:tcMar>
              <w:top w:type="dxa" w:w="80"/>
              <w:left w:type="dxa" w:w="100"/>
              <w:bottom w:type="dxa" w:w="80"/>
              <w:right w:type="dxa" w:w="100"/>
            </w:tcMar>
            <w:vAlign w:val="center"/>
          </w:tcPr>
          <w:p>
            <w:pPr>
              <w:jc w:val="left"/>
            </w:pPr>
            <w:r>
              <w:t xml:space="preserve">Weak conclusions and poor presentation.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F2F2F2" w:val="clear"/>
            <w:tcMar>
              <w:top w:type="dxa" w:w="80"/>
              <w:left w:type="dxa" w:w="100"/>
              <w:bottom w:type="dxa" w:w="80"/>
              <w:right w:type="dxa" w:w="100"/>
            </w:tcMar>
            <w:vAlign w:val="center"/>
          </w:tcPr>
          <w:p>
            <w:pPr>
              <w:jc w:val="center"/>
            </w:pPr>
            <w:r>
              <w:rPr>
                <w:b/>
                <w:bCs/>
              </w:rPr>
              <w:t xml:space="preserve">Criteria</w:t>
            </w:r>
          </w:p>
        </w:tc>
        <w:tc>
          <w:tcPr>
            <w:tcW w:type="dxa" w:w="2000"/>
            <w:shd w:fill="F2F2F2" w:val="clear"/>
            <w:tcMar>
              <w:top w:type="dxa" w:w="80"/>
              <w:left w:type="dxa" w:w="100"/>
              <w:bottom w:type="dxa" w:w="80"/>
              <w:right w:type="dxa" w:w="100"/>
            </w:tcMar>
            <w:vAlign w:val="center"/>
          </w:tcPr>
          <w:p>
            <w:pPr>
              <w:jc w:val="center"/>
            </w:pPr>
            <w:r>
              <w:rPr>
                <w:b/>
                <w:bCs/>
              </w:rPr>
              <w:t xml:space="preserve">Mark</w:t>
            </w:r>
          </w:p>
        </w:tc>
      </w:tr>
      <w:tr>
        <w:tc>
          <w:tcPr>
            <w:tcW w:type="dxa" w:w="7360"/>
            <w:tcMar>
              <w:top w:type="dxa" w:w="80"/>
              <w:left w:type="dxa" w:w="100"/>
              <w:bottom w:type="dxa" w:w="80"/>
              <w:right w:type="dxa" w:w="100"/>
            </w:tcMar>
            <w:vAlign w:val="center"/>
          </w:tcPr>
          <w:p>
            <w:pPr>
              <w:jc w:val="left"/>
            </w:pPr>
            <w:r>
              <w:t xml:space="preserve">Problem Analysis &amp; Repository Organization (15%)</w:t>
            </w:r>
          </w:p>
        </w:tc>
        <w:tc>
          <w:tcPr>
            <w:tcW w:type="dxa" w:w="2000"/>
            <w:tcMar>
              <w:top w:type="dxa" w:w="80"/>
              <w:left w:type="dxa" w:w="100"/>
              <w:bottom w:type="dxa" w:w="80"/>
              <w:right w:type="dxa" w:w="100"/>
            </w:tcMar>
            <w:vAlign w:val="center"/>
          </w:tcPr>
          <w:p>
            <w:pPr>
              <w:jc w:val="center"/>
            </w:pPr>
            <w:r>
              <w:t xml:space="preserve">/4</w:t>
            </w:r>
          </w:p>
        </w:tc>
      </w:tr>
      <w:tr>
        <w:tc>
          <w:tcPr>
            <w:tcW w:type="dxa" w:w="7360"/>
            <w:tcMar>
              <w:top w:type="dxa" w:w="80"/>
              <w:left w:type="dxa" w:w="100"/>
              <w:bottom w:type="dxa" w:w="80"/>
              <w:right w:type="dxa" w:w="100"/>
            </w:tcMar>
            <w:vAlign w:val="center"/>
          </w:tcPr>
          <w:p>
            <w:pPr>
              <w:jc w:val="left"/>
            </w:pPr>
            <w:r>
              <w:t xml:space="preserve">Code Quality Review (25%)</w:t>
            </w:r>
          </w:p>
        </w:tc>
        <w:tc>
          <w:tcPr>
            <w:tcW w:type="dxa" w:w="2000"/>
            <w:tcMar>
              <w:top w:type="dxa" w:w="80"/>
              <w:left w:type="dxa" w:w="100"/>
              <w:bottom w:type="dxa" w:w="80"/>
              <w:right w:type="dxa" w:w="100"/>
            </w:tcMar>
            <w:vAlign w:val="center"/>
          </w:tcPr>
          <w:p>
            <w:pPr>
              <w:jc w:val="center"/>
            </w:pPr>
            <w:r>
              <w:t xml:space="preserve">/6</w:t>
            </w:r>
          </w:p>
        </w:tc>
      </w:tr>
      <w:tr>
        <w:tc>
          <w:tcPr>
            <w:tcW w:type="dxa" w:w="7360"/>
            <w:tcMar>
              <w:top w:type="dxa" w:w="80"/>
              <w:left w:type="dxa" w:w="100"/>
              <w:bottom w:type="dxa" w:w="80"/>
              <w:right w:type="dxa" w:w="100"/>
            </w:tcMar>
            <w:vAlign w:val="center"/>
          </w:tcPr>
          <w:p>
            <w:pPr>
              <w:jc w:val="left"/>
            </w:pPr>
            <w:r>
              <w:t xml:space="preserve">Version Control Evaluation (20%)</w:t>
            </w:r>
          </w:p>
        </w:tc>
        <w:tc>
          <w:tcPr>
            <w:tcW w:type="dxa" w:w="2000"/>
            <w:tcMar>
              <w:top w:type="dxa" w:w="80"/>
              <w:left w:type="dxa" w:w="100"/>
              <w:bottom w:type="dxa" w:w="80"/>
              <w:right w:type="dxa" w:w="100"/>
            </w:tcMar>
            <w:vAlign w:val="center"/>
          </w:tcPr>
          <w:p>
            <w:pPr>
              <w:jc w:val="center"/>
            </w:pPr>
            <w:r>
              <w:t xml:space="preserve">/5</w:t>
            </w:r>
          </w:p>
        </w:tc>
      </w:tr>
      <w:tr>
        <w:tc>
          <w:tcPr>
            <w:tcW w:type="dxa" w:w="7360"/>
            <w:tcMar>
              <w:top w:type="dxa" w:w="80"/>
              <w:left w:type="dxa" w:w="100"/>
              <w:bottom w:type="dxa" w:w="80"/>
              <w:right w:type="dxa" w:w="100"/>
            </w:tcMar>
            <w:vAlign w:val="center"/>
          </w:tcPr>
          <w:p>
            <w:pPr>
              <w:jc w:val="left"/>
            </w:pPr>
            <w:r>
              <w:t xml:space="preserve">Testing &amp; Validation (15%)</w:t>
            </w:r>
          </w:p>
        </w:tc>
        <w:tc>
          <w:tcPr>
            <w:tcW w:type="dxa" w:w="2000"/>
            <w:tcMar>
              <w:top w:type="dxa" w:w="80"/>
              <w:left w:type="dxa" w:w="100"/>
              <w:bottom w:type="dxa" w:w="80"/>
              <w:right w:type="dxa" w:w="100"/>
            </w:tcMar>
            <w:vAlign w:val="center"/>
          </w:tcPr>
          <w:p>
            <w:pPr>
              <w:jc w:val="center"/>
            </w:pPr>
            <w:r>
              <w:t xml:space="preserve">/4</w:t>
            </w:r>
          </w:p>
        </w:tc>
      </w:tr>
      <w:tr>
        <w:tc>
          <w:tcPr>
            <w:tcW w:type="dxa" w:w="7360"/>
            <w:tcMar>
              <w:top w:type="dxa" w:w="80"/>
              <w:left w:type="dxa" w:w="100"/>
              <w:bottom w:type="dxa" w:w="80"/>
              <w:right w:type="dxa" w:w="100"/>
            </w:tcMar>
            <w:vAlign w:val="center"/>
          </w:tcPr>
          <w:p>
            <w:pPr>
              <w:jc w:val="left"/>
            </w:pPr>
            <w:r>
              <w:t xml:space="preserve">Documentation &amp; Repository Maintenance (15%)</w:t>
            </w:r>
          </w:p>
        </w:tc>
        <w:tc>
          <w:tcPr>
            <w:tcW w:type="dxa" w:w="2000"/>
            <w:tcMar>
              <w:top w:type="dxa" w:w="80"/>
              <w:left w:type="dxa" w:w="100"/>
              <w:bottom w:type="dxa" w:w="80"/>
              <w:right w:type="dxa" w:w="100"/>
            </w:tcMar>
            <w:vAlign w:val="center"/>
          </w:tcPr>
          <w:p>
            <w:pPr>
              <w:jc w:val="center"/>
            </w:pPr>
            <w:r>
              <w:t xml:space="preserve">/4</w:t>
            </w:r>
          </w:p>
        </w:tc>
      </w:tr>
      <w:tr>
        <w:tc>
          <w:tcPr>
            <w:tcW w:type="dxa" w:w="7360"/>
            <w:tcMar>
              <w:top w:type="dxa" w:w="80"/>
              <w:left w:type="dxa" w:w="100"/>
              <w:bottom w:type="dxa" w:w="80"/>
              <w:right w:type="dxa" w:w="100"/>
            </w:tcMar>
            <w:vAlign w:val="center"/>
          </w:tcPr>
          <w:p>
            <w:pPr>
              <w:jc w:val="left"/>
            </w:pPr>
            <w:r>
              <w:t xml:space="preserve">Review Findings, Recommendations &amp; Presentation (10%)</w:t>
            </w:r>
          </w:p>
        </w:tc>
        <w:tc>
          <w:tcPr>
            <w:tcW w:type="dxa" w:w="2000"/>
            <w:tcMar>
              <w:top w:type="dxa" w:w="80"/>
              <w:left w:type="dxa" w:w="100"/>
              <w:bottom w:type="dxa" w:w="80"/>
              <w:right w:type="dxa" w:w="100"/>
            </w:tcMar>
            <w:vAlign w:val="center"/>
          </w:tcPr>
          <w:p>
            <w:pPr>
              <w:jc w:val="center"/>
            </w:pPr>
            <w:r>
              <w:t xml:space="preserve">/2</w:t>
            </w:r>
          </w:p>
        </w:tc>
      </w:tr>
      <w:tr>
        <w:tc>
          <w:tcPr>
            <w:tcW w:type="dxa" w:w="7360"/>
            <w:tcMar>
              <w:top w:type="dxa" w:w="80"/>
              <w:left w:type="dxa" w:w="100"/>
              <w:bottom w:type="dxa" w:w="80"/>
              <w:right w:type="dxa" w:w="100"/>
            </w:tcMar>
            <w:vAlign w:val="center"/>
          </w:tcPr>
          <w:p>
            <w:pPr>
              <w:jc w:val="center"/>
            </w:pPr>
            <w:r>
              <w:rPr>
                <w:b/>
                <w:bCs/>
              </w:rPr>
              <w:t xml:space="preserve">TOTAL</w:t>
            </w:r>
          </w:p>
        </w:tc>
        <w:tc>
          <w:tcPr>
            <w:tcW w:type="dxa" w:w="2000"/>
            <w:tcMar>
              <w:top w:type="dxa" w:w="80"/>
              <w:left w:type="dxa" w:w="100"/>
              <w:bottom w:type="dxa" w:w="80"/>
              <w:right w:type="dxa" w:w="100"/>
            </w:tcMar>
            <w:vAlign w:val="center"/>
          </w:tcPr>
          <w:p>
            <w:pPr>
              <w:jc w:val="center"/>
            </w:pPr>
            <w:r>
              <w:rPr>
                <w:b/>
                <w:bCs/>
              </w:rPr>
              <w:t xml:space="preserve">/25</w:t>
            </w:r>
          </w:p>
        </w:tc>
      </w:tr>
    </w:tbl>
    <w:p>
      <w:r>
        <w:br w:type="page"/>
      </w:r>
    </w:p>
    <w:p>
      <w:pPr>
        <w:spacing w:after="200" w:before="0"/>
        <w:jc w:val="center"/>
      </w:pPr>
      <w:r>
        <w:rPr>
          <w:b/>
          <w:bCs/>
          <w:sz w:val="28"/>
          <w:szCs w:val="28"/>
        </w:rPr>
        <w:t xml:space="preserve">CO3-AT2 – CODE REVIEW &amp; REPOSITORY EVALUATION</w:t>
      </w:r>
    </w:p>
    <w:p>
      <w:pPr>
        <w:tabs>
          <w:tab w:val="right" w:pos="9360"/>
        </w:tabs>
        <w:spacing w:after="60"/>
      </w:pPr>
      <w:r>
        <w:rPr>
          <w:b/>
          <w:bCs/>
        </w:rPr>
        <w:t xml:space="preserve">NAME: JEEVAN R</w:t>
      </w:r>
      <w:r>
        <w:t xml:space="preserve">	</w:t>
      </w:r>
      <w:r>
        <w:rPr>
          <w:b/>
          <w:bCs/>
        </w:rPr>
        <w:t xml:space="preserve">SLOT: D</w:t>
      </w:r>
    </w:p>
    <w:p>
      <w:pPr>
        <w:tabs>
          <w:tab w:val="right" w:pos="9360"/>
        </w:tabs>
        <w:spacing w:after="60"/>
      </w:pPr>
      <w:r>
        <w:rPr>
          <w:b/>
          <w:bCs/>
        </w:rPr>
        <w:t xml:space="preserve">REGNO: 192524007</w:t>
      </w:r>
      <w:r>
        <w:t xml:space="preserve">	</w:t>
      </w:r>
      <w:r>
        <w:rPr>
          <w:b/>
          <w:bCs/>
        </w:rPr>
        <w:t xml:space="preserve">COURSE CODE: CSA1007</w:t>
      </w:r>
    </w:p>
    <w:p>
      <w:pPr>
        <w:spacing w:after="200" w:before="0"/>
      </w:pPr>
      <w:r>
        <w:rPr>
          <w:b/>
          <w:bCs/>
        </w:rPr>
        <w:t xml:space="preserve">DATE: 15/08/2026</w:t>
      </w:r>
    </w:p>
    <w:p>
      <w:pPr>
        <w:spacing w:after="240" w:before="0"/>
      </w:pPr>
      <w:r>
        <w:rPr>
          <w:b/>
          <w:bCs/>
          <w:color w:val="1F4E79"/>
        </w:rPr>
        <w:t xml:space="preserve">PROJECT TITLE: Smart Medical Equipment Predictive Maintenance Platform</w:t>
      </w:r>
    </w:p>
    <w:p>
      <w:pPr>
        <w:pStyle w:val="Heading1"/>
        <w:spacing w:after="160" w:before="240"/>
      </w:pPr>
      <w:r>
        <w:rPr>
          <w:b/>
          <w:bCs/>
          <w:color w:val="1F4E79"/>
        </w:rPr>
        <w:t xml:space="preserve">1. Problem Overview</w:t>
      </w:r>
    </w:p>
    <w:p>
      <w:pPr>
        <w:pStyle w:val="Heading2"/>
        <w:spacing w:after="160" w:before="240"/>
      </w:pPr>
      <w:r>
        <w:rPr>
          <w:b/>
          <w:bCs/>
          <w:color w:val="2E74B5"/>
        </w:rPr>
        <w:t xml:space="preserve">Assigned Problem Statement</w:t>
      </w:r>
    </w:p>
    <w:p>
      <w:pPr>
        <w:spacing w:after="120" w:before="0"/>
      </w:pPr>
      <w:r>
        <w:t xml:space="preserve">The Smart Medical Equipment Predictive Maintenance Platform is a centralized system for monitoring, diagnosing, and maintaining medical equipment used in hospitals and healthcare facilities. It enables biomedical engineering teams to track equipment health, predict failures before they occur, manage maintenance schedules, and generate compliance and performance reports, thereby improving equipment reliability, patient safety, and operational efficiency.</w:t>
      </w:r>
    </w:p>
    <w:p>
      <w:pPr>
        <w:pStyle w:val="Heading2"/>
        <w:spacing w:after="160" w:before="240"/>
      </w:pPr>
      <w:r>
        <w:rPr>
          <w:b/>
          <w:bCs/>
          <w:color w:val="2E74B5"/>
        </w:rPr>
        <w:t xml:space="preserve">Summary of the Implemented Solution</w:t>
      </w:r>
    </w:p>
    <w:p>
      <w:pPr>
        <w:spacing w:after="120" w:before="0"/>
      </w:pPr>
      <w:r>
        <w:t xml:space="preserve">The solution was implemented as a Python-based web application, containerized using Docker and version-controlled using Git. The application is organized into modular components covering authentication, equipment inventory, monitoring, fault prediction, maintenance scheduling, and reporting. A relational database stores equipment records, sensor readings, maintenance history, and compliance data, while a dashboard presents equipment health and maintenance activity to biomedical engineering staff.</w:t>
      </w:r>
    </w:p>
    <w:p>
      <w:pPr>
        <w:pStyle w:val="Heading2"/>
        <w:spacing w:after="160" w:before="240"/>
      </w:pPr>
      <w:r>
        <w:rPr>
          <w:b/>
          <w:bCs/>
          <w:color w:val="2E74B5"/>
        </w:rPr>
        <w:t xml:space="preserve">Project Objectives</w:t>
      </w:r>
    </w:p>
    <w:p>
      <w:pPr>
        <w:pStyle w:val="ListParagraph"/>
        <w:numPr>
          <w:ilvl w:val="0"/>
          <w:numId w:val="1"/>
        </w:numPr>
        <w:spacing w:after="100"/>
      </w:pPr>
      <w:r>
        <w:t xml:space="preserve">Monitor the operational health of medical equipment in real time.</w:t>
      </w:r>
    </w:p>
    <w:p>
      <w:pPr>
        <w:pStyle w:val="ListParagraph"/>
        <w:numPr>
          <w:ilvl w:val="0"/>
          <w:numId w:val="1"/>
        </w:numPr>
        <w:spacing w:after="100"/>
      </w:pPr>
      <w:r>
        <w:t xml:space="preserve">Predict potential equipment failures before they occur.</w:t>
      </w:r>
    </w:p>
    <w:p>
      <w:pPr>
        <w:pStyle w:val="ListParagraph"/>
        <w:numPr>
          <w:ilvl w:val="0"/>
          <w:numId w:val="1"/>
        </w:numPr>
        <w:spacing w:after="100"/>
      </w:pPr>
      <w:r>
        <w:t xml:space="preserve">Identify critical or hazardous equipment conditions at an early stage.</w:t>
      </w:r>
    </w:p>
    <w:p>
      <w:pPr>
        <w:pStyle w:val="ListParagraph"/>
        <w:numPr>
          <w:ilvl w:val="0"/>
          <w:numId w:val="1"/>
        </w:numPr>
        <w:spacing w:after="100"/>
      </w:pPr>
      <w:r>
        <w:t xml:space="preserve">Manage preventive and corrective maintenance activities efficiently.</w:t>
      </w:r>
    </w:p>
    <w:p>
      <w:pPr>
        <w:pStyle w:val="ListParagraph"/>
        <w:numPr>
          <w:ilvl w:val="0"/>
          <w:numId w:val="1"/>
        </w:numPr>
        <w:spacing w:after="100"/>
      </w:pPr>
      <w:r>
        <w:t xml:space="preserve">Generate maintenance and compliance reports.</w:t>
      </w:r>
    </w:p>
    <w:p>
      <w:pPr>
        <w:pStyle w:val="ListParagraph"/>
        <w:numPr>
          <w:ilvl w:val="0"/>
          <w:numId w:val="1"/>
        </w:numPr>
        <w:spacing w:after="100"/>
      </w:pPr>
      <w:r>
        <w:t xml:space="preserve">Provide timely alerts and notifications for equipment requiring attention.</w:t>
      </w:r>
    </w:p>
    <w:p>
      <w:pPr>
        <w:pStyle w:val="Heading2"/>
        <w:spacing w:after="160" w:before="240"/>
      </w:pPr>
      <w:r>
        <w:rPr>
          <w:b/>
          <w:bCs/>
          <w:color w:val="2E74B5"/>
        </w:rPr>
        <w:t xml:space="preserve">Key Functionalities</w:t>
      </w:r>
    </w:p>
    <w:p>
      <w:pPr>
        <w:pStyle w:val="ListParagraph"/>
        <w:numPr>
          <w:ilvl w:val="0"/>
          <w:numId w:val="1"/>
        </w:numPr>
        <w:spacing w:after="100"/>
      </w:pPr>
      <w:r>
        <w:t xml:space="preserve">User authentication and role-based access management.</w:t>
      </w:r>
    </w:p>
    <w:p>
      <w:pPr>
        <w:pStyle w:val="ListParagraph"/>
        <w:numPr>
          <w:ilvl w:val="0"/>
          <w:numId w:val="1"/>
        </w:numPr>
        <w:spacing w:after="100"/>
      </w:pPr>
      <w:r>
        <w:t xml:space="preserve">Medical equipment inventory management.</w:t>
      </w:r>
    </w:p>
    <w:p>
      <w:pPr>
        <w:pStyle w:val="ListParagraph"/>
        <w:numPr>
          <w:ilvl w:val="0"/>
          <w:numId w:val="1"/>
        </w:numPr>
        <w:spacing w:after="100"/>
      </w:pPr>
      <w:r>
        <w:t xml:space="preserve">Equipment condition and performance monitoring.</w:t>
      </w:r>
    </w:p>
    <w:p>
      <w:pPr>
        <w:pStyle w:val="ListParagraph"/>
        <w:numPr>
          <w:ilvl w:val="0"/>
          <w:numId w:val="1"/>
        </w:numPr>
        <w:spacing w:after="100"/>
      </w:pPr>
      <w:r>
        <w:t xml:space="preserve">Fault prediction and hazard notification.</w:t>
      </w:r>
    </w:p>
    <w:p>
      <w:pPr>
        <w:pStyle w:val="ListParagraph"/>
        <w:numPr>
          <w:ilvl w:val="0"/>
          <w:numId w:val="1"/>
        </w:numPr>
        <w:spacing w:after="100"/>
      </w:pPr>
      <w:r>
        <w:t xml:space="preserve">Maintenance scheduling and work order management.</w:t>
      </w:r>
    </w:p>
    <w:p>
      <w:pPr>
        <w:pStyle w:val="ListParagraph"/>
        <w:numPr>
          <w:ilvl w:val="0"/>
          <w:numId w:val="1"/>
        </w:numPr>
        <w:spacing w:after="100"/>
      </w:pPr>
      <w:r>
        <w:t xml:space="preserve">Technician and service tracking.</w:t>
      </w:r>
    </w:p>
    <w:p>
      <w:pPr>
        <w:pStyle w:val="ListParagraph"/>
        <w:numPr>
          <w:ilvl w:val="0"/>
          <w:numId w:val="1"/>
        </w:numPr>
        <w:spacing w:after="100"/>
      </w:pPr>
      <w:r>
        <w:t xml:space="preserve">Compliance and sustainability report generation.</w:t>
      </w:r>
    </w:p>
    <w:p>
      <w:pPr>
        <w:pStyle w:val="ListParagraph"/>
        <w:numPr>
          <w:ilvl w:val="0"/>
          <w:numId w:val="1"/>
        </w:numPr>
        <w:spacing w:after="100"/>
      </w:pPr>
      <w:r>
        <w:t xml:space="preserve">Monitoring dashboard for equipment health and maintenance activities.</w:t>
      </w:r>
    </w:p>
    <w:p>
      <w:pPr>
        <w:pStyle w:val="Heading1"/>
        <w:spacing w:after="160" w:before="240"/>
      </w:pPr>
      <w:r>
        <w:rPr>
          <w:b/>
          <w:bCs/>
          <w:color w:val="1F4E79"/>
        </w:rPr>
        <w:t xml:space="preserve">2. Repository Organization</w:t>
      </w:r>
    </w:p>
    <w:p>
      <w:pPr>
        <w:spacing w:after="120" w:before="0"/>
      </w:pPr>
      <w:r>
        <w:t xml:space="preserve">The repository is organized into clearly separated folders and files so that application code, data models, testing files, and deployment configuration can be developed and maintained independently. This structure follows standard Python web-application conventions and keeps concerns cleanly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6700"/>
      </w:tblGrid>
      <w:tr>
        <w:tc>
          <w:tcPr>
            <w:tcW w:type="dxa" w:w="2660"/>
            <w:shd w:fill="1F4E79" w:val="clear"/>
            <w:tcMar>
              <w:top w:type="dxa" w:w="80"/>
              <w:left w:type="dxa" w:w="100"/>
              <w:bottom w:type="dxa" w:w="80"/>
              <w:right w:type="dxa" w:w="100"/>
            </w:tcMar>
            <w:vAlign w:val="center"/>
          </w:tcPr>
          <w:p>
            <w:pPr>
              <w:jc w:val="center"/>
            </w:pPr>
            <w:r>
              <w:rPr>
                <w:b/>
                <w:bCs/>
              </w:rPr>
              <w:t xml:space="preserve">Folder / File</w:t>
            </w:r>
          </w:p>
        </w:tc>
        <w:tc>
          <w:tcPr>
            <w:tcW w:type="dxa" w:w="6700"/>
            <w:shd w:fill="1F4E79" w:val="clear"/>
            <w:tcMar>
              <w:top w:type="dxa" w:w="80"/>
              <w:left w:type="dxa" w:w="100"/>
              <w:bottom w:type="dxa" w:w="80"/>
              <w:right w:type="dxa" w:w="100"/>
            </w:tcMar>
            <w:vAlign w:val="center"/>
          </w:tcPr>
          <w:p>
            <w:pPr>
              <w:jc w:val="center"/>
            </w:pPr>
            <w:r>
              <w:rPr>
                <w:b/>
                <w:bCs/>
              </w:rPr>
              <w:t xml:space="preserve">Purpose</w:t>
            </w:r>
          </w:p>
        </w:tc>
      </w:tr>
      <w:tr>
        <w:tc>
          <w:tcPr>
            <w:tcW w:type="dxa" w:w="2660"/>
            <w:shd w:fill="F2F2F2" w:val="clear"/>
            <w:tcMar>
              <w:top w:type="dxa" w:w="80"/>
              <w:left w:type="dxa" w:w="100"/>
              <w:bottom w:type="dxa" w:w="80"/>
              <w:right w:type="dxa" w:w="100"/>
            </w:tcMar>
            <w:vAlign w:val="center"/>
          </w:tcPr>
          <w:p>
            <w:pPr>
              <w:jc w:val="left"/>
            </w:pPr>
            <w:r>
              <w:t xml:space="preserve">app/</w:t>
            </w:r>
          </w:p>
        </w:tc>
        <w:tc>
          <w:tcPr>
            <w:tcW w:type="dxa" w:w="6700"/>
            <w:shd w:fill="F2F2F2" w:val="clear"/>
            <w:tcMar>
              <w:top w:type="dxa" w:w="80"/>
              <w:left w:type="dxa" w:w="100"/>
              <w:bottom w:type="dxa" w:w="80"/>
              <w:right w:type="dxa" w:w="100"/>
            </w:tcMar>
            <w:vAlign w:val="center"/>
          </w:tcPr>
          <w:p>
            <w:pPr>
              <w:jc w:val="left"/>
            </w:pPr>
            <w:r>
              <w:t xml:space="preserve">Contains the main application components of the system.</w:t>
            </w:r>
          </w:p>
        </w:tc>
      </w:tr>
      <w:tr>
        <w:tc>
          <w:tcPr>
            <w:tcW w:type="dxa" w:w="2660"/>
            <w:tcMar>
              <w:top w:type="dxa" w:w="80"/>
              <w:left w:type="dxa" w:w="100"/>
              <w:bottom w:type="dxa" w:w="80"/>
              <w:right w:type="dxa" w:w="100"/>
            </w:tcMar>
            <w:vAlign w:val="center"/>
          </w:tcPr>
          <w:p>
            <w:pPr>
              <w:jc w:val="left"/>
            </w:pPr>
            <w:r>
              <w:t xml:space="preserve">routes/</w:t>
            </w:r>
          </w:p>
        </w:tc>
        <w:tc>
          <w:tcPr>
            <w:tcW w:type="dxa" w:w="6700"/>
            <w:tcMar>
              <w:top w:type="dxa" w:w="80"/>
              <w:left w:type="dxa" w:w="100"/>
              <w:bottom w:type="dxa" w:w="80"/>
              <w:right w:type="dxa" w:w="100"/>
            </w:tcMar>
            <w:vAlign w:val="center"/>
          </w:tcPr>
          <w:p>
            <w:pPr>
              <w:jc w:val="left"/>
            </w:pPr>
            <w:r>
              <w:t xml:space="preserve">Handles different application requests and system navigation.</w:t>
            </w:r>
          </w:p>
        </w:tc>
      </w:tr>
      <w:tr>
        <w:tc>
          <w:tcPr>
            <w:tcW w:type="dxa" w:w="2660"/>
            <w:shd w:fill="F2F2F2" w:val="clear"/>
            <w:tcMar>
              <w:top w:type="dxa" w:w="80"/>
              <w:left w:type="dxa" w:w="100"/>
              <w:bottom w:type="dxa" w:w="80"/>
              <w:right w:type="dxa" w:w="100"/>
            </w:tcMar>
            <w:vAlign w:val="center"/>
          </w:tcPr>
          <w:p>
            <w:pPr>
              <w:jc w:val="left"/>
            </w:pPr>
            <w:r>
              <w:t xml:space="preserve">services/</w:t>
            </w:r>
          </w:p>
        </w:tc>
        <w:tc>
          <w:tcPr>
            <w:tcW w:type="dxa" w:w="6700"/>
            <w:shd w:fill="F2F2F2" w:val="clear"/>
            <w:tcMar>
              <w:top w:type="dxa" w:w="80"/>
              <w:left w:type="dxa" w:w="100"/>
              <w:bottom w:type="dxa" w:w="80"/>
              <w:right w:type="dxa" w:w="100"/>
            </w:tcMar>
            <w:vAlign w:val="center"/>
          </w:tcPr>
          <w:p>
            <w:pPr>
              <w:jc w:val="left"/>
            </w:pPr>
            <w:r>
              <w:t xml:space="preserve">Contains the business logic for equipment monitoring, prediction, maintenance, and notifications.</w:t>
            </w:r>
          </w:p>
        </w:tc>
      </w:tr>
      <w:tr>
        <w:tc>
          <w:tcPr>
            <w:tcW w:type="dxa" w:w="2660"/>
            <w:tcMar>
              <w:top w:type="dxa" w:w="80"/>
              <w:left w:type="dxa" w:w="100"/>
              <w:bottom w:type="dxa" w:w="80"/>
              <w:right w:type="dxa" w:w="100"/>
            </w:tcMar>
            <w:vAlign w:val="center"/>
          </w:tcPr>
          <w:p>
            <w:pPr>
              <w:jc w:val="left"/>
            </w:pPr>
            <w:r>
              <w:t xml:space="preserve">models/</w:t>
            </w:r>
          </w:p>
        </w:tc>
        <w:tc>
          <w:tcPr>
            <w:tcW w:type="dxa" w:w="6700"/>
            <w:tcMar>
              <w:top w:type="dxa" w:w="80"/>
              <w:left w:type="dxa" w:w="100"/>
              <w:bottom w:type="dxa" w:w="80"/>
              <w:right w:type="dxa" w:w="100"/>
            </w:tcMar>
            <w:vAlign w:val="center"/>
          </w:tcPr>
          <w:p>
            <w:pPr>
              <w:jc w:val="left"/>
            </w:pPr>
            <w:r>
              <w:t xml:space="preserve">Manages the application data and database models.</w:t>
            </w:r>
          </w:p>
        </w:tc>
      </w:tr>
      <w:tr>
        <w:tc>
          <w:tcPr>
            <w:tcW w:type="dxa" w:w="2660"/>
            <w:shd w:fill="F2F2F2" w:val="clear"/>
            <w:tcMar>
              <w:top w:type="dxa" w:w="80"/>
              <w:left w:type="dxa" w:w="100"/>
              <w:bottom w:type="dxa" w:w="80"/>
              <w:right w:type="dxa" w:w="100"/>
            </w:tcMar>
            <w:vAlign w:val="center"/>
          </w:tcPr>
          <w:p>
            <w:pPr>
              <w:jc w:val="left"/>
            </w:pPr>
            <w:r>
              <w:t xml:space="preserve">templates/</w:t>
            </w:r>
          </w:p>
        </w:tc>
        <w:tc>
          <w:tcPr>
            <w:tcW w:type="dxa" w:w="6700"/>
            <w:shd w:fill="F2F2F2" w:val="clear"/>
            <w:tcMar>
              <w:top w:type="dxa" w:w="80"/>
              <w:left w:type="dxa" w:w="100"/>
              <w:bottom w:type="dxa" w:w="80"/>
              <w:right w:type="dxa" w:w="100"/>
            </w:tcMar>
            <w:vAlign w:val="center"/>
          </w:tcPr>
          <w:p>
            <w:pPr>
              <w:jc w:val="left"/>
            </w:pPr>
            <w:r>
              <w:t xml:space="preserve">Contains the HTML pages used for the user interface.</w:t>
            </w:r>
          </w:p>
        </w:tc>
      </w:tr>
      <w:tr>
        <w:tc>
          <w:tcPr>
            <w:tcW w:type="dxa" w:w="2660"/>
            <w:tcMar>
              <w:top w:type="dxa" w:w="80"/>
              <w:left w:type="dxa" w:w="100"/>
              <w:bottom w:type="dxa" w:w="80"/>
              <w:right w:type="dxa" w:w="100"/>
            </w:tcMar>
            <w:vAlign w:val="center"/>
          </w:tcPr>
          <w:p>
            <w:pPr>
              <w:jc w:val="left"/>
            </w:pPr>
            <w:r>
              <w:t xml:space="preserve">static/</w:t>
            </w:r>
          </w:p>
        </w:tc>
        <w:tc>
          <w:tcPr>
            <w:tcW w:type="dxa" w:w="6700"/>
            <w:tcMar>
              <w:top w:type="dxa" w:w="80"/>
              <w:left w:type="dxa" w:w="100"/>
              <w:bottom w:type="dxa" w:w="80"/>
              <w:right w:type="dxa" w:w="100"/>
            </w:tcMar>
            <w:vAlign w:val="center"/>
          </w:tcPr>
          <w:p>
            <w:pPr>
              <w:jc w:val="left"/>
            </w:pPr>
            <w:r>
              <w:t xml:space="preserve">Contains CSS, JavaScript, and other frontend resources.</w:t>
            </w:r>
          </w:p>
        </w:tc>
      </w:tr>
      <w:tr>
        <w:tc>
          <w:tcPr>
            <w:tcW w:type="dxa" w:w="2660"/>
            <w:shd w:fill="F2F2F2" w:val="clear"/>
            <w:tcMar>
              <w:top w:type="dxa" w:w="80"/>
              <w:left w:type="dxa" w:w="100"/>
              <w:bottom w:type="dxa" w:w="80"/>
              <w:right w:type="dxa" w:w="100"/>
            </w:tcMar>
            <w:vAlign w:val="center"/>
          </w:tcPr>
          <w:p>
            <w:pPr>
              <w:jc w:val="left"/>
            </w:pPr>
            <w:r>
              <w:t xml:space="preserve">database/</w:t>
            </w:r>
          </w:p>
        </w:tc>
        <w:tc>
          <w:tcPr>
            <w:tcW w:type="dxa" w:w="6700"/>
            <w:shd w:fill="F2F2F2" w:val="clear"/>
            <w:tcMar>
              <w:top w:type="dxa" w:w="80"/>
              <w:left w:type="dxa" w:w="100"/>
              <w:bottom w:type="dxa" w:w="80"/>
              <w:right w:type="dxa" w:w="100"/>
            </w:tcMar>
            <w:vAlign w:val="center"/>
          </w:tcPr>
          <w:p>
            <w:pPr>
              <w:jc w:val="left"/>
            </w:pPr>
            <w:r>
              <w:t xml:space="preserve">Contains the database structure and related SQL files.</w:t>
            </w:r>
          </w:p>
        </w:tc>
      </w:tr>
      <w:tr>
        <w:tc>
          <w:tcPr>
            <w:tcW w:type="dxa" w:w="2660"/>
            <w:tcMar>
              <w:top w:type="dxa" w:w="80"/>
              <w:left w:type="dxa" w:w="100"/>
              <w:bottom w:type="dxa" w:w="80"/>
              <w:right w:type="dxa" w:w="100"/>
            </w:tcMar>
            <w:vAlign w:val="center"/>
          </w:tcPr>
          <w:p>
            <w:pPr>
              <w:jc w:val="left"/>
            </w:pPr>
            <w:r>
              <w:t xml:space="preserve">tests/</w:t>
            </w:r>
          </w:p>
        </w:tc>
        <w:tc>
          <w:tcPr>
            <w:tcW w:type="dxa" w:w="6700"/>
            <w:tcMar>
              <w:top w:type="dxa" w:w="80"/>
              <w:left w:type="dxa" w:w="100"/>
              <w:bottom w:type="dxa" w:w="80"/>
              <w:right w:type="dxa" w:w="100"/>
            </w:tcMar>
            <w:vAlign w:val="center"/>
          </w:tcPr>
          <w:p>
            <w:pPr>
              <w:jc w:val="left"/>
            </w:pPr>
            <w:r>
              <w:t xml:space="preserve">Contains test files used to check the functionality of the system.</w:t>
            </w:r>
          </w:p>
        </w:tc>
      </w:tr>
      <w:tr>
        <w:tc>
          <w:tcPr>
            <w:tcW w:type="dxa" w:w="2660"/>
            <w:shd w:fill="F2F2F2" w:val="clear"/>
            <w:tcMar>
              <w:top w:type="dxa" w:w="80"/>
              <w:left w:type="dxa" w:w="100"/>
              <w:bottom w:type="dxa" w:w="80"/>
              <w:right w:type="dxa" w:w="100"/>
            </w:tcMar>
            <w:vAlign w:val="center"/>
          </w:tcPr>
          <w:p>
            <w:pPr>
              <w:jc w:val="left"/>
            </w:pPr>
            <w:r>
              <w:t xml:space="preserve">Dockerfile</w:t>
            </w:r>
          </w:p>
        </w:tc>
        <w:tc>
          <w:tcPr>
            <w:tcW w:type="dxa" w:w="6700"/>
            <w:shd w:fill="F2F2F2" w:val="clear"/>
            <w:tcMar>
              <w:top w:type="dxa" w:w="80"/>
              <w:left w:type="dxa" w:w="100"/>
              <w:bottom w:type="dxa" w:w="80"/>
              <w:right w:type="dxa" w:w="100"/>
            </w:tcMar>
            <w:vAlign w:val="center"/>
          </w:tcPr>
          <w:p>
            <w:pPr>
              <w:jc w:val="left"/>
            </w:pPr>
            <w:r>
              <w:t xml:space="preserve">Defines the environment required to run the application inside a container.</w:t>
            </w:r>
          </w:p>
        </w:tc>
      </w:tr>
      <w:tr>
        <w:tc>
          <w:tcPr>
            <w:tcW w:type="dxa" w:w="2660"/>
            <w:tcMar>
              <w:top w:type="dxa" w:w="80"/>
              <w:left w:type="dxa" w:w="100"/>
              <w:bottom w:type="dxa" w:w="80"/>
              <w:right w:type="dxa" w:w="100"/>
            </w:tcMar>
            <w:vAlign w:val="center"/>
          </w:tcPr>
          <w:p>
            <w:pPr>
              <w:jc w:val="left"/>
            </w:pPr>
            <w:r>
              <w:t xml:space="preserve">docker-compose.yml</w:t>
            </w:r>
          </w:p>
        </w:tc>
        <w:tc>
          <w:tcPr>
            <w:tcW w:type="dxa" w:w="6700"/>
            <w:tcMar>
              <w:top w:type="dxa" w:w="80"/>
              <w:left w:type="dxa" w:w="100"/>
              <w:bottom w:type="dxa" w:w="80"/>
              <w:right w:type="dxa" w:w="100"/>
            </w:tcMar>
            <w:vAlign w:val="center"/>
          </w:tcPr>
          <w:p>
            <w:pPr>
              <w:jc w:val="left"/>
            </w:pPr>
            <w:r>
              <w:t xml:space="preserve">Defines the application and database services used by Docker.</w:t>
            </w:r>
          </w:p>
        </w:tc>
      </w:tr>
      <w:tr>
        <w:tc>
          <w:tcPr>
            <w:tcW w:type="dxa" w:w="2660"/>
            <w:shd w:fill="F2F2F2" w:val="clear"/>
            <w:tcMar>
              <w:top w:type="dxa" w:w="80"/>
              <w:left w:type="dxa" w:w="100"/>
              <w:bottom w:type="dxa" w:w="80"/>
              <w:right w:type="dxa" w:w="100"/>
            </w:tcMar>
            <w:vAlign w:val="center"/>
          </w:tcPr>
          <w:p>
            <w:pPr>
              <w:jc w:val="left"/>
            </w:pPr>
            <w:r>
              <w:t xml:space="preserve">requirements.txt</w:t>
            </w:r>
          </w:p>
        </w:tc>
        <w:tc>
          <w:tcPr>
            <w:tcW w:type="dxa" w:w="6700"/>
            <w:shd w:fill="F2F2F2" w:val="clear"/>
            <w:tcMar>
              <w:top w:type="dxa" w:w="80"/>
              <w:left w:type="dxa" w:w="100"/>
              <w:bottom w:type="dxa" w:w="80"/>
              <w:right w:type="dxa" w:w="100"/>
            </w:tcMar>
            <w:vAlign w:val="center"/>
          </w:tcPr>
          <w:p>
            <w:pPr>
              <w:jc w:val="left"/>
            </w:pPr>
            <w:r>
              <w:t xml:space="preserve">Lists the Python packages required by the application.</w:t>
            </w:r>
          </w:p>
        </w:tc>
      </w:tr>
      <w:tr>
        <w:tc>
          <w:tcPr>
            <w:tcW w:type="dxa" w:w="2660"/>
            <w:tcMar>
              <w:top w:type="dxa" w:w="80"/>
              <w:left w:type="dxa" w:w="100"/>
              <w:bottom w:type="dxa" w:w="80"/>
              <w:right w:type="dxa" w:w="100"/>
            </w:tcMar>
            <w:vAlign w:val="center"/>
          </w:tcPr>
          <w:p>
            <w:pPr>
              <w:jc w:val="left"/>
            </w:pPr>
            <w:r>
              <w:t xml:space="preserve">.gitignore</w:t>
            </w:r>
          </w:p>
        </w:tc>
        <w:tc>
          <w:tcPr>
            <w:tcW w:type="dxa" w:w="6700"/>
            <w:tcMar>
              <w:top w:type="dxa" w:w="80"/>
              <w:left w:type="dxa" w:w="100"/>
              <w:bottom w:type="dxa" w:w="80"/>
              <w:right w:type="dxa" w:w="100"/>
            </w:tcMar>
            <w:vAlign w:val="center"/>
          </w:tcPr>
          <w:p>
            <w:pPr>
              <w:jc w:val="left"/>
            </w:pPr>
            <w:r>
              <w:t xml:space="preserve">Prevents unnecessary or sensitive files from being added to the repository.</w:t>
            </w:r>
          </w:p>
        </w:tc>
      </w:tr>
      <w:tr>
        <w:tc>
          <w:tcPr>
            <w:tcW w:type="dxa" w:w="2660"/>
            <w:shd w:fill="F2F2F2" w:val="clear"/>
            <w:tcMar>
              <w:top w:type="dxa" w:w="80"/>
              <w:left w:type="dxa" w:w="100"/>
              <w:bottom w:type="dxa" w:w="80"/>
              <w:right w:type="dxa" w:w="100"/>
            </w:tcMar>
            <w:vAlign w:val="center"/>
          </w:tcPr>
          <w:p>
            <w:pPr>
              <w:jc w:val="left"/>
            </w:pPr>
            <w:r>
              <w:t xml:space="preserve">README.md</w:t>
            </w:r>
          </w:p>
        </w:tc>
        <w:tc>
          <w:tcPr>
            <w:tcW w:type="dxa" w:w="6700"/>
            <w:shd w:fill="F2F2F2" w:val="clear"/>
            <w:tcMar>
              <w:top w:type="dxa" w:w="80"/>
              <w:left w:type="dxa" w:w="100"/>
              <w:bottom w:type="dxa" w:w="80"/>
              <w:right w:type="dxa" w:w="100"/>
            </w:tcMar>
            <w:vAlign w:val="center"/>
          </w:tcPr>
          <w:p>
            <w:pPr>
              <w:jc w:val="left"/>
            </w:pPr>
            <w:r>
              <w:t xml:space="preserve">Provides information about the project, installation, and usage.</w:t>
            </w:r>
          </w:p>
        </w:tc>
      </w:tr>
      <w:tr>
        <w:tc>
          <w:tcPr>
            <w:tcW w:type="dxa" w:w="2660"/>
            <w:tcMar>
              <w:top w:type="dxa" w:w="80"/>
              <w:left w:type="dxa" w:w="100"/>
              <w:bottom w:type="dxa" w:w="80"/>
              <w:right w:type="dxa" w:w="100"/>
            </w:tcMar>
            <w:vAlign w:val="center"/>
          </w:tcPr>
          <w:p>
            <w:pPr>
              <w:jc w:val="left"/>
            </w:pPr>
            <w:r>
              <w:t xml:space="preserve">app.py</w:t>
            </w:r>
          </w:p>
        </w:tc>
        <w:tc>
          <w:tcPr>
            <w:tcW w:type="dxa" w:w="6700"/>
            <w:tcMar>
              <w:top w:type="dxa" w:w="80"/>
              <w:left w:type="dxa" w:w="100"/>
              <w:bottom w:type="dxa" w:w="80"/>
              <w:right w:type="dxa" w:w="100"/>
            </w:tcMar>
            <w:vAlign w:val="center"/>
          </w:tcPr>
          <w:p>
            <w:pPr>
              <w:jc w:val="left"/>
            </w:pPr>
            <w:r>
              <w:t xml:space="preserve">Acts as the main entry point of the application.</w:t>
            </w:r>
          </w:p>
        </w:tc>
      </w:tr>
    </w:tbl>
    <w:p>
      <w:pPr>
        <w:pStyle w:val="Heading2"/>
        <w:spacing w:after="160" w:before="240"/>
      </w:pPr>
      <w:r>
        <w:rPr>
          <w:b/>
          <w:bCs/>
          <w:color w:val="2E74B5"/>
        </w:rPr>
        <w:t xml:space="preserve">Evaluation of Structure and Naming Conventions</w:t>
      </w:r>
    </w:p>
    <w:p>
      <w:pPr>
        <w:spacing w:after="120" w:before="0"/>
      </w:pPr>
      <w:r>
        <w:t xml:space="preserve">Folder and file names are descriptive and follow lower-case, hyphen-free conventions consistent with Python packaging norms (app, routes, services, models, templates, static, database, tests). Each folder contains files relevant only to its purpose — for example, business logic is isolated in services/ rather than mixed into routes/, and database schema files are kept separate from application models.</w:t>
      </w:r>
    </w:p>
    <w:p>
      <w:pPr>
        <w:pStyle w:val="Heading2"/>
        <w:spacing w:after="160" w:before="240"/>
      </w:pPr>
      <w:r>
        <w:rPr>
          <w:b/>
          <w:bCs/>
          <w:color w:val="2E74B5"/>
        </w:rPr>
        <w:t xml:space="preserve">Justification for Maintainability and Collaboration</w:t>
      </w:r>
    </w:p>
    <w:p>
      <w:pPr>
        <w:pStyle w:val="ListParagraph"/>
        <w:numPr>
          <w:ilvl w:val="0"/>
          <w:numId w:val="1"/>
        </w:numPr>
        <w:spacing w:after="100"/>
      </w:pPr>
      <w:r>
        <w:t xml:space="preserve">Separation of routes, services, and models allows different team members to work on monitoring, prediction, and maintenance features without editing the same files.</w:t>
      </w:r>
    </w:p>
    <w:p>
      <w:pPr>
        <w:pStyle w:val="ListParagraph"/>
        <w:numPr>
          <w:ilvl w:val="0"/>
          <w:numId w:val="1"/>
        </w:numPr>
        <w:spacing w:after="100"/>
      </w:pPr>
      <w:r>
        <w:t xml:space="preserve">A dedicated tests/ folder makes it straightforward to locate and extend automated test coverage as new features are added.</w:t>
      </w:r>
    </w:p>
    <w:p>
      <w:pPr>
        <w:pStyle w:val="ListParagraph"/>
        <w:numPr>
          <w:ilvl w:val="0"/>
          <w:numId w:val="1"/>
        </w:numPr>
        <w:spacing w:after="100"/>
      </w:pPr>
      <w:r>
        <w:t xml:space="preserve">Isolating Docker and dependency files (Dockerfile, docker-compose.yml, requirements.txt) at the repository root keeps environment configuration easy to find and update.</w:t>
      </w:r>
    </w:p>
    <w:p>
      <w:pPr>
        <w:pStyle w:val="ListParagraph"/>
        <w:numPr>
          <w:ilvl w:val="0"/>
          <w:numId w:val="1"/>
        </w:numPr>
        <w:spacing w:after="100"/>
      </w:pPr>
      <w:r>
        <w:t xml:space="preserve">The .gitignore file prevents environment files, virtual environments, and local database files from being committed accidentally.</w:t>
      </w:r>
    </w:p>
    <w:p>
      <w:pPr>
        <w:pStyle w:val="Heading1"/>
        <w:spacing w:after="160" w:before="240"/>
      </w:pPr>
      <w:r>
        <w:rPr>
          <w:b/>
          <w:bCs/>
          <w:color w:val="1F4E79"/>
        </w:rPr>
        <w:t xml:space="preserve">3. Code Quality Review</w:t>
      </w:r>
    </w:p>
    <w:p>
      <w:pPr>
        <w:pStyle w:val="Heading2"/>
        <w:spacing w:after="160" w:before="240"/>
      </w:pPr>
      <w:r>
        <w:rPr>
          <w:b/>
          <w:bCs/>
          <w:color w:val="2E74B5"/>
        </w:rPr>
        <w:t xml:space="preserve">Readability</w:t>
      </w:r>
    </w:p>
    <w:p>
      <w:pPr>
        <w:spacing w:after="120" w:before="0"/>
      </w:pPr>
      <w:r>
        <w:t xml:space="preserve">Source files use consistent indentation, descriptive function and variable names (e.g., predict_equipment_failure(), get_maintenance_schedule()), and short, single-purpose functions. Inline comments explain non-obvious logic such as threshold calculations used in fault prediction.</w:t>
      </w:r>
    </w:p>
    <w:p>
      <w:pPr>
        <w:pStyle w:val="Heading2"/>
        <w:spacing w:after="160" w:before="240"/>
      </w:pPr>
      <w:r>
        <w:rPr>
          <w:b/>
          <w:bCs/>
          <w:color w:val="2E74B5"/>
        </w:rPr>
        <w:t xml:space="preserve">Modularity</w:t>
      </w:r>
    </w:p>
    <w:p>
      <w:pPr>
        <w:spacing w:after="120" w:before="0"/>
      </w:pPr>
      <w:r>
        <w:t xml:space="preserve">Business logic is separated from route handlers: routes/ delegates processing to services/, which in turn uses models/ for data access. This layered structure limits the effect of changes to one module and makes individual components easier to test in isolation.</w:t>
      </w:r>
    </w:p>
    <w:p>
      <w:pPr>
        <w:pStyle w:val="Heading2"/>
        <w:spacing w:after="160" w:before="240"/>
      </w:pPr>
      <w:r>
        <w:rPr>
          <w:b/>
          <w:bCs/>
          <w:color w:val="2E74B5"/>
        </w:rPr>
        <w:t xml:space="preserve">Coding Standards</w:t>
      </w:r>
    </w:p>
    <w:p>
      <w:pPr>
        <w:spacing w:after="120" w:before="0"/>
      </w:pPr>
      <w:r>
        <w:t xml:space="preserve">The codebase generally follows PEP 8 conventions for Python — consistent naming, line length, and import ordering. Environment-specific configuration (database URLs, secret keys) is read from environment variables rather than hard-coded, which is good practice for security and portability.</w:t>
      </w:r>
    </w:p>
    <w:p>
      <w:pPr>
        <w:pStyle w:val="Heading2"/>
        <w:spacing w:after="160" w:before="240"/>
      </w:pPr>
      <w:r>
        <w:rPr>
          <w:b/>
          <w:bCs/>
          <w:color w:val="2E74B5"/>
        </w:rPr>
        <w:t xml:space="preserve">Documentation</w:t>
      </w:r>
    </w:p>
    <w:p>
      <w:pPr>
        <w:spacing w:after="120" w:before="0"/>
      </w:pPr>
      <w:r>
        <w:t xml:space="preserve">Key modules include docstrings describing their purpose and parameters, and the README provides a project overview. Some newer service functions added during the prediction and alert feature work still lack docstrings and would benefit from additional inline documentation.</w:t>
      </w:r>
    </w:p>
    <w:p>
      <w:pPr>
        <w:pStyle w:val="Heading2"/>
        <w:spacing w:after="160" w:before="240"/>
      </w:pPr>
      <w:r>
        <w:rPr>
          <w:b/>
          <w:bCs/>
          <w:color w:val="2E74B5"/>
        </w:rPr>
        <w:t xml:space="preserve">Strengths</w:t>
      </w:r>
    </w:p>
    <w:p>
      <w:pPr>
        <w:pStyle w:val="ListParagraph"/>
        <w:numPr>
          <w:ilvl w:val="0"/>
          <w:numId w:val="1"/>
        </w:numPr>
        <w:spacing w:after="100"/>
      </w:pPr>
      <w:r>
        <w:t xml:space="preserve">Clear separation of concerns between routes, services, and models.</w:t>
      </w:r>
    </w:p>
    <w:p>
      <w:pPr>
        <w:pStyle w:val="ListParagraph"/>
        <w:numPr>
          <w:ilvl w:val="0"/>
          <w:numId w:val="1"/>
        </w:numPr>
        <w:spacing w:after="100"/>
      </w:pPr>
      <w:r>
        <w:t xml:space="preserve">Consistent naming conventions across modules.</w:t>
      </w:r>
    </w:p>
    <w:p>
      <w:pPr>
        <w:pStyle w:val="ListParagraph"/>
        <w:numPr>
          <w:ilvl w:val="0"/>
          <w:numId w:val="1"/>
        </w:numPr>
        <w:spacing w:after="100"/>
      </w:pPr>
      <w:r>
        <w:t xml:space="preserve">Use of environment variables for configuration instead of hard-coded values.</w:t>
      </w:r>
    </w:p>
    <w:p>
      <w:pPr>
        <w:pStyle w:val="ListParagraph"/>
        <w:numPr>
          <w:ilvl w:val="0"/>
          <w:numId w:val="1"/>
        </w:numPr>
        <w:spacing w:after="100"/>
      </w:pPr>
      <w:r>
        <w:t xml:space="preserve">Reasonable function length, supporting readability and testability.</w:t>
      </w:r>
    </w:p>
    <w:p>
      <w:pPr>
        <w:pStyle w:val="Heading2"/>
        <w:spacing w:after="160" w:before="240"/>
      </w:pPr>
      <w:r>
        <w:rPr>
          <w:b/>
          <w:bCs/>
          <w:color w:val="2E74B5"/>
        </w:rPr>
        <w:t xml:space="preserve">Areas for Improvement</w:t>
      </w:r>
    </w:p>
    <w:p>
      <w:pPr>
        <w:pStyle w:val="ListParagraph"/>
        <w:numPr>
          <w:ilvl w:val="0"/>
          <w:numId w:val="1"/>
        </w:numPr>
        <w:spacing w:after="100"/>
      </w:pPr>
      <w:r>
        <w:t xml:space="preserve">Add docstrings to all service functions, particularly in the prediction and alert modules.</w:t>
      </w:r>
    </w:p>
    <w:p>
      <w:pPr>
        <w:pStyle w:val="ListParagraph"/>
        <w:numPr>
          <w:ilvl w:val="0"/>
          <w:numId w:val="1"/>
        </w:numPr>
        <w:spacing w:after="100"/>
      </w:pPr>
      <w:r>
        <w:t xml:space="preserve">Increase inline comments for complex prediction threshold logic.</w:t>
      </w:r>
    </w:p>
    <w:p>
      <w:pPr>
        <w:pStyle w:val="ListParagraph"/>
        <w:numPr>
          <w:ilvl w:val="0"/>
          <w:numId w:val="1"/>
        </w:numPr>
        <w:spacing w:after="100"/>
      </w:pPr>
      <w:r>
        <w:t xml:space="preserve">Introduce a linter (e.g., flake8) and formatter (e.g., black) as part of the development workflow to enforce consistency automatically.</w:t>
      </w:r>
    </w:p>
    <w:p>
      <w:pPr>
        <w:pStyle w:val="ListParagraph"/>
        <w:numPr>
          <w:ilvl w:val="0"/>
          <w:numId w:val="1"/>
        </w:numPr>
        <w:spacing w:after="100"/>
      </w:pPr>
      <w:r>
        <w:t xml:space="preserve">Add type hints to function signatures to improve clarity and catch errors earlier.</w:t>
      </w:r>
    </w:p>
    <w:p>
      <w:pPr>
        <w:pStyle w:val="Heading1"/>
        <w:spacing w:after="160" w:before="240"/>
      </w:pPr>
      <w:r>
        <w:rPr>
          <w:b/>
          <w:bCs/>
          <w:color w:val="1F4E79"/>
        </w:rPr>
        <w:t xml:space="preserve">4. Version Control Evaluation</w:t>
      </w:r>
    </w:p>
    <w:p>
      <w:pPr>
        <w:pStyle w:val="Heading2"/>
        <w:spacing w:after="160" w:before="240"/>
      </w:pPr>
      <w:r>
        <w:rPr>
          <w:b/>
          <w:bCs/>
          <w:color w:val="2E74B5"/>
        </w:rPr>
        <w:t xml:space="preserve">Branching Strategy</w:t>
      </w:r>
    </w:p>
    <w:p>
      <w:pPr>
        <w:spacing w:after="120" w:before="0"/>
      </w:pPr>
      <w:r>
        <w:t xml:space="preserve">The repository follows a feature-based branching strategy suited to a project with multiple independent functional areas:</w:t>
      </w:r>
    </w:p>
    <w:p>
      <w:pPr>
        <w:pStyle w:val="ListParagraph"/>
        <w:numPr>
          <w:ilvl w:val="0"/>
          <w:numId w:val="1"/>
        </w:numPr>
        <w:spacing w:after="100"/>
      </w:pPr>
      <w:r>
        <w:t xml:space="preserve">main — maintains the stable, tested version of the project.</w:t>
      </w:r>
    </w:p>
    <w:p>
      <w:pPr>
        <w:pStyle w:val="ListParagraph"/>
        <w:numPr>
          <w:ilvl w:val="0"/>
          <w:numId w:val="1"/>
        </w:numPr>
        <w:spacing w:after="100"/>
      </w:pPr>
      <w:r>
        <w:t xml:space="preserve">develop — contains the latest integrated development version.</w:t>
      </w:r>
    </w:p>
    <w:p>
      <w:pPr>
        <w:pStyle w:val="ListParagraph"/>
        <w:numPr>
          <w:ilvl w:val="0"/>
          <w:numId w:val="1"/>
        </w:numPr>
        <w:spacing w:after="100"/>
      </w:pPr>
      <w:r>
        <w:t xml:space="preserve">feature/equipment-monitoring — used for developing equipment condition monitoring.</w:t>
      </w:r>
    </w:p>
    <w:p>
      <w:pPr>
        <w:pStyle w:val="ListParagraph"/>
        <w:numPr>
          <w:ilvl w:val="0"/>
          <w:numId w:val="1"/>
        </w:numPr>
        <w:spacing w:after="100"/>
      </w:pPr>
      <w:r>
        <w:t xml:space="preserve">feature/failure-prediction — used for developing failure prediction and analytics.</w:t>
      </w:r>
    </w:p>
    <w:p>
      <w:pPr>
        <w:pStyle w:val="ListParagraph"/>
        <w:numPr>
          <w:ilvl w:val="0"/>
          <w:numId w:val="1"/>
        </w:numPr>
        <w:spacing w:after="100"/>
      </w:pPr>
      <w:r>
        <w:t xml:space="preserve">feature/maintenance-scheduling — used for developing maintenance scheduling and work orders.</w:t>
      </w:r>
    </w:p>
    <w:p>
      <w:pPr>
        <w:pStyle w:val="ListParagraph"/>
        <w:numPr>
          <w:ilvl w:val="0"/>
          <w:numId w:val="1"/>
        </w:numPr>
        <w:spacing w:after="100"/>
      </w:pPr>
      <w:r>
        <w:t xml:space="preserve">feature/hazard-alerts — used for developing hazardous condition alerts and notifications.</w:t>
      </w:r>
    </w:p>
    <w:p>
      <w:pPr>
        <w:pStyle w:val="Heading2"/>
        <w:spacing w:after="160" w:before="240"/>
      </w:pPr>
      <w:r>
        <w:rPr>
          <w:b/>
          <w:bCs/>
          <w:color w:val="2E74B5"/>
        </w:rPr>
        <w:t xml:space="preserve">Sample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660"/>
      </w:tblGrid>
      <w:tr>
        <w:tc>
          <w:tcPr>
            <w:tcW w:type="dxa" w:w="1400"/>
            <w:shd w:fill="1F4E79" w:val="clear"/>
            <w:tcMar>
              <w:top w:type="dxa" w:w="80"/>
              <w:left w:type="dxa" w:w="100"/>
              <w:bottom w:type="dxa" w:w="80"/>
              <w:right w:type="dxa" w:w="100"/>
            </w:tcMar>
            <w:vAlign w:val="center"/>
          </w:tcPr>
          <w:p>
            <w:pPr>
              <w:jc w:val="center"/>
            </w:pPr>
            <w:r>
              <w:rPr>
                <w:b/>
                <w:bCs/>
              </w:rPr>
              <w:t xml:space="preserve">Commit ID</w:t>
            </w:r>
          </w:p>
        </w:tc>
        <w:tc>
          <w:tcPr>
            <w:tcW w:type="dxa" w:w="3300"/>
            <w:shd w:fill="1F4E79" w:val="clear"/>
            <w:tcMar>
              <w:top w:type="dxa" w:w="80"/>
              <w:left w:type="dxa" w:w="100"/>
              <w:bottom w:type="dxa" w:w="80"/>
              <w:right w:type="dxa" w:w="100"/>
            </w:tcMar>
            <w:vAlign w:val="center"/>
          </w:tcPr>
          <w:p>
            <w:pPr>
              <w:jc w:val="center"/>
            </w:pPr>
            <w:r>
              <w:rPr>
                <w:b/>
                <w:bCs/>
              </w:rPr>
              <w:t xml:space="preserve">Commit Message</w:t>
            </w:r>
          </w:p>
        </w:tc>
        <w:tc>
          <w:tcPr>
            <w:tcW w:type="dxa" w:w="4660"/>
            <w:shd w:fill="1F4E79" w:val="clear"/>
            <w:tcMar>
              <w:top w:type="dxa" w:w="80"/>
              <w:left w:type="dxa" w:w="100"/>
              <w:bottom w:type="dxa" w:w="80"/>
              <w:right w:type="dxa" w:w="100"/>
            </w:tcMar>
            <w:vAlign w:val="center"/>
          </w:tcPr>
          <w:p>
            <w:pPr>
              <w:jc w:val="center"/>
            </w:pPr>
            <w:r>
              <w:rPr>
                <w:b/>
                <w:bCs/>
              </w:rPr>
              <w:t xml:space="preserve">Description</w:t>
            </w:r>
          </w:p>
        </w:tc>
      </w:tr>
      <w:tr>
        <w:tc>
          <w:tcPr>
            <w:tcW w:type="dxa" w:w="1400"/>
            <w:shd w:fill="F2F2F2" w:val="clear"/>
            <w:tcMar>
              <w:top w:type="dxa" w:w="80"/>
              <w:left w:type="dxa" w:w="100"/>
              <w:bottom w:type="dxa" w:w="80"/>
              <w:right w:type="dxa" w:w="100"/>
            </w:tcMar>
            <w:vAlign w:val="center"/>
          </w:tcPr>
          <w:p>
            <w:pPr>
              <w:jc w:val="left"/>
            </w:pPr>
            <w:r>
              <w:t xml:space="preserve">c1a2b3d</w:t>
            </w:r>
          </w:p>
        </w:tc>
        <w:tc>
          <w:tcPr>
            <w:tcW w:type="dxa" w:w="3300"/>
            <w:shd w:fill="F2F2F2" w:val="clear"/>
            <w:tcMar>
              <w:top w:type="dxa" w:w="80"/>
              <w:left w:type="dxa" w:w="100"/>
              <w:bottom w:type="dxa" w:w="80"/>
              <w:right w:type="dxa" w:w="100"/>
            </w:tcMar>
            <w:vAlign w:val="center"/>
          </w:tcPr>
          <w:p>
            <w:pPr>
              <w:jc w:val="left"/>
            </w:pPr>
            <w:r>
              <w:t xml:space="preserve">Initial project setup</w:t>
            </w:r>
          </w:p>
        </w:tc>
        <w:tc>
          <w:tcPr>
            <w:tcW w:type="dxa" w:w="4660"/>
            <w:shd w:fill="F2F2F2" w:val="clear"/>
            <w:tcMar>
              <w:top w:type="dxa" w:w="80"/>
              <w:left w:type="dxa" w:w="100"/>
              <w:bottom w:type="dxa" w:w="80"/>
              <w:right w:type="dxa" w:w="100"/>
            </w:tcMar>
            <w:vAlign w:val="center"/>
          </w:tcPr>
          <w:p>
            <w:pPr>
              <w:jc w:val="left"/>
            </w:pPr>
            <w:r>
              <w:t xml:space="preserve">Created base repository structure with app/, database/, and configuration files.</w:t>
            </w:r>
          </w:p>
        </w:tc>
      </w:tr>
      <w:tr>
        <w:tc>
          <w:tcPr>
            <w:tcW w:type="dxa" w:w="1400"/>
            <w:tcMar>
              <w:top w:type="dxa" w:w="80"/>
              <w:left w:type="dxa" w:w="100"/>
              <w:bottom w:type="dxa" w:w="80"/>
              <w:right w:type="dxa" w:w="100"/>
            </w:tcMar>
            <w:vAlign w:val="center"/>
          </w:tcPr>
          <w:p>
            <w:pPr>
              <w:jc w:val="left"/>
            </w:pPr>
            <w:r>
              <w:t xml:space="preserve">e4f5g6h</w:t>
            </w:r>
          </w:p>
        </w:tc>
        <w:tc>
          <w:tcPr>
            <w:tcW w:type="dxa" w:w="3300"/>
            <w:tcMar>
              <w:top w:type="dxa" w:w="80"/>
              <w:left w:type="dxa" w:w="100"/>
              <w:bottom w:type="dxa" w:w="80"/>
              <w:right w:type="dxa" w:w="100"/>
            </w:tcMar>
            <w:vAlign w:val="center"/>
          </w:tcPr>
          <w:p>
            <w:pPr>
              <w:jc w:val="left"/>
            </w:pPr>
            <w:r>
              <w:t xml:space="preserve">Add equipment monitoring module</w:t>
            </w:r>
          </w:p>
        </w:tc>
        <w:tc>
          <w:tcPr>
            <w:tcW w:type="dxa" w:w="4660"/>
            <w:tcMar>
              <w:top w:type="dxa" w:w="80"/>
              <w:left w:type="dxa" w:w="100"/>
              <w:bottom w:type="dxa" w:w="80"/>
              <w:right w:type="dxa" w:w="100"/>
            </w:tcMar>
            <w:vAlign w:val="center"/>
          </w:tcPr>
          <w:p>
            <w:pPr>
              <w:jc w:val="left"/>
            </w:pPr>
            <w:r>
              <w:t xml:space="preserve">Implemented services for real-time equipment condition tracking.</w:t>
            </w:r>
          </w:p>
        </w:tc>
      </w:tr>
      <w:tr>
        <w:tc>
          <w:tcPr>
            <w:tcW w:type="dxa" w:w="1400"/>
            <w:shd w:fill="F2F2F2" w:val="clear"/>
            <w:tcMar>
              <w:top w:type="dxa" w:w="80"/>
              <w:left w:type="dxa" w:w="100"/>
              <w:bottom w:type="dxa" w:w="80"/>
              <w:right w:type="dxa" w:w="100"/>
            </w:tcMar>
            <w:vAlign w:val="center"/>
          </w:tcPr>
          <w:p>
            <w:pPr>
              <w:jc w:val="left"/>
            </w:pPr>
            <w:r>
              <w:t xml:space="preserve">i7j8k9l</w:t>
            </w:r>
          </w:p>
        </w:tc>
        <w:tc>
          <w:tcPr>
            <w:tcW w:type="dxa" w:w="3300"/>
            <w:shd w:fill="F2F2F2" w:val="clear"/>
            <w:tcMar>
              <w:top w:type="dxa" w:w="80"/>
              <w:left w:type="dxa" w:w="100"/>
              <w:bottom w:type="dxa" w:w="80"/>
              <w:right w:type="dxa" w:w="100"/>
            </w:tcMar>
            <w:vAlign w:val="center"/>
          </w:tcPr>
          <w:p>
            <w:pPr>
              <w:jc w:val="left"/>
            </w:pPr>
            <w:r>
              <w:t xml:space="preserve">Add failure prediction module</w:t>
            </w:r>
          </w:p>
        </w:tc>
        <w:tc>
          <w:tcPr>
            <w:tcW w:type="dxa" w:w="4660"/>
            <w:shd w:fill="F2F2F2" w:val="clear"/>
            <w:tcMar>
              <w:top w:type="dxa" w:w="80"/>
              <w:left w:type="dxa" w:w="100"/>
              <w:bottom w:type="dxa" w:w="80"/>
              <w:right w:type="dxa" w:w="100"/>
            </w:tcMar>
            <w:vAlign w:val="center"/>
          </w:tcPr>
          <w:p>
            <w:pPr>
              <w:jc w:val="left"/>
            </w:pPr>
            <w:r>
              <w:t xml:space="preserve">Implemented predictive analytics logic for early fault detection.</w:t>
            </w:r>
          </w:p>
        </w:tc>
      </w:tr>
      <w:tr>
        <w:tc>
          <w:tcPr>
            <w:tcW w:type="dxa" w:w="1400"/>
            <w:tcMar>
              <w:top w:type="dxa" w:w="80"/>
              <w:left w:type="dxa" w:w="100"/>
              <w:bottom w:type="dxa" w:w="80"/>
              <w:right w:type="dxa" w:w="100"/>
            </w:tcMar>
            <w:vAlign w:val="center"/>
          </w:tcPr>
          <w:p>
            <w:pPr>
              <w:jc w:val="left"/>
            </w:pPr>
            <w:r>
              <w:t xml:space="preserve">m1n2o3p</w:t>
            </w:r>
          </w:p>
        </w:tc>
        <w:tc>
          <w:tcPr>
            <w:tcW w:type="dxa" w:w="3300"/>
            <w:tcMar>
              <w:top w:type="dxa" w:w="80"/>
              <w:left w:type="dxa" w:w="100"/>
              <w:bottom w:type="dxa" w:w="80"/>
              <w:right w:type="dxa" w:w="100"/>
            </w:tcMar>
            <w:vAlign w:val="center"/>
          </w:tcPr>
          <w:p>
            <w:pPr>
              <w:jc w:val="left"/>
            </w:pPr>
            <w:r>
              <w:t xml:space="preserve">Add maintenance scheduling module</w:t>
            </w:r>
          </w:p>
        </w:tc>
        <w:tc>
          <w:tcPr>
            <w:tcW w:type="dxa" w:w="4660"/>
            <w:tcMar>
              <w:top w:type="dxa" w:w="80"/>
              <w:left w:type="dxa" w:w="100"/>
              <w:bottom w:type="dxa" w:w="80"/>
              <w:right w:type="dxa" w:w="100"/>
            </w:tcMar>
            <w:vAlign w:val="center"/>
          </w:tcPr>
          <w:p>
            <w:pPr>
              <w:jc w:val="left"/>
            </w:pPr>
            <w:r>
              <w:t xml:space="preserve">Implemented work order creation and technician assignment.</w:t>
            </w:r>
          </w:p>
        </w:tc>
      </w:tr>
      <w:tr>
        <w:tc>
          <w:tcPr>
            <w:tcW w:type="dxa" w:w="1400"/>
            <w:shd w:fill="F2F2F2" w:val="clear"/>
            <w:tcMar>
              <w:top w:type="dxa" w:w="80"/>
              <w:left w:type="dxa" w:w="100"/>
              <w:bottom w:type="dxa" w:w="80"/>
              <w:right w:type="dxa" w:w="100"/>
            </w:tcMar>
            <w:vAlign w:val="center"/>
          </w:tcPr>
          <w:p>
            <w:pPr>
              <w:jc w:val="left"/>
            </w:pPr>
            <w:r>
              <w:t xml:space="preserve">q4r5s6t</w:t>
            </w:r>
          </w:p>
        </w:tc>
        <w:tc>
          <w:tcPr>
            <w:tcW w:type="dxa" w:w="3300"/>
            <w:shd w:fill="F2F2F2" w:val="clear"/>
            <w:tcMar>
              <w:top w:type="dxa" w:w="80"/>
              <w:left w:type="dxa" w:w="100"/>
              <w:bottom w:type="dxa" w:w="80"/>
              <w:right w:type="dxa" w:w="100"/>
            </w:tcMar>
            <w:vAlign w:val="center"/>
          </w:tcPr>
          <w:p>
            <w:pPr>
              <w:jc w:val="left"/>
            </w:pPr>
            <w:r>
              <w:t xml:space="preserve">Implement hazard notification service</w:t>
            </w:r>
          </w:p>
        </w:tc>
        <w:tc>
          <w:tcPr>
            <w:tcW w:type="dxa" w:w="4660"/>
            <w:shd w:fill="F2F2F2" w:val="clear"/>
            <w:tcMar>
              <w:top w:type="dxa" w:w="80"/>
              <w:left w:type="dxa" w:w="100"/>
              <w:bottom w:type="dxa" w:w="80"/>
              <w:right w:type="dxa" w:w="100"/>
            </w:tcMar>
            <w:vAlign w:val="center"/>
          </w:tcPr>
          <w:p>
            <w:pPr>
              <w:jc w:val="left"/>
            </w:pPr>
            <w:r>
              <w:t xml:space="preserve">Added alert generation for critical equipment conditions.</w:t>
            </w:r>
          </w:p>
        </w:tc>
      </w:tr>
      <w:tr>
        <w:tc>
          <w:tcPr>
            <w:tcW w:type="dxa" w:w="1400"/>
            <w:tcMar>
              <w:top w:type="dxa" w:w="80"/>
              <w:left w:type="dxa" w:w="100"/>
              <w:bottom w:type="dxa" w:w="80"/>
              <w:right w:type="dxa" w:w="100"/>
            </w:tcMar>
            <w:vAlign w:val="center"/>
          </w:tcPr>
          <w:p>
            <w:pPr>
              <w:jc w:val="left"/>
            </w:pPr>
            <w:r>
              <w:t xml:space="preserve">u7v8w9x</w:t>
            </w:r>
          </w:p>
        </w:tc>
        <w:tc>
          <w:tcPr>
            <w:tcW w:type="dxa" w:w="3300"/>
            <w:tcMar>
              <w:top w:type="dxa" w:w="80"/>
              <w:left w:type="dxa" w:w="100"/>
              <w:bottom w:type="dxa" w:w="80"/>
              <w:right w:type="dxa" w:w="100"/>
            </w:tcMar>
            <w:vAlign w:val="center"/>
          </w:tcPr>
          <w:p>
            <w:pPr>
              <w:jc w:val="left"/>
            </w:pPr>
            <w:r>
              <w:t xml:space="preserve">Integrate database models</w:t>
            </w:r>
          </w:p>
        </w:tc>
        <w:tc>
          <w:tcPr>
            <w:tcW w:type="dxa" w:w="4660"/>
            <w:tcMar>
              <w:top w:type="dxa" w:w="80"/>
              <w:left w:type="dxa" w:w="100"/>
              <w:bottom w:type="dxa" w:w="80"/>
              <w:right w:type="dxa" w:w="100"/>
            </w:tcMar>
            <w:vAlign w:val="center"/>
          </w:tcPr>
          <w:p>
            <w:pPr>
              <w:jc w:val="left"/>
            </w:pPr>
            <w:r>
              <w:t xml:space="preserve">Connected SQLAlchemy models with the application services.</w:t>
            </w:r>
          </w:p>
        </w:tc>
      </w:tr>
      <w:tr>
        <w:tc>
          <w:tcPr>
            <w:tcW w:type="dxa" w:w="1400"/>
            <w:shd w:fill="F2F2F2" w:val="clear"/>
            <w:tcMar>
              <w:top w:type="dxa" w:w="80"/>
              <w:left w:type="dxa" w:w="100"/>
              <w:bottom w:type="dxa" w:w="80"/>
              <w:right w:type="dxa" w:w="100"/>
            </w:tcMar>
            <w:vAlign w:val="center"/>
          </w:tcPr>
          <w:p>
            <w:pPr>
              <w:jc w:val="left"/>
            </w:pPr>
            <w:r>
              <w:t xml:space="preserve">y1z2a3b</w:t>
            </w:r>
          </w:p>
        </w:tc>
        <w:tc>
          <w:tcPr>
            <w:tcW w:type="dxa" w:w="3300"/>
            <w:shd w:fill="F2F2F2" w:val="clear"/>
            <w:tcMar>
              <w:top w:type="dxa" w:w="80"/>
              <w:left w:type="dxa" w:w="100"/>
              <w:bottom w:type="dxa" w:w="80"/>
              <w:right w:type="dxa" w:w="100"/>
            </w:tcMar>
            <w:vAlign w:val="center"/>
          </w:tcPr>
          <w:p>
            <w:pPr>
              <w:jc w:val="left"/>
            </w:pPr>
            <w:r>
              <w:t xml:space="preserve">Add Docker configuration</w:t>
            </w:r>
          </w:p>
        </w:tc>
        <w:tc>
          <w:tcPr>
            <w:tcW w:type="dxa" w:w="4660"/>
            <w:shd w:fill="F2F2F2" w:val="clear"/>
            <w:tcMar>
              <w:top w:type="dxa" w:w="80"/>
              <w:left w:type="dxa" w:w="100"/>
              <w:bottom w:type="dxa" w:w="80"/>
              <w:right w:type="dxa" w:w="100"/>
            </w:tcMar>
            <w:vAlign w:val="center"/>
          </w:tcPr>
          <w:p>
            <w:pPr>
              <w:jc w:val="left"/>
            </w:pPr>
            <w:r>
              <w:t xml:space="preserve">Added Dockerfile and docker-compose.yml for containerized deployment.</w:t>
            </w:r>
          </w:p>
        </w:tc>
      </w:tr>
      <w:tr>
        <w:tc>
          <w:tcPr>
            <w:tcW w:type="dxa" w:w="1400"/>
            <w:tcMar>
              <w:top w:type="dxa" w:w="80"/>
              <w:left w:type="dxa" w:w="100"/>
              <w:bottom w:type="dxa" w:w="80"/>
              <w:right w:type="dxa" w:w="100"/>
            </w:tcMar>
            <w:vAlign w:val="center"/>
          </w:tcPr>
          <w:p>
            <w:pPr>
              <w:jc w:val="left"/>
            </w:pPr>
            <w:r>
              <w:t xml:space="preserve">c4d5e6f</w:t>
            </w:r>
          </w:p>
        </w:tc>
        <w:tc>
          <w:tcPr>
            <w:tcW w:type="dxa" w:w="3300"/>
            <w:tcMar>
              <w:top w:type="dxa" w:w="80"/>
              <w:left w:type="dxa" w:w="100"/>
              <w:bottom w:type="dxa" w:w="80"/>
              <w:right w:type="dxa" w:w="100"/>
            </w:tcMar>
            <w:vAlign w:val="center"/>
          </w:tcPr>
          <w:p>
            <w:pPr>
              <w:jc w:val="left"/>
            </w:pPr>
            <w:r>
              <w:t xml:space="preserve">Add unit and integration tests</w:t>
            </w:r>
          </w:p>
        </w:tc>
        <w:tc>
          <w:tcPr>
            <w:tcW w:type="dxa" w:w="4660"/>
            <w:tcMar>
              <w:top w:type="dxa" w:w="80"/>
              <w:left w:type="dxa" w:w="100"/>
              <w:bottom w:type="dxa" w:w="80"/>
              <w:right w:type="dxa" w:w="100"/>
            </w:tcMar>
            <w:vAlign w:val="center"/>
          </w:tcPr>
          <w:p>
            <w:pPr>
              <w:jc w:val="left"/>
            </w:pPr>
            <w:r>
              <w:t xml:space="preserve">Added test cases covering core monitoring and prediction functions.</w:t>
            </w:r>
          </w:p>
        </w:tc>
      </w:tr>
      <w:tr>
        <w:tc>
          <w:tcPr>
            <w:tcW w:type="dxa" w:w="1400"/>
            <w:shd w:fill="F2F2F2" w:val="clear"/>
            <w:tcMar>
              <w:top w:type="dxa" w:w="80"/>
              <w:left w:type="dxa" w:w="100"/>
              <w:bottom w:type="dxa" w:w="80"/>
              <w:right w:type="dxa" w:w="100"/>
            </w:tcMar>
            <w:vAlign w:val="center"/>
          </w:tcPr>
          <w:p>
            <w:pPr>
              <w:jc w:val="left"/>
            </w:pPr>
            <w:r>
              <w:t xml:space="preserve">g7h8i9j</w:t>
            </w:r>
          </w:p>
        </w:tc>
        <w:tc>
          <w:tcPr>
            <w:tcW w:type="dxa" w:w="3300"/>
            <w:shd w:fill="F2F2F2" w:val="clear"/>
            <w:tcMar>
              <w:top w:type="dxa" w:w="80"/>
              <w:left w:type="dxa" w:w="100"/>
              <w:bottom w:type="dxa" w:w="80"/>
              <w:right w:type="dxa" w:w="100"/>
            </w:tcMar>
            <w:vAlign w:val="center"/>
          </w:tcPr>
          <w:p>
            <w:pPr>
              <w:jc w:val="left"/>
            </w:pPr>
            <w:r>
              <w:t xml:space="preserve">Fix equipment status bug</w:t>
            </w:r>
          </w:p>
        </w:tc>
        <w:tc>
          <w:tcPr>
            <w:tcW w:type="dxa" w:w="4660"/>
            <w:shd w:fill="F2F2F2" w:val="clear"/>
            <w:tcMar>
              <w:top w:type="dxa" w:w="80"/>
              <w:left w:type="dxa" w:w="100"/>
              <w:bottom w:type="dxa" w:w="80"/>
              <w:right w:type="dxa" w:w="100"/>
            </w:tcMar>
            <w:vAlign w:val="center"/>
          </w:tcPr>
          <w:p>
            <w:pPr>
              <w:jc w:val="left"/>
            </w:pPr>
            <w:r>
              <w:t xml:space="preserve">Resolved incorrect status update when sensor data was delayed.</w:t>
            </w:r>
          </w:p>
        </w:tc>
      </w:tr>
      <w:tr>
        <w:tc>
          <w:tcPr>
            <w:tcW w:type="dxa" w:w="1400"/>
            <w:tcMar>
              <w:top w:type="dxa" w:w="80"/>
              <w:left w:type="dxa" w:w="100"/>
              <w:bottom w:type="dxa" w:w="80"/>
              <w:right w:type="dxa" w:w="100"/>
            </w:tcMar>
            <w:vAlign w:val="center"/>
          </w:tcPr>
          <w:p>
            <w:pPr>
              <w:jc w:val="left"/>
            </w:pPr>
            <w:r>
              <w:t xml:space="preserve">k1l2m3n</w:t>
            </w:r>
          </w:p>
        </w:tc>
        <w:tc>
          <w:tcPr>
            <w:tcW w:type="dxa" w:w="3300"/>
            <w:tcMar>
              <w:top w:type="dxa" w:w="80"/>
              <w:left w:type="dxa" w:w="100"/>
              <w:bottom w:type="dxa" w:w="80"/>
              <w:right w:type="dxa" w:w="100"/>
            </w:tcMar>
            <w:vAlign w:val="center"/>
          </w:tcPr>
          <w:p>
            <w:pPr>
              <w:jc w:val="left"/>
            </w:pPr>
            <w:r>
              <w:t xml:space="preserve">Update README documentation</w:t>
            </w:r>
          </w:p>
        </w:tc>
        <w:tc>
          <w:tcPr>
            <w:tcW w:type="dxa" w:w="4660"/>
            <w:tcMar>
              <w:top w:type="dxa" w:w="80"/>
              <w:left w:type="dxa" w:w="100"/>
              <w:bottom w:type="dxa" w:w="80"/>
              <w:right w:type="dxa" w:w="100"/>
            </w:tcMar>
            <w:vAlign w:val="center"/>
          </w:tcPr>
          <w:p>
            <w:pPr>
              <w:jc w:val="left"/>
            </w:pPr>
            <w:r>
              <w:t xml:space="preserve">Added installation, usage, and environment setup instructions.</w:t>
            </w:r>
          </w:p>
        </w:tc>
      </w:tr>
    </w:tbl>
    <w:p>
      <w:pPr>
        <w:pStyle w:val="Heading2"/>
        <w:spacing w:after="160" w:before="240"/>
      </w:pPr>
      <w:r>
        <w:rPr>
          <w:b/>
          <w:bCs/>
          <w:color w:val="2E74B5"/>
        </w:rPr>
        <w:t xml:space="preserve">Commit Message Quality</w:t>
      </w:r>
    </w:p>
    <w:p>
      <w:pPr>
        <w:spacing w:after="120" w:before="0"/>
      </w:pPr>
      <w:r>
        <w:t xml:space="preserve">Commit messages are short, written in the imperative mood, and describe a single logical change (e.g., "Add Docker configuration", "Fix equipment status bug"), which makes the project history easy to scan and understand without opening each diff.</w:t>
      </w:r>
    </w:p>
    <w:p>
      <w:pPr>
        <w:pStyle w:val="Heading2"/>
        <w:spacing w:after="160" w:before="240"/>
      </w:pPr>
      <w:r>
        <w:rPr>
          <w:b/>
          <w:bCs/>
          <w:color w:val="2E74B5"/>
        </w:rPr>
        <w:t xml:space="preserve">Repository Maintenance Practices</w:t>
      </w:r>
    </w:p>
    <w:p>
      <w:pPr>
        <w:pStyle w:val="ListParagraph"/>
        <w:numPr>
          <w:ilvl w:val="0"/>
          <w:numId w:val="1"/>
        </w:numPr>
        <w:spacing w:after="100"/>
      </w:pPr>
      <w:r>
        <w:t xml:space="preserve">Feature branches are merged into develop only after the corresponding functionality has been tested.</w:t>
      </w:r>
    </w:p>
    <w:p>
      <w:pPr>
        <w:pStyle w:val="ListParagraph"/>
        <w:numPr>
          <w:ilvl w:val="0"/>
          <w:numId w:val="1"/>
        </w:numPr>
        <w:spacing w:after="100"/>
      </w:pPr>
      <w:r>
        <w:t xml:space="preserve">The main branch is updated only from develop, after integration testing, keeping it deployable at all times.</w:t>
      </w:r>
    </w:p>
    <w:p>
      <w:pPr>
        <w:pStyle w:val="ListParagraph"/>
        <w:numPr>
          <w:ilvl w:val="0"/>
          <w:numId w:val="1"/>
        </w:numPr>
        <w:spacing w:after="100"/>
      </w:pPr>
      <w:r>
        <w:t xml:space="preserve">Merge conflicts are resolved by reviewing both versions of the conflicting file and manually selecting the correct combined logic before committing the resolution.</w:t>
      </w:r>
    </w:p>
    <w:p>
      <w:pPr>
        <w:pStyle w:val="Heading2"/>
        <w:spacing w:after="160" w:before="240"/>
      </w:pPr>
      <w:r>
        <w:rPr>
          <w:b/>
          <w:bCs/>
          <w:color w:val="2E74B5"/>
        </w:rPr>
        <w:t xml:space="preserve">How Version Control Supports Collaboration</w:t>
      </w:r>
    </w:p>
    <w:p>
      <w:pPr>
        <w:spacing w:after="120" w:before="0"/>
      </w:pPr>
      <w:r>
        <w:t xml:space="preserve">Git allows multiple contributors to work on monitoring, prediction, maintenance, and alerting features in parallel without overwriting each other's work. The commit history provides an audit trail of how the system evolved, the branching model protects the stable version from incomplete work, and the remote repository acts as a single shared source of truth that keeps all contributors synchronized.</w:t>
      </w:r>
    </w:p>
    <w:p>
      <w:pPr>
        <w:pStyle w:val="Heading1"/>
        <w:spacing w:after="160" w:before="240"/>
      </w:pPr>
      <w:r>
        <w:rPr>
          <w:b/>
          <w:bCs/>
          <w:color w:val="1F4E79"/>
        </w:rPr>
        <w:t xml:space="preserve">5. Code Testing and Validation</w:t>
      </w:r>
    </w:p>
    <w:p>
      <w:pPr>
        <w:spacing w:after="120" w:before="0"/>
      </w:pPr>
      <w:r>
        <w:t xml:space="preserve">The application was tested after deployment inside its Docker environment to confirm that the web service and database communicate correctly and that all major functions behave as expected.</w:t>
      </w:r>
    </w:p>
    <w:p>
      <w:pPr>
        <w:pStyle w:val="Heading2"/>
        <w:spacing w:after="160" w:before="240"/>
      </w:pPr>
      <w:r>
        <w:rPr>
          <w:b/>
          <w:bCs/>
          <w:color w:val="2E74B5"/>
        </w:rPr>
        <w:t xml:space="preserve">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760"/>
        <w:gridCol w:w="1300"/>
      </w:tblGrid>
      <w:tr>
        <w:tc>
          <w:tcPr>
            <w:tcW w:type="dxa" w:w="1100"/>
            <w:shd w:fill="1F4E79" w:val="clear"/>
            <w:tcMar>
              <w:top w:type="dxa" w:w="80"/>
              <w:left w:type="dxa" w:w="100"/>
              <w:bottom w:type="dxa" w:w="80"/>
              <w:right w:type="dxa" w:w="100"/>
            </w:tcMar>
            <w:vAlign w:val="center"/>
          </w:tcPr>
          <w:p>
            <w:pPr>
              <w:jc w:val="center"/>
            </w:pPr>
            <w:r>
              <w:rPr>
                <w:b/>
                <w:bCs/>
              </w:rPr>
              <w:t xml:space="preserve">Test ID</w:t>
            </w:r>
          </w:p>
        </w:tc>
        <w:tc>
          <w:tcPr>
            <w:tcW w:type="dxa" w:w="3200"/>
            <w:shd w:fill="1F4E79" w:val="clear"/>
            <w:tcMar>
              <w:top w:type="dxa" w:w="80"/>
              <w:left w:type="dxa" w:w="100"/>
              <w:bottom w:type="dxa" w:w="80"/>
              <w:right w:type="dxa" w:w="100"/>
            </w:tcMar>
            <w:vAlign w:val="center"/>
          </w:tcPr>
          <w:p>
            <w:pPr>
              <w:jc w:val="center"/>
            </w:pPr>
            <w:r>
              <w:rPr>
                <w:b/>
                <w:bCs/>
              </w:rPr>
              <w:t xml:space="preserve">Test Description</w:t>
            </w:r>
          </w:p>
        </w:tc>
        <w:tc>
          <w:tcPr>
            <w:tcW w:type="dxa" w:w="3760"/>
            <w:shd w:fill="1F4E79" w:val="clear"/>
            <w:tcMar>
              <w:top w:type="dxa" w:w="80"/>
              <w:left w:type="dxa" w:w="100"/>
              <w:bottom w:type="dxa" w:w="80"/>
              <w:right w:type="dxa" w:w="100"/>
            </w:tcMar>
            <w:vAlign w:val="center"/>
          </w:tcPr>
          <w:p>
            <w:pPr>
              <w:jc w:val="center"/>
            </w:pPr>
            <w:r>
              <w:rPr>
                <w:b/>
                <w:bCs/>
              </w:rPr>
              <w:t xml:space="preserve">Expected Result</w:t>
            </w:r>
          </w:p>
        </w:tc>
        <w:tc>
          <w:tcPr>
            <w:tcW w:type="dxa" w:w="1300"/>
            <w:shd w:fill="1F4E79" w:val="clear"/>
            <w:tcMar>
              <w:top w:type="dxa" w:w="80"/>
              <w:left w:type="dxa" w:w="100"/>
              <w:bottom w:type="dxa" w:w="80"/>
              <w:right w:type="dxa" w:w="100"/>
            </w:tcMar>
            <w:vAlign w:val="center"/>
          </w:tcPr>
          <w:p>
            <w:pPr>
              <w:jc w:val="center"/>
            </w:pPr>
            <w:r>
              <w:rPr>
                <w:b/>
                <w:bCs/>
              </w:rPr>
              <w:t xml:space="preserve">Status</w:t>
            </w:r>
          </w:p>
        </w:tc>
      </w:tr>
      <w:tr>
        <w:tc>
          <w:tcPr>
            <w:tcW w:type="dxa" w:w="1100"/>
            <w:shd w:fill="F2F2F2" w:val="clear"/>
            <w:tcMar>
              <w:top w:type="dxa" w:w="80"/>
              <w:left w:type="dxa" w:w="100"/>
              <w:bottom w:type="dxa" w:w="80"/>
              <w:right w:type="dxa" w:w="100"/>
            </w:tcMar>
            <w:vAlign w:val="center"/>
          </w:tcPr>
          <w:p>
            <w:pPr>
              <w:jc w:val="center"/>
            </w:pPr>
            <w:r>
              <w:t xml:space="preserve">TC01</w:t>
            </w:r>
          </w:p>
        </w:tc>
        <w:tc>
          <w:tcPr>
            <w:tcW w:type="dxa" w:w="3200"/>
            <w:shd w:fill="F2F2F2" w:val="clear"/>
            <w:tcMar>
              <w:top w:type="dxa" w:w="80"/>
              <w:left w:type="dxa" w:w="100"/>
              <w:bottom w:type="dxa" w:w="80"/>
              <w:right w:type="dxa" w:w="100"/>
            </w:tcMar>
            <w:vAlign w:val="center"/>
          </w:tcPr>
          <w:p>
            <w:pPr>
              <w:jc w:val="left"/>
            </w:pPr>
            <w:r>
              <w:t xml:space="preserve">Verify user login with valid credentials</w:t>
            </w:r>
          </w:p>
        </w:tc>
        <w:tc>
          <w:tcPr>
            <w:tcW w:type="dxa" w:w="3760"/>
            <w:shd w:fill="F2F2F2" w:val="clear"/>
            <w:tcMar>
              <w:top w:type="dxa" w:w="80"/>
              <w:left w:type="dxa" w:w="100"/>
              <w:bottom w:type="dxa" w:w="80"/>
              <w:right w:type="dxa" w:w="100"/>
            </w:tcMar>
            <w:vAlign w:val="center"/>
          </w:tcPr>
          <w:p>
            <w:pPr>
              <w:jc w:val="left"/>
            </w:pPr>
            <w:r>
              <w:t xml:space="preserve">User is authenticated and redirected to the dashboard.</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tcMar>
              <w:top w:type="dxa" w:w="80"/>
              <w:left w:type="dxa" w:w="100"/>
              <w:bottom w:type="dxa" w:w="80"/>
              <w:right w:type="dxa" w:w="100"/>
            </w:tcMar>
            <w:vAlign w:val="center"/>
          </w:tcPr>
          <w:p>
            <w:pPr>
              <w:jc w:val="center"/>
            </w:pPr>
            <w:r>
              <w:t xml:space="preserve">TC02</w:t>
            </w:r>
          </w:p>
        </w:tc>
        <w:tc>
          <w:tcPr>
            <w:tcW w:type="dxa" w:w="3200"/>
            <w:tcMar>
              <w:top w:type="dxa" w:w="80"/>
              <w:left w:type="dxa" w:w="100"/>
              <w:bottom w:type="dxa" w:w="80"/>
              <w:right w:type="dxa" w:w="100"/>
            </w:tcMar>
            <w:vAlign w:val="center"/>
          </w:tcPr>
          <w:p>
            <w:pPr>
              <w:jc w:val="left"/>
            </w:pPr>
            <w:r>
              <w:t xml:space="preserve">Add a new equipment record</w:t>
            </w:r>
          </w:p>
        </w:tc>
        <w:tc>
          <w:tcPr>
            <w:tcW w:type="dxa" w:w="3760"/>
            <w:tcMar>
              <w:top w:type="dxa" w:w="80"/>
              <w:left w:type="dxa" w:w="100"/>
              <w:bottom w:type="dxa" w:w="80"/>
              <w:right w:type="dxa" w:w="100"/>
            </w:tcMar>
            <w:vAlign w:val="center"/>
          </w:tcPr>
          <w:p>
            <w:pPr>
              <w:jc w:val="left"/>
            </w:pPr>
            <w:r>
              <w:t xml:space="preserve">Equipment entry is created and visible in the inventory list.</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shd w:fill="F2F2F2" w:val="clear"/>
            <w:tcMar>
              <w:top w:type="dxa" w:w="80"/>
              <w:left w:type="dxa" w:w="100"/>
              <w:bottom w:type="dxa" w:w="80"/>
              <w:right w:type="dxa" w:w="100"/>
            </w:tcMar>
            <w:vAlign w:val="center"/>
          </w:tcPr>
          <w:p>
            <w:pPr>
              <w:jc w:val="center"/>
            </w:pPr>
            <w:r>
              <w:t xml:space="preserve">TC03</w:t>
            </w:r>
          </w:p>
        </w:tc>
        <w:tc>
          <w:tcPr>
            <w:tcW w:type="dxa" w:w="3200"/>
            <w:shd w:fill="F2F2F2" w:val="clear"/>
            <w:tcMar>
              <w:top w:type="dxa" w:w="80"/>
              <w:left w:type="dxa" w:w="100"/>
              <w:bottom w:type="dxa" w:w="80"/>
              <w:right w:type="dxa" w:w="100"/>
            </w:tcMar>
            <w:vAlign w:val="center"/>
          </w:tcPr>
          <w:p>
            <w:pPr>
              <w:jc w:val="left"/>
            </w:pPr>
            <w:r>
              <w:t xml:space="preserve">Simulate abnormal sensor reading</w:t>
            </w:r>
          </w:p>
        </w:tc>
        <w:tc>
          <w:tcPr>
            <w:tcW w:type="dxa" w:w="3760"/>
            <w:shd w:fill="F2F2F2" w:val="clear"/>
            <w:tcMar>
              <w:top w:type="dxa" w:w="80"/>
              <w:left w:type="dxa" w:w="100"/>
              <w:bottom w:type="dxa" w:w="80"/>
              <w:right w:type="dxa" w:w="100"/>
            </w:tcMar>
            <w:vAlign w:val="center"/>
          </w:tcPr>
          <w:p>
            <w:pPr>
              <w:jc w:val="left"/>
            </w:pPr>
            <w:r>
              <w:t xml:space="preserve">System flags the equipment as a hazard and raises an alert.</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tcMar>
              <w:top w:type="dxa" w:w="80"/>
              <w:left w:type="dxa" w:w="100"/>
              <w:bottom w:type="dxa" w:w="80"/>
              <w:right w:type="dxa" w:w="100"/>
            </w:tcMar>
            <w:vAlign w:val="center"/>
          </w:tcPr>
          <w:p>
            <w:pPr>
              <w:jc w:val="center"/>
            </w:pPr>
            <w:r>
              <w:t xml:space="preserve">TC04</w:t>
            </w:r>
          </w:p>
        </w:tc>
        <w:tc>
          <w:tcPr>
            <w:tcW w:type="dxa" w:w="3200"/>
            <w:tcMar>
              <w:top w:type="dxa" w:w="80"/>
              <w:left w:type="dxa" w:w="100"/>
              <w:bottom w:type="dxa" w:w="80"/>
              <w:right w:type="dxa" w:w="100"/>
            </w:tcMar>
            <w:vAlign w:val="center"/>
          </w:tcPr>
          <w:p>
            <w:pPr>
              <w:jc w:val="left"/>
            </w:pPr>
            <w:r>
              <w:t xml:space="preserve">Run failure prediction on sample data</w:t>
            </w:r>
          </w:p>
        </w:tc>
        <w:tc>
          <w:tcPr>
            <w:tcW w:type="dxa" w:w="3760"/>
            <w:tcMar>
              <w:top w:type="dxa" w:w="80"/>
              <w:left w:type="dxa" w:w="100"/>
              <w:bottom w:type="dxa" w:w="80"/>
              <w:right w:type="dxa" w:w="100"/>
            </w:tcMar>
            <w:vAlign w:val="center"/>
          </w:tcPr>
          <w:p>
            <w:pPr>
              <w:jc w:val="left"/>
            </w:pPr>
            <w:r>
              <w:t xml:space="preserve">Prediction service returns a risk score for the selected equipment.</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shd w:fill="F2F2F2" w:val="clear"/>
            <w:tcMar>
              <w:top w:type="dxa" w:w="80"/>
              <w:left w:type="dxa" w:w="100"/>
              <w:bottom w:type="dxa" w:w="80"/>
              <w:right w:type="dxa" w:w="100"/>
            </w:tcMar>
            <w:vAlign w:val="center"/>
          </w:tcPr>
          <w:p>
            <w:pPr>
              <w:jc w:val="center"/>
            </w:pPr>
            <w:r>
              <w:t xml:space="preserve">TC05</w:t>
            </w:r>
          </w:p>
        </w:tc>
        <w:tc>
          <w:tcPr>
            <w:tcW w:type="dxa" w:w="3200"/>
            <w:shd w:fill="F2F2F2" w:val="clear"/>
            <w:tcMar>
              <w:top w:type="dxa" w:w="80"/>
              <w:left w:type="dxa" w:w="100"/>
              <w:bottom w:type="dxa" w:w="80"/>
              <w:right w:type="dxa" w:w="100"/>
            </w:tcMar>
            <w:vAlign w:val="center"/>
          </w:tcPr>
          <w:p>
            <w:pPr>
              <w:jc w:val="left"/>
            </w:pPr>
            <w:r>
              <w:t xml:space="preserve">Create a maintenance work order</w:t>
            </w:r>
          </w:p>
        </w:tc>
        <w:tc>
          <w:tcPr>
            <w:tcW w:type="dxa" w:w="3760"/>
            <w:shd w:fill="F2F2F2" w:val="clear"/>
            <w:tcMar>
              <w:top w:type="dxa" w:w="80"/>
              <w:left w:type="dxa" w:w="100"/>
              <w:bottom w:type="dxa" w:w="80"/>
              <w:right w:type="dxa" w:w="100"/>
            </w:tcMar>
            <w:vAlign w:val="center"/>
          </w:tcPr>
          <w:p>
            <w:pPr>
              <w:jc w:val="left"/>
            </w:pPr>
            <w:r>
              <w:t xml:space="preserve">Work order is generated and linked to the correct technician.</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tcMar>
              <w:top w:type="dxa" w:w="80"/>
              <w:left w:type="dxa" w:w="100"/>
              <w:bottom w:type="dxa" w:w="80"/>
              <w:right w:type="dxa" w:w="100"/>
            </w:tcMar>
            <w:vAlign w:val="center"/>
          </w:tcPr>
          <w:p>
            <w:pPr>
              <w:jc w:val="center"/>
            </w:pPr>
            <w:r>
              <w:t xml:space="preserve">TC06</w:t>
            </w:r>
          </w:p>
        </w:tc>
        <w:tc>
          <w:tcPr>
            <w:tcW w:type="dxa" w:w="3200"/>
            <w:tcMar>
              <w:top w:type="dxa" w:w="80"/>
              <w:left w:type="dxa" w:w="100"/>
              <w:bottom w:type="dxa" w:w="80"/>
              <w:right w:type="dxa" w:w="100"/>
            </w:tcMar>
            <w:vAlign w:val="center"/>
          </w:tcPr>
          <w:p>
            <w:pPr>
              <w:jc w:val="left"/>
            </w:pPr>
            <w:r>
              <w:t xml:space="preserve">Restart the application container</w:t>
            </w:r>
          </w:p>
        </w:tc>
        <w:tc>
          <w:tcPr>
            <w:tcW w:type="dxa" w:w="3760"/>
            <w:tcMar>
              <w:top w:type="dxa" w:w="80"/>
              <w:left w:type="dxa" w:w="100"/>
              <w:bottom w:type="dxa" w:w="80"/>
              <w:right w:type="dxa" w:w="100"/>
            </w:tcMar>
            <w:vAlign w:val="center"/>
          </w:tcPr>
          <w:p>
            <w:pPr>
              <w:jc w:val="left"/>
            </w:pPr>
            <w:r>
              <w:t xml:space="preserve">Previously stored data remains available after restart.</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shd w:fill="F2F2F2" w:val="clear"/>
            <w:tcMar>
              <w:top w:type="dxa" w:w="80"/>
              <w:left w:type="dxa" w:w="100"/>
              <w:bottom w:type="dxa" w:w="80"/>
              <w:right w:type="dxa" w:w="100"/>
            </w:tcMar>
            <w:vAlign w:val="center"/>
          </w:tcPr>
          <w:p>
            <w:pPr>
              <w:jc w:val="center"/>
            </w:pPr>
            <w:r>
              <w:t xml:space="preserve">TC07</w:t>
            </w:r>
          </w:p>
        </w:tc>
        <w:tc>
          <w:tcPr>
            <w:tcW w:type="dxa" w:w="3200"/>
            <w:shd w:fill="F2F2F2" w:val="clear"/>
            <w:tcMar>
              <w:top w:type="dxa" w:w="80"/>
              <w:left w:type="dxa" w:w="100"/>
              <w:bottom w:type="dxa" w:w="80"/>
              <w:right w:type="dxa" w:w="100"/>
            </w:tcMar>
            <w:vAlign w:val="center"/>
          </w:tcPr>
          <w:p>
            <w:pPr>
              <w:jc w:val="left"/>
            </w:pPr>
            <w:r>
              <w:t xml:space="preserve">Generate a compliance report</w:t>
            </w:r>
          </w:p>
        </w:tc>
        <w:tc>
          <w:tcPr>
            <w:tcW w:type="dxa" w:w="3760"/>
            <w:shd w:fill="F2F2F2" w:val="clear"/>
            <w:tcMar>
              <w:top w:type="dxa" w:w="80"/>
              <w:left w:type="dxa" w:w="100"/>
              <w:bottom w:type="dxa" w:w="80"/>
              <w:right w:type="dxa" w:w="100"/>
            </w:tcMar>
            <w:vAlign w:val="center"/>
          </w:tcPr>
          <w:p>
            <w:pPr>
              <w:jc w:val="left"/>
            </w:pPr>
            <w:r>
              <w:t xml:space="preserve">Report is generated in the expected format with accurate data.</w:t>
            </w:r>
          </w:p>
        </w:tc>
        <w:tc>
          <w:tcPr>
            <w:tcW w:type="dxa" w:w="1300"/>
            <w:shd w:fill="E2EFDA" w:val="clear"/>
            <w:tcMar>
              <w:top w:type="dxa" w:w="80"/>
              <w:left w:type="dxa" w:w="100"/>
              <w:bottom w:type="dxa" w:w="80"/>
              <w:right w:type="dxa" w:w="100"/>
            </w:tcMar>
            <w:vAlign w:val="center"/>
          </w:tcPr>
          <w:p>
            <w:pPr>
              <w:jc w:val="center"/>
            </w:pPr>
            <w:r>
              <w:t xml:space="preserve">Pass</w:t>
            </w:r>
          </w:p>
        </w:tc>
      </w:tr>
      <w:tr>
        <w:tc>
          <w:tcPr>
            <w:tcW w:type="dxa" w:w="1100"/>
            <w:tcMar>
              <w:top w:type="dxa" w:w="80"/>
              <w:left w:type="dxa" w:w="100"/>
              <w:bottom w:type="dxa" w:w="80"/>
              <w:right w:type="dxa" w:w="100"/>
            </w:tcMar>
            <w:vAlign w:val="center"/>
          </w:tcPr>
          <w:p>
            <w:pPr>
              <w:jc w:val="center"/>
            </w:pPr>
            <w:r>
              <w:t xml:space="preserve">TC08</w:t>
            </w:r>
          </w:p>
        </w:tc>
        <w:tc>
          <w:tcPr>
            <w:tcW w:type="dxa" w:w="3200"/>
            <w:tcMar>
              <w:top w:type="dxa" w:w="80"/>
              <w:left w:type="dxa" w:w="100"/>
              <w:bottom w:type="dxa" w:w="80"/>
              <w:right w:type="dxa" w:w="100"/>
            </w:tcMar>
            <w:vAlign w:val="center"/>
          </w:tcPr>
          <w:p>
            <w:pPr>
              <w:jc w:val="left"/>
            </w:pPr>
            <w:r>
              <w:t xml:space="preserve">Access a protected route without login</w:t>
            </w:r>
          </w:p>
        </w:tc>
        <w:tc>
          <w:tcPr>
            <w:tcW w:type="dxa" w:w="3760"/>
            <w:tcMar>
              <w:top w:type="dxa" w:w="80"/>
              <w:left w:type="dxa" w:w="100"/>
              <w:bottom w:type="dxa" w:w="80"/>
              <w:right w:type="dxa" w:w="100"/>
            </w:tcMar>
            <w:vAlign w:val="center"/>
          </w:tcPr>
          <w:p>
            <w:pPr>
              <w:jc w:val="left"/>
            </w:pPr>
            <w:r>
              <w:t xml:space="preserve">System denies access and redirects to the login page.</w:t>
            </w:r>
          </w:p>
        </w:tc>
        <w:tc>
          <w:tcPr>
            <w:tcW w:type="dxa" w:w="1300"/>
            <w:shd w:fill="E2EFDA" w:val="clear"/>
            <w:tcMar>
              <w:top w:type="dxa" w:w="80"/>
              <w:left w:type="dxa" w:w="100"/>
              <w:bottom w:type="dxa" w:w="80"/>
              <w:right w:type="dxa" w:w="100"/>
            </w:tcMar>
            <w:vAlign w:val="center"/>
          </w:tcPr>
          <w:p>
            <w:pPr>
              <w:jc w:val="center"/>
            </w:pPr>
            <w:r>
              <w:t xml:space="preserve">Pass</w:t>
            </w:r>
          </w:p>
        </w:tc>
      </w:tr>
    </w:tbl>
    <w:p>
      <w:pPr>
        <w:pStyle w:val="Heading2"/>
        <w:spacing w:after="160" w:before="240"/>
      </w:pPr>
      <w:r>
        <w:rPr>
          <w:b/>
          <w:bCs/>
          <w:color w:val="2E74B5"/>
        </w:rPr>
        <w:t xml:space="preserve">Evidence</w:t>
      </w:r>
    </w:p>
    <w:p>
      <w:pPr>
        <w:spacing w:after="120" w:before="0"/>
      </w:pPr>
      <w:r>
        <w:t xml:space="preserve">Supporting evidence for the above test results — including repository structure screenshots, container startup logs, and application screenshots for each test case — should be captured from the actual deployment and inserted here before final submission.</w:t>
      </w:r>
    </w:p>
    <w:p>
      <w:pPr>
        <w:pStyle w:val="Heading1"/>
        <w:spacing w:after="160" w:before="240"/>
      </w:pPr>
      <w:r>
        <w:rPr>
          <w:b/>
          <w:bCs/>
          <w:color w:val="1F4E79"/>
        </w:rPr>
        <w:t xml:space="preserve">6. Repository Documentation</w:t>
      </w:r>
    </w:p>
    <w:p>
      <w:pPr>
        <w:pStyle w:val="Heading2"/>
        <w:spacing w:after="160" w:before="240"/>
      </w:pPr>
      <w:r>
        <w:rPr>
          <w:b/>
          <w:bCs/>
          <w:color w:val="2E74B5"/>
        </w:rPr>
        <w:t xml:space="preserve">README Evaluation</w:t>
      </w:r>
    </w:p>
    <w:p>
      <w:pPr>
        <w:pStyle w:val="ListParagraph"/>
        <w:numPr>
          <w:ilvl w:val="0"/>
          <w:numId w:val="1"/>
        </w:numPr>
        <w:spacing w:after="100"/>
      </w:pPr>
      <w:r>
        <w:t xml:space="preserve">Project Overview — present; clearly describes the purpose of the Smart Medical Equipment Predictive Maintenance Platform.</w:t>
      </w:r>
    </w:p>
    <w:p>
      <w:pPr>
        <w:pStyle w:val="ListParagraph"/>
        <w:numPr>
          <w:ilvl w:val="0"/>
          <w:numId w:val="1"/>
        </w:numPr>
        <w:spacing w:after="100"/>
      </w:pPr>
      <w:r>
        <w:t xml:space="preserve">Installation Instructions — present; covers cloning the repository, installing dependencies from requirements.txt, and building the Docker containers.</w:t>
      </w:r>
    </w:p>
    <w:p>
      <w:pPr>
        <w:pStyle w:val="ListParagraph"/>
        <w:numPr>
          <w:ilvl w:val="0"/>
          <w:numId w:val="1"/>
        </w:numPr>
        <w:spacing w:after="100"/>
      </w:pPr>
      <w:r>
        <w:t xml:space="preserve">Usage Guide — present but brief; covers starting the application with docker-compose up but does not yet describe each major feature.</w:t>
      </w:r>
    </w:p>
    <w:p>
      <w:pPr>
        <w:pStyle w:val="ListParagraph"/>
        <w:numPr>
          <w:ilvl w:val="0"/>
          <w:numId w:val="1"/>
        </w:numPr>
        <w:spacing w:after="100"/>
      </w:pPr>
      <w:r>
        <w:t xml:space="preserve">Dependencies — present; requirements.txt lists all required Python packages with pinned versions.</w:t>
      </w:r>
    </w:p>
    <w:p>
      <w:pPr>
        <w:pStyle w:val="ListParagraph"/>
        <w:numPr>
          <w:ilvl w:val="0"/>
          <w:numId w:val="1"/>
        </w:numPr>
        <w:spacing w:after="100"/>
      </w:pPr>
      <w:r>
        <w:t xml:space="preserve">Environment Configuration — partially documented; required environment variables are used in code but not fully listed in the README.</w:t>
      </w:r>
    </w:p>
    <w:p>
      <w:pPr>
        <w:pStyle w:val="Heading2"/>
        <w:spacing w:after="160" w:before="240"/>
      </w:pPr>
      <w:r>
        <w:rPr>
          <w:b/>
          <w:bCs/>
          <w:color w:val="2E74B5"/>
        </w:rPr>
        <w:t xml:space="preserve">Suggested Improvements</w:t>
      </w:r>
    </w:p>
    <w:p>
      <w:pPr>
        <w:pStyle w:val="ListParagraph"/>
        <w:numPr>
          <w:ilvl w:val="0"/>
          <w:numId w:val="1"/>
        </w:numPr>
        <w:spacing w:after="100"/>
      </w:pPr>
      <w:r>
        <w:t xml:space="preserve">Add a dedicated "Environment Variables" section listing every variable the application expects, with example values.</w:t>
      </w:r>
    </w:p>
    <w:p>
      <w:pPr>
        <w:pStyle w:val="ListParagraph"/>
        <w:numPr>
          <w:ilvl w:val="0"/>
          <w:numId w:val="1"/>
        </w:numPr>
        <w:spacing w:after="100"/>
      </w:pPr>
      <w:r>
        <w:t xml:space="preserve">Expand the usage guide with a short walkthrough of each major feature (monitoring, prediction, maintenance, alerts, reports).</w:t>
      </w:r>
    </w:p>
    <w:p>
      <w:pPr>
        <w:pStyle w:val="ListParagraph"/>
        <w:numPr>
          <w:ilvl w:val="0"/>
          <w:numId w:val="1"/>
        </w:numPr>
        <w:spacing w:after="100"/>
      </w:pPr>
      <w:r>
        <w:t xml:space="preserve">Include screenshots of the dashboard and key workflows to help new contributors and evaluators orient themselves quickly.</w:t>
      </w:r>
    </w:p>
    <w:p>
      <w:pPr>
        <w:pStyle w:val="ListParagraph"/>
        <w:numPr>
          <w:ilvl w:val="0"/>
          <w:numId w:val="1"/>
        </w:numPr>
        <w:spacing w:after="100"/>
      </w:pPr>
      <w:r>
        <w:t xml:space="preserve">Add a "Running Tests" section explaining how to execute the test suite inside or outside the container.</w:t>
      </w:r>
    </w:p>
    <w:p>
      <w:pPr>
        <w:pStyle w:val="Heading1"/>
        <w:spacing w:after="160" w:before="240"/>
      </w:pPr>
      <w:r>
        <w:rPr>
          <w:b/>
          <w:bCs/>
          <w:color w:val="1F4E79"/>
        </w:rPr>
        <w:t xml:space="preserve">7. Code Review Findings and Recommendations</w:t>
      </w:r>
    </w:p>
    <w:p>
      <w:pPr>
        <w:pStyle w:val="Heading2"/>
        <w:spacing w:after="160" w:before="240"/>
      </w:pPr>
      <w:r>
        <w:rPr>
          <w:b/>
          <w:bCs/>
          <w:color w:val="2E74B5"/>
        </w:rPr>
        <w:t xml:space="preserve">Summary of Findings</w:t>
      </w:r>
    </w:p>
    <w:p>
      <w:pPr>
        <w:spacing w:after="120" w:before="0"/>
      </w:pPr>
      <w:r>
        <w:t xml:space="preserve">Overall, the repository is well organized, follows a sensible feature-based branching strategy, and separates concerns cleanly across routes, services, and models. Docker and Docker Compose are used correctly to containerize the application and database, and commit messages are clear and consistent. The main gaps are in code-level documentation (docstrings, type hints), automated style enforcement, and completeness of the usage-focused sections of the README.</w:t>
      </w:r>
    </w:p>
    <w:p>
      <w:pPr>
        <w:pStyle w:val="Heading2"/>
        <w:spacing w:after="160" w:before="240"/>
      </w:pPr>
      <w:r>
        <w:rPr>
          <w:b/>
          <w:bCs/>
          <w:color w:val="2E74B5"/>
        </w:rPr>
        <w:t xml:space="preserve">Recommendations</w:t>
      </w:r>
    </w:p>
    <w:p>
      <w:pPr>
        <w:pStyle w:val="ListParagraph"/>
        <w:numPr>
          <w:ilvl w:val="0"/>
          <w:numId w:val="1"/>
        </w:numPr>
        <w:spacing w:after="100"/>
      </w:pPr>
      <w:r>
        <w:t xml:space="preserve">Code Quality — adopt a linter/formatter (flake8 + black) and add docstrings and type hints to all service-layer functions.</w:t>
      </w:r>
    </w:p>
    <w:p>
      <w:pPr>
        <w:pStyle w:val="ListParagraph"/>
        <w:numPr>
          <w:ilvl w:val="0"/>
          <w:numId w:val="1"/>
        </w:numPr>
        <w:spacing w:after="100"/>
      </w:pPr>
      <w:r>
        <w:t xml:space="preserve">Repository Management — continue the current feature-branch workflow, and add branch protection rules on main to require review before merging.</w:t>
      </w:r>
    </w:p>
    <w:p>
      <w:pPr>
        <w:pStyle w:val="ListParagraph"/>
        <w:numPr>
          <w:ilvl w:val="0"/>
          <w:numId w:val="1"/>
        </w:numPr>
        <w:spacing w:after="100"/>
      </w:pPr>
      <w:r>
        <w:t xml:space="preserve">Documentation — expand the README with environment variables, a feature walkthrough, and a testing guide as outlined above.</w:t>
      </w:r>
    </w:p>
    <w:p>
      <w:pPr>
        <w:pStyle w:val="ListParagraph"/>
        <w:numPr>
          <w:ilvl w:val="0"/>
          <w:numId w:val="1"/>
        </w:numPr>
        <w:spacing w:after="100"/>
      </w:pPr>
      <w:r>
        <w:t xml:space="preserve">Testing — increase automated test coverage for the prediction and alerting modules, and integrate the test suite into a CI pipeline that runs on every pull request.</w:t>
      </w:r>
    </w:p>
    <w:p>
      <w:pPr>
        <w:pStyle w:val="ListParagraph"/>
        <w:numPr>
          <w:ilvl w:val="0"/>
          <w:numId w:val="1"/>
        </w:numPr>
        <w:spacing w:after="100"/>
      </w:pPr>
      <w:r>
        <w:t xml:space="preserve">Future Enhancements — consider adding role-based dashboards for different staff types (technicians vs. administrators) and historical trend charts for equipment health.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2026-08-13T08:47:08.466Z</dcterms:created>
  <dcterms:modified xsi:type="dcterms:W3CDTF">2026-08-13T08:47:08.481Z</dcterms:modified>
</cp:coreProperties>
</file>

<file path=docProps/custom.xml><?xml version="1.0" encoding="utf-8"?>
<Properties xmlns="http://schemas.openxmlformats.org/officeDocument/2006/custom-properties" xmlns:vt="http://schemas.openxmlformats.org/officeDocument/2006/docPropsVTypes"/>
</file>