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A4BF" w14:textId="77777777" w:rsidR="00295314" w:rsidRDefault="00295314">
      <w:pPr>
        <w:jc w:val="center"/>
        <w:rPr>
          <w:rFonts w:ascii="Arial" w:eastAsia="Arial" w:hAnsi="Arial" w:cs="Arial"/>
          <w:b/>
          <w:bCs/>
          <w:sz w:val="34"/>
          <w:szCs w:val="34"/>
        </w:rPr>
      </w:pPr>
    </w:p>
    <w:p w14:paraId="2C7DEEA8" w14:textId="77777777" w:rsidR="00295314"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76397081" w14:textId="77777777" w:rsidR="00295314"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149DFE06" w14:textId="77777777" w:rsidR="00295314" w:rsidRDefault="00295314">
      <w:pPr>
        <w:jc w:val="center"/>
        <w:rPr>
          <w:rFonts w:ascii="Arial" w:eastAsia="Arial" w:hAnsi="Arial" w:cs="Arial"/>
          <w:b/>
          <w:bCs/>
          <w:sz w:val="34"/>
          <w:szCs w:val="34"/>
        </w:rPr>
      </w:pPr>
    </w:p>
    <w:p w14:paraId="0C26FB15" w14:textId="77777777" w:rsidR="00295314" w:rsidRDefault="00295314">
      <w:pPr>
        <w:jc w:val="center"/>
        <w:rPr>
          <w:rFonts w:ascii="Arial" w:eastAsia="Arial" w:hAnsi="Arial" w:cs="Arial"/>
          <w:b/>
          <w:bCs/>
          <w:sz w:val="34"/>
          <w:szCs w:val="34"/>
        </w:rPr>
      </w:pPr>
    </w:p>
    <w:p w14:paraId="19BE2A18" w14:textId="77777777" w:rsidR="00CC19A3"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p>
    <w:p w14:paraId="28702C59" w14:textId="77777777" w:rsidR="00CC19A3" w:rsidRDefault="00CC19A3">
      <w:pPr>
        <w:rPr>
          <w:rFonts w:ascii="Arial" w:eastAsia="Arial" w:hAnsi="Arial" w:cs="Arial"/>
          <w:b/>
          <w:bCs/>
        </w:rPr>
      </w:pPr>
      <w:r>
        <w:rPr>
          <w:rFonts w:ascii="Arial" w:eastAsia="Arial" w:hAnsi="Arial" w:cs="Arial"/>
          <w:b/>
          <w:bCs/>
        </w:rPr>
        <w:t>NAME: MAHESH V</w:t>
      </w:r>
    </w:p>
    <w:p w14:paraId="4E7B125F" w14:textId="0B6108B8" w:rsidR="00295314" w:rsidRDefault="00CC19A3">
      <w:pPr>
        <w:rPr>
          <w:rFonts w:ascii="Arial" w:eastAsia="Arial" w:hAnsi="Arial" w:cs="Arial"/>
          <w:b/>
          <w:bCs/>
        </w:rPr>
      </w:pPr>
      <w:r>
        <w:rPr>
          <w:rFonts w:ascii="Arial" w:eastAsia="Arial" w:hAnsi="Arial" w:cs="Arial"/>
          <w:b/>
          <w:bCs/>
        </w:rPr>
        <w:t>REG NO:192524026</w:t>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p>
    <w:p w14:paraId="627C93C3" w14:textId="77777777" w:rsidR="00295314" w:rsidRDefault="00295314">
      <w:pPr>
        <w:rPr>
          <w:rFonts w:ascii="Arial" w:eastAsia="Arial" w:hAnsi="Arial" w:cs="Arial"/>
          <w:b/>
          <w:bCs/>
        </w:rPr>
      </w:pPr>
    </w:p>
    <w:p w14:paraId="603D8418" w14:textId="77777777" w:rsidR="0029531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1E3BBFA" wp14:editId="68AF30D2">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2EE6EE6" w14:textId="77777777" w:rsidR="00295314" w:rsidRDefault="00295314"/>
                        </w:txbxContent>
                      </wps:txbx>
                      <wps:bodyPr spcFirstLastPara="1" wrap="square" lIns="91425" tIns="91425" rIns="91425" bIns="91425" anchor="ctr" anchorCtr="0">
                        <a:noAutofit/>
                      </wps:bodyPr>
                    </wps:wsp>
                  </a:graphicData>
                </a:graphic>
              </wp:inline>
            </w:drawing>
          </mc:Choice>
          <mc:Fallback>
            <w:pict>
              <v:rect w14:anchorId="11E3BBFA"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2EE6EE6" w14:textId="77777777" w:rsidR="00295314" w:rsidRDefault="00295314"/>
                  </w:txbxContent>
                </v:textbox>
                <w10:anchorlock/>
              </v:rect>
            </w:pict>
          </mc:Fallback>
        </mc:AlternateContent>
      </w:r>
    </w:p>
    <w:p w14:paraId="330167E8" w14:textId="77777777" w:rsidR="00295314" w:rsidRDefault="00295314">
      <w:pPr>
        <w:rPr>
          <w:rFonts w:ascii="Arial" w:eastAsia="Arial" w:hAnsi="Arial" w:cs="Arial"/>
          <w:b/>
          <w:bCs/>
        </w:rPr>
      </w:pPr>
    </w:p>
    <w:p w14:paraId="57FC0B4B" w14:textId="77777777" w:rsidR="00295314" w:rsidRDefault="00000000">
      <w:pPr>
        <w:rPr>
          <w:rFonts w:ascii="Arial" w:eastAsia="Arial" w:hAnsi="Arial" w:cs="Arial"/>
          <w:b/>
          <w:bCs/>
        </w:rPr>
      </w:pPr>
      <w:r>
        <w:rPr>
          <w:rFonts w:ascii="Arial" w:eastAsia="Arial" w:hAnsi="Arial" w:cs="Arial"/>
          <w:b/>
          <w:bCs/>
        </w:rPr>
        <w:t>COURSE OUTCOME COVERED</w:t>
      </w:r>
    </w:p>
    <w:p w14:paraId="7B4A182E" w14:textId="77777777" w:rsidR="00295314" w:rsidRDefault="00295314">
      <w:pPr>
        <w:rPr>
          <w:rFonts w:ascii="Arial" w:eastAsia="Arial" w:hAnsi="Arial" w:cs="Arial"/>
          <w:b/>
          <w:bCs/>
        </w:rPr>
      </w:pPr>
    </w:p>
    <w:p w14:paraId="648E980A" w14:textId="77777777" w:rsidR="00295314"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D6BB73C" w14:textId="77777777" w:rsidR="00295314"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38615F73" w14:textId="77777777" w:rsidR="00295314" w:rsidRDefault="00295314">
      <w:pPr>
        <w:rPr>
          <w:rFonts w:ascii="Arial" w:eastAsia="Arial" w:hAnsi="Arial" w:cs="Arial"/>
          <w:i/>
          <w:iCs/>
        </w:rPr>
      </w:pPr>
    </w:p>
    <w:p w14:paraId="0A9792C7" w14:textId="77777777" w:rsidR="00295314" w:rsidRDefault="00000000">
      <w:pPr>
        <w:rPr>
          <w:rFonts w:ascii="Arial" w:eastAsia="Arial" w:hAnsi="Arial" w:cs="Arial"/>
          <w:i/>
          <w:iCs/>
        </w:rPr>
      </w:pPr>
      <w:r>
        <w:rPr>
          <w:rFonts w:ascii="Arial" w:eastAsia="Arial" w:hAnsi="Arial" w:cs="Arial"/>
          <w:i/>
          <w:iCs/>
        </w:rPr>
        <w:t>Assessment Tool Weightage: 10%</w:t>
      </w:r>
    </w:p>
    <w:p w14:paraId="73E68128" w14:textId="77777777" w:rsidR="00295314" w:rsidRDefault="00295314">
      <w:pPr>
        <w:rPr>
          <w:rFonts w:ascii="Arial" w:eastAsia="Arial" w:hAnsi="Arial" w:cs="Arial"/>
          <w:i/>
          <w:iCs/>
        </w:rPr>
      </w:pPr>
    </w:p>
    <w:p w14:paraId="6CF5C374" w14:textId="77777777" w:rsidR="00295314"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23F0E1AD" wp14:editId="6B0E673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A4C21E0" w14:textId="77777777" w:rsidR="00295314" w:rsidRDefault="00295314"/>
                        </w:txbxContent>
                      </wps:txbx>
                      <wps:bodyPr spcFirstLastPara="1" wrap="square" lIns="91425" tIns="91425" rIns="91425" bIns="91425" anchor="ctr" anchorCtr="0">
                        <a:noAutofit/>
                      </wps:bodyPr>
                    </wps:wsp>
                  </a:graphicData>
                </a:graphic>
              </wp:inline>
            </w:drawing>
          </mc:Choice>
          <mc:Fallback>
            <w:pict>
              <v:rect w14:anchorId="23F0E1AD"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A4C21E0" w14:textId="77777777" w:rsidR="00295314" w:rsidRDefault="00295314"/>
                  </w:txbxContent>
                </v:textbox>
                <w10:anchorlock/>
              </v:rect>
            </w:pict>
          </mc:Fallback>
        </mc:AlternateContent>
      </w:r>
    </w:p>
    <w:p w14:paraId="2B5836F2" w14:textId="77777777" w:rsidR="00295314"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7240BADA" w14:textId="77777777" w:rsidR="00295314" w:rsidRDefault="00295314">
      <w:pPr>
        <w:rPr>
          <w:rFonts w:ascii="Arial" w:eastAsia="Arial" w:hAnsi="Arial" w:cs="Arial"/>
        </w:rPr>
      </w:pPr>
    </w:p>
    <w:p w14:paraId="384D2E56" w14:textId="77777777" w:rsidR="00295314" w:rsidRPr="00CC19A3" w:rsidRDefault="00000000">
      <w:pPr>
        <w:rPr>
          <w:rFonts w:eastAsia="Arial"/>
          <w:b/>
          <w:bCs/>
        </w:rPr>
      </w:pPr>
      <w:r w:rsidRPr="00CC19A3">
        <w:rPr>
          <w:rFonts w:eastAsia="Arial"/>
          <w:b/>
          <w:bCs/>
        </w:rPr>
        <w:t>QUESTIONS: 4</w:t>
      </w:r>
      <w:r w:rsidRPr="00CC19A3">
        <w:rPr>
          <w:rFonts w:eastAsia="Arial"/>
          <w:b/>
          <w:bCs/>
        </w:rPr>
        <w:tab/>
      </w:r>
      <w:r w:rsidRPr="00CC19A3">
        <w:rPr>
          <w:rFonts w:eastAsia="Arial"/>
          <w:b/>
          <w:bCs/>
        </w:rPr>
        <w:tab/>
      </w:r>
      <w:r w:rsidRPr="00CC19A3">
        <w:rPr>
          <w:rFonts w:eastAsia="Arial"/>
          <w:b/>
          <w:bCs/>
        </w:rPr>
        <w:tab/>
      </w:r>
      <w:r w:rsidRPr="00CC19A3">
        <w:rPr>
          <w:rFonts w:eastAsia="Arial"/>
          <w:b/>
          <w:bCs/>
        </w:rPr>
        <w:tab/>
      </w:r>
      <w:r w:rsidRPr="00CC19A3">
        <w:rPr>
          <w:rFonts w:eastAsia="Arial"/>
          <w:b/>
          <w:bCs/>
        </w:rPr>
        <w:tab/>
      </w:r>
      <w:r w:rsidRPr="00CC19A3">
        <w:rPr>
          <w:rFonts w:eastAsia="Arial"/>
          <w:b/>
          <w:bCs/>
        </w:rPr>
        <w:tab/>
      </w:r>
      <w:r w:rsidRPr="00CC19A3">
        <w:rPr>
          <w:rFonts w:eastAsia="Arial"/>
          <w:b/>
          <w:bCs/>
        </w:rPr>
        <w:tab/>
      </w:r>
      <w:r w:rsidRPr="00CC19A3">
        <w:rPr>
          <w:rFonts w:eastAsia="Arial"/>
          <w:b/>
          <w:bCs/>
        </w:rPr>
        <w:tab/>
        <w:t xml:space="preserve">                 Total Marks:40</w:t>
      </w:r>
    </w:p>
    <w:p w14:paraId="03F77DE0" w14:textId="77777777" w:rsidR="00295314" w:rsidRDefault="00000000">
      <w:pPr>
        <w:rPr>
          <w:rFonts w:ascii="Arial" w:eastAsia="Arial" w:hAnsi="Arial" w:cs="Arial"/>
        </w:rPr>
      </w:pPr>
      <w:r>
        <w:rPr>
          <w:rFonts w:ascii="Arial" w:eastAsia="Arial" w:hAnsi="Arial" w:cs="Arial"/>
        </w:rPr>
        <w:t xml:space="preserve">   </w:t>
      </w:r>
    </w:p>
    <w:p w14:paraId="48A4ABAD" w14:textId="77777777" w:rsidR="00295314" w:rsidRDefault="00000000">
      <w:pPr>
        <w:jc w:val="center"/>
        <w:rPr>
          <w:rFonts w:ascii="Arial" w:eastAsia="Arial" w:hAnsi="Arial" w:cs="Arial"/>
        </w:rPr>
      </w:pPr>
      <w:r>
        <w:rPr>
          <w:rFonts w:ascii="Arial" w:eastAsia="Arial" w:hAnsi="Arial" w:cs="Arial"/>
        </w:rPr>
        <w:t>Annexure A</w:t>
      </w:r>
    </w:p>
    <w:p w14:paraId="705AF99D" w14:textId="77777777" w:rsidR="00295314" w:rsidRDefault="00295314">
      <w:pPr>
        <w:jc w:val="center"/>
        <w:rPr>
          <w:rFonts w:ascii="Arial" w:eastAsia="Arial" w:hAnsi="Arial" w:cs="Arial"/>
          <w:b/>
          <w:bCs/>
        </w:rPr>
      </w:pPr>
    </w:p>
    <w:p w14:paraId="6D270035" w14:textId="77777777" w:rsidR="00295314" w:rsidRDefault="00000000">
      <w:pPr>
        <w:spacing w:before="80" w:after="40"/>
        <w:jc w:val="center"/>
        <w:rPr>
          <w:rFonts w:ascii="Arial" w:eastAsia="Arial" w:hAnsi="Arial" w:cs="Arial"/>
          <w:i/>
          <w:iCs/>
        </w:rPr>
      </w:pPr>
      <w:r>
        <w:rPr>
          <w:rFonts w:ascii="Arial" w:eastAsia="Arial" w:hAnsi="Arial" w:cs="Arial"/>
          <w:b/>
          <w:bCs/>
        </w:rPr>
        <w:t>ARTICLE REVIEW</w:t>
      </w:r>
    </w:p>
    <w:p w14:paraId="0C3FDAFB" w14:textId="77777777" w:rsidR="00295314" w:rsidRDefault="00295314">
      <w:pPr>
        <w:rPr>
          <w:rFonts w:ascii="Arial" w:eastAsia="Arial" w:hAnsi="Arial" w:cs="Arial"/>
          <w:b/>
          <w:bCs/>
        </w:rPr>
      </w:pPr>
    </w:p>
    <w:p w14:paraId="08C08E0D" w14:textId="77777777" w:rsidR="0029531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29A79C1" wp14:editId="1B3DB3C3">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AD6B68C" w14:textId="77777777" w:rsidR="00295314" w:rsidRDefault="00295314"/>
                        </w:txbxContent>
                      </wps:txbx>
                      <wps:bodyPr spcFirstLastPara="1" wrap="square" lIns="91425" tIns="91425" rIns="91425" bIns="91425" anchor="ctr" anchorCtr="0">
                        <a:noAutofit/>
                      </wps:bodyPr>
                    </wps:wsp>
                  </a:graphicData>
                </a:graphic>
              </wp:inline>
            </w:drawing>
          </mc:Choice>
          <mc:Fallback>
            <w:pict>
              <v:rect w14:anchorId="229A79C1"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AD6B68C" w14:textId="77777777" w:rsidR="00295314" w:rsidRDefault="00295314"/>
                  </w:txbxContent>
                </v:textbox>
                <w10:anchorlock/>
              </v:rect>
            </w:pict>
          </mc:Fallback>
        </mc:AlternateContent>
      </w:r>
    </w:p>
    <w:p w14:paraId="5E164B68" w14:textId="77777777" w:rsidR="00295314" w:rsidRDefault="00295314">
      <w:pPr>
        <w:rPr>
          <w:rFonts w:ascii="Arial" w:eastAsia="Arial" w:hAnsi="Arial" w:cs="Arial"/>
          <w:b/>
          <w:bCs/>
        </w:rPr>
      </w:pPr>
    </w:p>
    <w:p w14:paraId="1857C7F3" w14:textId="77777777" w:rsidR="00295314" w:rsidRDefault="00295314">
      <w:pPr>
        <w:rPr>
          <w:rFonts w:ascii="Arial" w:eastAsia="Arial" w:hAnsi="Arial" w:cs="Arial"/>
          <w:b/>
          <w:bCs/>
          <w:i/>
          <w:iCs/>
        </w:rPr>
      </w:pPr>
    </w:p>
    <w:p w14:paraId="7A9E6FB8" w14:textId="77777777" w:rsidR="00295314" w:rsidRDefault="00295314">
      <w:pPr>
        <w:rPr>
          <w:rFonts w:ascii="Arial" w:eastAsia="Arial" w:hAnsi="Arial" w:cs="Arial"/>
          <w:b/>
          <w:bCs/>
          <w:i/>
          <w:iCs/>
        </w:rPr>
      </w:pPr>
    </w:p>
    <w:p w14:paraId="2B30D9C2" w14:textId="77777777" w:rsidR="00295314" w:rsidRDefault="00000000">
      <w:pPr>
        <w:rPr>
          <w:rFonts w:ascii="Arial" w:eastAsia="Arial" w:hAnsi="Arial" w:cs="Arial"/>
          <w:b/>
          <w:bCs/>
          <w:i/>
          <w:iCs/>
        </w:rPr>
      </w:pPr>
      <w:r>
        <w:rPr>
          <w:rFonts w:ascii="Arial" w:eastAsia="Arial" w:hAnsi="Arial" w:cs="Arial"/>
          <w:b/>
          <w:bCs/>
          <w:i/>
          <w:iCs/>
        </w:rPr>
        <w:t>Code of Conduct:</w:t>
      </w:r>
    </w:p>
    <w:p w14:paraId="0C1EC152" w14:textId="77777777" w:rsidR="00295314" w:rsidRDefault="00295314">
      <w:pPr>
        <w:rPr>
          <w:rFonts w:ascii="Arial" w:eastAsia="Arial" w:hAnsi="Arial" w:cs="Arial"/>
          <w:i/>
          <w:iCs/>
        </w:rPr>
      </w:pPr>
    </w:p>
    <w:p w14:paraId="12EB121A" w14:textId="7466F92C" w:rsidR="00295314" w:rsidRDefault="00000000">
      <w:pPr>
        <w:jc w:val="both"/>
        <w:rPr>
          <w:rFonts w:ascii="Arial" w:eastAsia="Arial" w:hAnsi="Arial" w:cs="Arial"/>
          <w:i/>
          <w:iCs/>
        </w:rPr>
      </w:pPr>
      <w:proofErr w:type="gramStart"/>
      <w:r>
        <w:rPr>
          <w:rFonts w:ascii="Arial" w:eastAsia="Arial" w:hAnsi="Arial" w:cs="Arial"/>
          <w:i/>
          <w:iCs/>
        </w:rPr>
        <w:t xml:space="preserve">I </w:t>
      </w:r>
      <w:r w:rsidR="00CC19A3">
        <w:rPr>
          <w:rFonts w:ascii="Arial" w:eastAsia="Arial" w:hAnsi="Arial" w:cs="Arial"/>
          <w:i/>
          <w:iCs/>
        </w:rPr>
        <w:t xml:space="preserve"> MAHESH</w:t>
      </w:r>
      <w:proofErr w:type="gramEnd"/>
      <w:r w:rsidR="00CC19A3">
        <w:rPr>
          <w:rFonts w:ascii="Arial" w:eastAsia="Arial" w:hAnsi="Arial" w:cs="Arial"/>
          <w:i/>
          <w:iCs/>
        </w:rPr>
        <w:t xml:space="preserve"> </w:t>
      </w:r>
      <w:proofErr w:type="gramStart"/>
      <w:r w:rsidR="00CC19A3">
        <w:rPr>
          <w:rFonts w:ascii="Arial" w:eastAsia="Arial" w:hAnsi="Arial" w:cs="Arial"/>
          <w:i/>
          <w:iCs/>
        </w:rPr>
        <w:t>V(192524026)</w:t>
      </w:r>
      <w:r>
        <w:rPr>
          <w:rFonts w:ascii="Arial" w:eastAsia="Arial" w:hAnsi="Arial" w:cs="Arial"/>
          <w:i/>
          <w:iCs/>
        </w:rPr>
        <w:t>(</w:t>
      </w:r>
      <w:proofErr w:type="gramEnd"/>
      <w:r>
        <w:rPr>
          <w:rFonts w:ascii="Arial" w:eastAsia="Arial" w:hAnsi="Arial" w:cs="Arial"/>
          <w:i/>
          <w:iCs/>
        </w:rPr>
        <w:t xml:space="preserve">Name / Reg No) certify that this submission is my original work and that I have adhered </w:t>
      </w:r>
    </w:p>
    <w:p w14:paraId="5F222278" w14:textId="77777777" w:rsidR="00295314" w:rsidRDefault="00000000">
      <w:pPr>
        <w:jc w:val="both"/>
        <w:rPr>
          <w:rFonts w:ascii="Arial" w:eastAsia="Arial" w:hAnsi="Arial" w:cs="Arial"/>
          <w:i/>
          <w:iCs/>
        </w:rPr>
      </w:pPr>
      <w:r>
        <w:rPr>
          <w:rFonts w:ascii="Arial" w:eastAsia="Arial" w:hAnsi="Arial" w:cs="Arial"/>
          <w:i/>
          <w:iCs/>
        </w:rPr>
        <w:t>to the guidelines specified for this assessment.</w:t>
      </w:r>
    </w:p>
    <w:p w14:paraId="3B914A2F" w14:textId="77777777" w:rsidR="00295314"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C98CEF1" w14:textId="77777777" w:rsidR="00CC19A3" w:rsidRDefault="00CC19A3">
      <w:pPr>
        <w:jc w:val="both"/>
        <w:rPr>
          <w:rFonts w:ascii="Arial" w:eastAsia="Arial" w:hAnsi="Arial" w:cs="Arial"/>
          <w:i/>
          <w:iCs/>
        </w:rPr>
      </w:pPr>
    </w:p>
    <w:p w14:paraId="22861635" w14:textId="77777777" w:rsidR="00CC19A3" w:rsidRDefault="00CC19A3">
      <w:pPr>
        <w:jc w:val="both"/>
        <w:rPr>
          <w:rFonts w:ascii="Arial" w:eastAsia="Arial" w:hAnsi="Arial" w:cs="Arial"/>
          <w:i/>
          <w:iCs/>
        </w:rPr>
      </w:pPr>
    </w:p>
    <w:p w14:paraId="0A5A83DE" w14:textId="7A9FCDB6" w:rsidR="00CC19A3" w:rsidRDefault="00CC19A3">
      <w:pPr>
        <w:jc w:val="both"/>
        <w:rPr>
          <w:rFonts w:ascii="Arial" w:eastAsia="Arial" w:hAnsi="Arial" w:cs="Arial"/>
          <w:i/>
          <w:iCs/>
        </w:rPr>
      </w:pPr>
      <w:r>
        <w:rPr>
          <w:rFonts w:ascii="Arial" w:eastAsia="Arial" w:hAnsi="Arial" w:cs="Arial"/>
          <w:i/>
          <w:iCs/>
          <w:noProof/>
        </w:rPr>
        <w:drawing>
          <wp:inline distT="0" distB="0" distL="0" distR="0" wp14:anchorId="5FA3CBD5" wp14:editId="007EE28C">
            <wp:extent cx="1454150" cy="1723511"/>
            <wp:effectExtent l="0" t="0" r="0" b="0"/>
            <wp:docPr id="153523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8704" name="Picture 15352387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60326" cy="1730831"/>
                    </a:xfrm>
                    <a:prstGeom prst="rect">
                      <a:avLst/>
                    </a:prstGeom>
                  </pic:spPr>
                </pic:pic>
              </a:graphicData>
            </a:graphic>
          </wp:inline>
        </w:drawing>
      </w:r>
    </w:p>
    <w:p w14:paraId="7C9664BA" w14:textId="77777777" w:rsidR="00CC19A3" w:rsidRDefault="00CC19A3">
      <w:pPr>
        <w:jc w:val="both"/>
        <w:rPr>
          <w:rFonts w:ascii="Arial" w:eastAsia="Arial" w:hAnsi="Arial" w:cs="Arial"/>
          <w:i/>
          <w:iCs/>
        </w:rPr>
      </w:pPr>
    </w:p>
    <w:p w14:paraId="39E8991B" w14:textId="77777777" w:rsidR="00CC19A3" w:rsidRDefault="00CC19A3">
      <w:pPr>
        <w:jc w:val="both"/>
        <w:rPr>
          <w:rFonts w:ascii="Arial" w:eastAsia="Arial" w:hAnsi="Arial" w:cs="Arial"/>
          <w:i/>
          <w:iCs/>
        </w:rPr>
      </w:pPr>
    </w:p>
    <w:p w14:paraId="4FD7B8D3" w14:textId="6994A7E1" w:rsidR="00295314" w:rsidRDefault="00295314" w:rsidP="00CC19A3">
      <w:pPr>
        <w:jc w:val="both"/>
        <w:rPr>
          <w:rFonts w:ascii="Arial" w:eastAsia="Arial" w:hAnsi="Arial" w:cs="Arial"/>
          <w:i/>
          <w:iCs/>
        </w:rPr>
      </w:pPr>
    </w:p>
    <w:p w14:paraId="21DA68FF" w14:textId="77777777" w:rsidR="00295314" w:rsidRDefault="00000000">
      <w:pPr>
        <w:rPr>
          <w:rFonts w:ascii="Arial" w:eastAsia="Arial" w:hAnsi="Arial" w:cs="Arial"/>
          <w:b/>
          <w:bCs/>
          <w:i/>
          <w:iCs/>
        </w:rPr>
      </w:pPr>
      <w:r>
        <w:rPr>
          <w:rFonts w:ascii="Arial" w:eastAsia="Arial" w:hAnsi="Arial" w:cs="Arial"/>
          <w:b/>
          <w:bCs/>
          <w:i/>
          <w:iCs/>
        </w:rPr>
        <w:t>Signature of the student:</w:t>
      </w:r>
    </w:p>
    <w:p w14:paraId="52FAB928" w14:textId="77777777" w:rsidR="00295314" w:rsidRDefault="00000000">
      <w:pPr>
        <w:rPr>
          <w:rFonts w:ascii="Arial" w:eastAsia="Arial" w:hAnsi="Arial" w:cs="Arial"/>
        </w:rPr>
      </w:pPr>
      <w:r>
        <w:br w:type="page"/>
      </w:r>
    </w:p>
    <w:p w14:paraId="779E080C" w14:textId="77777777" w:rsidR="00295314"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04A7B05F" w14:textId="77777777" w:rsidR="00295314" w:rsidRDefault="00295314">
      <w:pPr>
        <w:jc w:val="center"/>
        <w:rPr>
          <w:rFonts w:ascii="Arial" w:eastAsia="Arial" w:hAnsi="Arial" w:cs="Arial"/>
          <w:b/>
          <w:bCs/>
        </w:rPr>
      </w:pPr>
    </w:p>
    <w:p w14:paraId="3025D14E" w14:textId="77777777" w:rsidR="00295314"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35DB57EE" w14:textId="77777777" w:rsidR="00295314" w:rsidRDefault="00295314">
      <w:pPr>
        <w:pBdr>
          <w:bottom w:val="single" w:sz="6" w:space="1" w:color="000000"/>
        </w:pBdr>
        <w:spacing w:after="60"/>
        <w:jc w:val="center"/>
        <w:rPr>
          <w:rFonts w:ascii="Arial" w:eastAsia="Arial" w:hAnsi="Arial" w:cs="Arial"/>
          <w:b/>
          <w:bCs/>
          <w:sz w:val="24"/>
          <w:szCs w:val="24"/>
        </w:rPr>
      </w:pPr>
    </w:p>
    <w:p w14:paraId="3AC920F3" w14:textId="77777777" w:rsidR="00295314" w:rsidRDefault="00295314">
      <w:pPr>
        <w:tabs>
          <w:tab w:val="left" w:pos="9810"/>
        </w:tabs>
        <w:spacing w:before="100" w:after="40"/>
        <w:rPr>
          <w:rFonts w:ascii="Arial" w:eastAsia="Arial" w:hAnsi="Arial" w:cs="Arial"/>
          <w:b/>
          <w:bCs/>
          <w:sz w:val="22"/>
          <w:szCs w:val="22"/>
          <w:u w:val="single"/>
        </w:rPr>
      </w:pPr>
    </w:p>
    <w:p w14:paraId="5101DBCC" w14:textId="77777777" w:rsidR="00295314"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4F5A12ED" w14:textId="77777777" w:rsidR="00295314"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4D94E490" w14:textId="77777777" w:rsidR="00295314"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641159AD" w14:textId="77777777" w:rsidR="00295314" w:rsidRDefault="00295314">
      <w:pPr>
        <w:tabs>
          <w:tab w:val="left" w:pos="9810"/>
        </w:tabs>
        <w:spacing w:before="80" w:after="40"/>
        <w:ind w:right="802"/>
        <w:jc w:val="both"/>
        <w:rPr>
          <w:rFonts w:ascii="Arial" w:eastAsia="Arial" w:hAnsi="Arial" w:cs="Arial"/>
          <w:b/>
          <w:bCs/>
          <w:sz w:val="22"/>
          <w:szCs w:val="22"/>
        </w:rPr>
      </w:pPr>
    </w:p>
    <w:p w14:paraId="08AA3B3C" w14:textId="77777777" w:rsidR="00295314"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05AF2A2B" w14:textId="77777777" w:rsidR="00295314"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2BF15E08" w14:textId="77777777" w:rsidR="00295314"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65B12B66" w14:textId="77777777" w:rsidR="00295314" w:rsidRDefault="00295314">
      <w:pPr>
        <w:tabs>
          <w:tab w:val="left" w:pos="9810"/>
        </w:tabs>
        <w:spacing w:before="60" w:after="40"/>
        <w:ind w:right="802"/>
        <w:jc w:val="both"/>
        <w:rPr>
          <w:rFonts w:ascii="Arial" w:eastAsia="Arial" w:hAnsi="Arial" w:cs="Arial"/>
          <w:b/>
          <w:bCs/>
          <w:sz w:val="22"/>
          <w:szCs w:val="22"/>
        </w:rPr>
      </w:pPr>
    </w:p>
    <w:p w14:paraId="58DAE7BB" w14:textId="77777777" w:rsidR="0029531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60F8DE8D" w14:textId="77777777" w:rsidR="00295314"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467EBD76" w14:textId="77777777" w:rsidR="00295314"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07372379" w14:textId="77777777" w:rsidR="00295314" w:rsidRDefault="00295314">
      <w:pPr>
        <w:tabs>
          <w:tab w:val="left" w:pos="9810"/>
        </w:tabs>
        <w:spacing w:before="60" w:after="40"/>
        <w:ind w:right="802"/>
        <w:jc w:val="both"/>
        <w:rPr>
          <w:rFonts w:ascii="Arial" w:eastAsia="Arial" w:hAnsi="Arial" w:cs="Arial"/>
          <w:b/>
          <w:bCs/>
          <w:sz w:val="22"/>
          <w:szCs w:val="22"/>
        </w:rPr>
      </w:pPr>
    </w:p>
    <w:p w14:paraId="695896FF" w14:textId="77777777" w:rsidR="0029531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06A59DC4" w14:textId="77777777" w:rsidR="00295314"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1AA2159D" w14:textId="77777777" w:rsidR="00295314"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5723DE5B" w14:textId="77777777" w:rsidR="00295314"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16163D5A" w14:textId="77777777" w:rsidR="00295314" w:rsidRDefault="00295314">
      <w:pPr>
        <w:tabs>
          <w:tab w:val="left" w:pos="9810"/>
        </w:tabs>
        <w:spacing w:before="60" w:after="40"/>
        <w:ind w:right="802"/>
        <w:jc w:val="both"/>
        <w:rPr>
          <w:rFonts w:ascii="Arial" w:eastAsia="Arial" w:hAnsi="Arial" w:cs="Arial"/>
          <w:b/>
          <w:bCs/>
          <w:sz w:val="22"/>
          <w:szCs w:val="22"/>
        </w:rPr>
      </w:pPr>
    </w:p>
    <w:p w14:paraId="6E3C5592" w14:textId="77777777" w:rsidR="0029531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1BABC4DE" w14:textId="77777777" w:rsidR="00295314"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27AC31D2" w14:textId="77777777" w:rsidR="00295314"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14000F79" w14:textId="77777777" w:rsidR="00295314" w:rsidRDefault="00295314">
      <w:pPr>
        <w:pBdr>
          <w:bottom w:val="single" w:sz="6" w:space="1" w:color="000000"/>
        </w:pBdr>
        <w:tabs>
          <w:tab w:val="left" w:pos="9810"/>
        </w:tabs>
        <w:spacing w:before="80" w:after="80"/>
        <w:ind w:right="802"/>
        <w:jc w:val="both"/>
        <w:rPr>
          <w:rFonts w:ascii="Arial" w:eastAsia="Arial" w:hAnsi="Arial" w:cs="Arial"/>
        </w:rPr>
      </w:pPr>
    </w:p>
    <w:p w14:paraId="615E41B0" w14:textId="77777777" w:rsidR="00295314" w:rsidRDefault="00295314">
      <w:pPr>
        <w:tabs>
          <w:tab w:val="left" w:pos="9810"/>
        </w:tabs>
        <w:spacing w:before="60" w:after="40"/>
        <w:ind w:right="802"/>
        <w:jc w:val="both"/>
        <w:rPr>
          <w:rFonts w:ascii="Arial" w:eastAsia="Arial" w:hAnsi="Arial" w:cs="Arial"/>
          <w:b/>
          <w:bCs/>
          <w:i/>
          <w:iCs/>
        </w:rPr>
      </w:pPr>
    </w:p>
    <w:p w14:paraId="780AE7A2" w14:textId="77777777" w:rsidR="00295314" w:rsidRDefault="00295314">
      <w:pPr>
        <w:tabs>
          <w:tab w:val="left" w:pos="9810"/>
        </w:tabs>
        <w:spacing w:before="60" w:after="40"/>
        <w:ind w:right="802"/>
        <w:jc w:val="both"/>
        <w:rPr>
          <w:rFonts w:ascii="Arial" w:eastAsia="Arial" w:hAnsi="Arial" w:cs="Arial"/>
          <w:b/>
          <w:bCs/>
          <w:i/>
          <w:iCs/>
        </w:rPr>
      </w:pPr>
    </w:p>
    <w:p w14:paraId="556524DE" w14:textId="77777777" w:rsidR="00295314" w:rsidRDefault="00295314">
      <w:pPr>
        <w:tabs>
          <w:tab w:val="left" w:pos="9810"/>
        </w:tabs>
        <w:spacing w:before="60" w:after="40"/>
        <w:ind w:right="802"/>
        <w:jc w:val="both"/>
        <w:rPr>
          <w:rFonts w:ascii="Arial" w:eastAsia="Arial" w:hAnsi="Arial" w:cs="Arial"/>
          <w:b/>
          <w:bCs/>
          <w:i/>
          <w:iCs/>
        </w:rPr>
      </w:pPr>
    </w:p>
    <w:p w14:paraId="24442B99" w14:textId="77777777" w:rsidR="00295314" w:rsidRDefault="00000000">
      <w:pPr>
        <w:ind w:right="802"/>
        <w:jc w:val="both"/>
        <w:rPr>
          <w:rFonts w:ascii="Arial" w:eastAsia="Arial" w:hAnsi="Arial" w:cs="Arial"/>
          <w:b/>
          <w:bCs/>
          <w:sz w:val="24"/>
          <w:szCs w:val="24"/>
          <w:u w:val="single"/>
        </w:rPr>
      </w:pPr>
      <w:r>
        <w:br w:type="page"/>
      </w:r>
    </w:p>
    <w:p w14:paraId="664942FA" w14:textId="77777777" w:rsidR="00295314" w:rsidRDefault="00295314">
      <w:pPr>
        <w:tabs>
          <w:tab w:val="left" w:pos="9810"/>
        </w:tabs>
        <w:spacing w:before="120" w:after="80"/>
        <w:jc w:val="both"/>
        <w:rPr>
          <w:rFonts w:ascii="Arial" w:eastAsia="Arial" w:hAnsi="Arial" w:cs="Arial"/>
          <w:b/>
          <w:bCs/>
          <w:sz w:val="24"/>
          <w:szCs w:val="24"/>
          <w:u w:val="single"/>
        </w:rPr>
      </w:pPr>
    </w:p>
    <w:p w14:paraId="239B6C14" w14:textId="77777777" w:rsidR="00295314" w:rsidRDefault="00295314">
      <w:pPr>
        <w:tabs>
          <w:tab w:val="left" w:pos="9810"/>
        </w:tabs>
        <w:spacing w:before="120" w:after="80"/>
        <w:rPr>
          <w:rFonts w:ascii="Arial" w:eastAsia="Arial" w:hAnsi="Arial" w:cs="Arial"/>
          <w:b/>
          <w:bCs/>
          <w:sz w:val="24"/>
          <w:szCs w:val="24"/>
          <w:u w:val="single"/>
        </w:rPr>
      </w:pPr>
    </w:p>
    <w:p w14:paraId="1C8E0D64" w14:textId="77777777" w:rsidR="00295314" w:rsidRDefault="00295314">
      <w:pPr>
        <w:tabs>
          <w:tab w:val="left" w:pos="9810"/>
        </w:tabs>
        <w:spacing w:before="120" w:after="80"/>
        <w:rPr>
          <w:rFonts w:ascii="Arial" w:eastAsia="Arial" w:hAnsi="Arial" w:cs="Arial"/>
          <w:b/>
          <w:bCs/>
          <w:sz w:val="24"/>
          <w:szCs w:val="24"/>
          <w:u w:val="single"/>
        </w:rPr>
      </w:pPr>
    </w:p>
    <w:p w14:paraId="10A46BCE" w14:textId="77777777" w:rsidR="00295314"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EC87357" w14:textId="77777777" w:rsidR="00295314" w:rsidRDefault="00295314">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295314" w14:paraId="4E0065E4"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3AFD783E" w14:textId="77777777" w:rsidR="00295314"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28FABFBC" w14:textId="77777777" w:rsidR="00295314"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369A67A3" w14:textId="77777777" w:rsidR="00295314"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5C86B7F9" w14:textId="77777777" w:rsidR="00295314"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374CAA8B" w14:textId="77777777" w:rsidR="00295314"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13375D3B" w14:textId="77777777" w:rsidR="00295314" w:rsidRDefault="00000000">
            <w:pPr>
              <w:rPr>
                <w:rFonts w:ascii="Arial" w:eastAsia="Arial" w:hAnsi="Arial" w:cs="Arial"/>
                <w:b/>
                <w:bCs/>
                <w:color w:val="000000"/>
              </w:rPr>
            </w:pPr>
            <w:r>
              <w:rPr>
                <w:rFonts w:ascii="Arial" w:eastAsia="Arial" w:hAnsi="Arial" w:cs="Arial"/>
                <w:b/>
                <w:bCs/>
                <w:color w:val="000000"/>
              </w:rPr>
              <w:t>Level 1 (Beginning)</w:t>
            </w:r>
          </w:p>
        </w:tc>
      </w:tr>
      <w:tr w:rsidR="00295314" w14:paraId="774FFAB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051C448" w14:textId="77777777" w:rsidR="00295314"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BE3B993" w14:textId="77777777" w:rsidR="0029531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A5317D1" w14:textId="77777777" w:rsidR="00295314"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70C585DD" w14:textId="77777777" w:rsidR="00295314"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64AD606D" w14:textId="77777777" w:rsidR="00295314"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6A591A39" w14:textId="77777777" w:rsidR="00295314" w:rsidRDefault="00000000">
            <w:pPr>
              <w:rPr>
                <w:rFonts w:ascii="Arial" w:eastAsia="Arial" w:hAnsi="Arial" w:cs="Arial"/>
                <w:color w:val="000000"/>
              </w:rPr>
            </w:pPr>
            <w:r>
              <w:rPr>
                <w:rFonts w:ascii="Arial" w:eastAsia="Arial" w:hAnsi="Arial" w:cs="Arial"/>
                <w:color w:val="000000"/>
              </w:rPr>
              <w:t>Lacks understanding of the article</w:t>
            </w:r>
          </w:p>
        </w:tc>
      </w:tr>
      <w:tr w:rsidR="00295314" w14:paraId="5FAB7FB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252EC11" w14:textId="77777777" w:rsidR="00295314"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5237260F" w14:textId="77777777" w:rsidR="0029531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8BBFE25" w14:textId="77777777" w:rsidR="00295314"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4F118C1C" w14:textId="77777777" w:rsidR="00295314"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F38F0A0" w14:textId="77777777" w:rsidR="00295314"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6741DE3" w14:textId="77777777" w:rsidR="00295314" w:rsidRDefault="00000000">
            <w:pPr>
              <w:rPr>
                <w:rFonts w:ascii="Arial" w:eastAsia="Arial" w:hAnsi="Arial" w:cs="Arial"/>
                <w:color w:val="000000"/>
              </w:rPr>
            </w:pPr>
            <w:r>
              <w:rPr>
                <w:rFonts w:ascii="Arial" w:eastAsia="Arial" w:hAnsi="Arial" w:cs="Arial"/>
                <w:color w:val="000000"/>
              </w:rPr>
              <w:t>Poor or incorrect summary</w:t>
            </w:r>
          </w:p>
        </w:tc>
      </w:tr>
      <w:tr w:rsidR="00295314" w14:paraId="4DEBADE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15002EC" w14:textId="77777777" w:rsidR="00295314"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058CF759" w14:textId="77777777" w:rsidR="00295314"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0BF9BC1F" w14:textId="77777777" w:rsidR="00295314"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06B299E0" w14:textId="77777777" w:rsidR="00295314"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CC5EB16" w14:textId="77777777" w:rsidR="00295314"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1FD87420" w14:textId="77777777" w:rsidR="00295314" w:rsidRDefault="00000000">
            <w:pPr>
              <w:rPr>
                <w:rFonts w:ascii="Arial" w:eastAsia="Arial" w:hAnsi="Arial" w:cs="Arial"/>
                <w:color w:val="000000"/>
              </w:rPr>
            </w:pPr>
            <w:r>
              <w:rPr>
                <w:rFonts w:ascii="Arial" w:eastAsia="Arial" w:hAnsi="Arial" w:cs="Arial"/>
                <w:color w:val="000000"/>
              </w:rPr>
              <w:t>No meaningful analysis</w:t>
            </w:r>
          </w:p>
        </w:tc>
      </w:tr>
      <w:tr w:rsidR="00295314" w14:paraId="53B1435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57ADB7E" w14:textId="77777777" w:rsidR="00295314"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35435E8B" w14:textId="77777777" w:rsidR="00295314"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748ED84E" w14:textId="77777777" w:rsidR="00295314"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270D1210" w14:textId="77777777" w:rsidR="00295314"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3B7AAEAE" w14:textId="77777777" w:rsidR="00295314"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6C8C0BE5" w14:textId="77777777" w:rsidR="00295314" w:rsidRDefault="00000000">
            <w:pPr>
              <w:rPr>
                <w:rFonts w:ascii="Arial" w:eastAsia="Arial" w:hAnsi="Arial" w:cs="Arial"/>
                <w:color w:val="000000"/>
              </w:rPr>
            </w:pPr>
            <w:r>
              <w:rPr>
                <w:rFonts w:ascii="Arial" w:eastAsia="Arial" w:hAnsi="Arial" w:cs="Arial"/>
                <w:color w:val="000000"/>
              </w:rPr>
              <w:t>No supporting evidence provided</w:t>
            </w:r>
          </w:p>
        </w:tc>
      </w:tr>
      <w:tr w:rsidR="00295314" w14:paraId="4884786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271DAF1" w14:textId="77777777" w:rsidR="00295314"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74E92411" w14:textId="77777777" w:rsidR="0029531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F199C2F" w14:textId="77777777" w:rsidR="00295314"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0489823B" w14:textId="77777777" w:rsidR="00295314"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2A55CC07" w14:textId="77777777" w:rsidR="00295314"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38810408" w14:textId="77777777" w:rsidR="00295314"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020DFD0B" w14:textId="77777777" w:rsidR="00CC19A3" w:rsidRDefault="00CC19A3" w:rsidP="00CC19A3">
      <w:pPr>
        <w:spacing w:after="300"/>
        <w:jc w:val="center"/>
        <w:rPr>
          <w:b/>
          <w:bCs/>
          <w:color w:val="1F3864"/>
          <w:sz w:val="28"/>
          <w:szCs w:val="28"/>
        </w:rPr>
      </w:pPr>
    </w:p>
    <w:p w14:paraId="42E5BDED" w14:textId="77777777" w:rsidR="00CC19A3" w:rsidRDefault="00CC19A3" w:rsidP="00CC19A3">
      <w:pPr>
        <w:spacing w:after="300"/>
        <w:jc w:val="center"/>
        <w:rPr>
          <w:b/>
          <w:bCs/>
          <w:color w:val="1F3864"/>
          <w:sz w:val="28"/>
          <w:szCs w:val="28"/>
        </w:rPr>
      </w:pPr>
    </w:p>
    <w:p w14:paraId="5032EE95" w14:textId="77777777" w:rsidR="00CC19A3" w:rsidRDefault="00CC19A3" w:rsidP="00CC19A3">
      <w:pPr>
        <w:spacing w:after="300"/>
        <w:jc w:val="center"/>
        <w:rPr>
          <w:b/>
          <w:bCs/>
          <w:color w:val="1F3864"/>
          <w:sz w:val="28"/>
          <w:szCs w:val="28"/>
        </w:rPr>
      </w:pPr>
    </w:p>
    <w:p w14:paraId="54010244" w14:textId="77777777" w:rsidR="00CC19A3" w:rsidRDefault="00CC19A3" w:rsidP="00CC19A3">
      <w:pPr>
        <w:spacing w:after="300"/>
        <w:jc w:val="center"/>
        <w:rPr>
          <w:b/>
          <w:bCs/>
          <w:color w:val="1F3864"/>
          <w:sz w:val="28"/>
          <w:szCs w:val="28"/>
        </w:rPr>
      </w:pPr>
    </w:p>
    <w:p w14:paraId="124057A4" w14:textId="77777777" w:rsidR="00CC19A3" w:rsidRDefault="00CC19A3" w:rsidP="00CC19A3">
      <w:pPr>
        <w:spacing w:after="300"/>
        <w:jc w:val="center"/>
        <w:rPr>
          <w:b/>
          <w:bCs/>
          <w:color w:val="1F3864"/>
          <w:sz w:val="28"/>
          <w:szCs w:val="28"/>
        </w:rPr>
      </w:pPr>
    </w:p>
    <w:p w14:paraId="3FA65074" w14:textId="77777777" w:rsidR="00CC19A3" w:rsidRDefault="00CC19A3" w:rsidP="00CC19A3">
      <w:pPr>
        <w:spacing w:after="300"/>
        <w:jc w:val="center"/>
        <w:rPr>
          <w:b/>
          <w:bCs/>
          <w:color w:val="1F3864"/>
          <w:sz w:val="28"/>
          <w:szCs w:val="28"/>
        </w:rPr>
      </w:pPr>
    </w:p>
    <w:p w14:paraId="6549C5B5" w14:textId="77777777" w:rsidR="00CC19A3" w:rsidRDefault="00CC19A3" w:rsidP="00CC19A3">
      <w:pPr>
        <w:spacing w:after="300"/>
        <w:jc w:val="center"/>
        <w:rPr>
          <w:b/>
          <w:bCs/>
          <w:color w:val="1F3864"/>
          <w:sz w:val="28"/>
          <w:szCs w:val="28"/>
        </w:rPr>
      </w:pPr>
    </w:p>
    <w:p w14:paraId="61408C46" w14:textId="77777777" w:rsidR="00CC19A3" w:rsidRDefault="00CC19A3" w:rsidP="00CC19A3">
      <w:pPr>
        <w:spacing w:after="300"/>
        <w:jc w:val="center"/>
        <w:rPr>
          <w:b/>
          <w:bCs/>
          <w:color w:val="1F3864"/>
          <w:sz w:val="28"/>
          <w:szCs w:val="28"/>
        </w:rPr>
      </w:pPr>
    </w:p>
    <w:p w14:paraId="6568177B" w14:textId="77777777" w:rsidR="00CC19A3" w:rsidRDefault="00CC19A3" w:rsidP="00CC19A3">
      <w:pPr>
        <w:spacing w:after="300"/>
        <w:jc w:val="center"/>
        <w:rPr>
          <w:b/>
          <w:bCs/>
          <w:color w:val="1F3864"/>
          <w:sz w:val="28"/>
          <w:szCs w:val="28"/>
        </w:rPr>
      </w:pPr>
    </w:p>
    <w:p w14:paraId="3C616C27" w14:textId="77777777" w:rsidR="00CC19A3" w:rsidRDefault="00CC19A3" w:rsidP="00CC19A3">
      <w:pPr>
        <w:spacing w:after="300"/>
        <w:jc w:val="center"/>
        <w:rPr>
          <w:b/>
          <w:bCs/>
          <w:color w:val="1F3864"/>
          <w:sz w:val="28"/>
          <w:szCs w:val="28"/>
        </w:rPr>
      </w:pPr>
    </w:p>
    <w:p w14:paraId="19C821BE" w14:textId="6559AD7C" w:rsidR="00CC19A3" w:rsidRDefault="00CC19A3" w:rsidP="00CC19A3">
      <w:pPr>
        <w:spacing w:after="300"/>
        <w:jc w:val="center"/>
      </w:pPr>
      <w:r>
        <w:rPr>
          <w:b/>
          <w:bCs/>
          <w:color w:val="1F3864"/>
          <w:sz w:val="28"/>
          <w:szCs w:val="28"/>
        </w:rPr>
        <w:lastRenderedPageBreak/>
        <w:t>ASSESSMENT TOOL 2 — ARTICLE REVIEW (SOLUTION)</w:t>
      </w:r>
    </w:p>
    <w:p w14:paraId="2DC32DD9" w14:textId="77777777" w:rsidR="00CC19A3" w:rsidRDefault="00CC19A3" w:rsidP="00CC19A3">
      <w:pPr>
        <w:spacing w:after="60"/>
        <w:jc w:val="center"/>
      </w:pPr>
      <w:r>
        <w:rPr>
          <w:sz w:val="22"/>
          <w:szCs w:val="22"/>
        </w:rPr>
        <w:t>Course Name: Artificial Intelligence   |   Course Code: CSA17</w:t>
      </w:r>
    </w:p>
    <w:p w14:paraId="33C29DAC" w14:textId="77777777" w:rsidR="00CC19A3" w:rsidRDefault="00CC19A3" w:rsidP="00CC19A3">
      <w:pPr>
        <w:spacing w:after="60"/>
        <w:jc w:val="center"/>
      </w:pPr>
      <w:r>
        <w:rPr>
          <w:i/>
          <w:iCs/>
        </w:rPr>
        <w:t>Course Outcome: CO4 — Machine Learning Techniques: Decision Trees, Reinforcement Learning, Classification &amp; Decision-Making</w:t>
      </w:r>
    </w:p>
    <w:p w14:paraId="4C27A008" w14:textId="77777777" w:rsidR="00CC19A3" w:rsidRDefault="00CC19A3" w:rsidP="00CC19A3">
      <w:pPr>
        <w:spacing w:after="60"/>
        <w:jc w:val="center"/>
      </w:pPr>
      <w:r>
        <w:t>Annexure A — Article Review</w:t>
      </w:r>
    </w:p>
    <w:p w14:paraId="273336DD" w14:textId="77777777" w:rsidR="00CC19A3" w:rsidRDefault="00CC19A3" w:rsidP="00CC19A3">
      <w:pPr>
        <w:spacing w:after="400"/>
        <w:jc w:val="center"/>
      </w:pPr>
      <w:r>
        <w:t>Total Marks: 40   |   Weightage: 10%   |   Duration: 1 Hour</w:t>
      </w:r>
    </w:p>
    <w:p w14:paraId="72CC7B99" w14:textId="77777777" w:rsidR="00CC19A3" w:rsidRDefault="00CC19A3" w:rsidP="00CC19A3">
      <w:pPr>
        <w:pStyle w:val="Heading2"/>
        <w:spacing w:before="200" w:after="100"/>
      </w:pPr>
      <w:r>
        <w:rPr>
          <w:b/>
          <w:bCs/>
          <w:color w:val="2E5395"/>
        </w:rPr>
        <w:t>Selected Article</w:t>
      </w:r>
    </w:p>
    <w:p w14:paraId="29AE8914" w14:textId="77777777" w:rsidR="00CC19A3" w:rsidRDefault="00CC19A3" w:rsidP="00CC19A3">
      <w:pPr>
        <w:spacing w:after="120"/>
        <w:jc w:val="both"/>
      </w:pPr>
      <w:r>
        <w:rPr>
          <w:i/>
          <w:iCs/>
        </w:rPr>
        <w:t xml:space="preserve">Moslehi, S., </w:t>
      </w:r>
      <w:proofErr w:type="spellStart"/>
      <w:r>
        <w:rPr>
          <w:i/>
          <w:iCs/>
        </w:rPr>
        <w:t>Rabiei</w:t>
      </w:r>
      <w:proofErr w:type="spellEnd"/>
      <w:r>
        <w:rPr>
          <w:i/>
          <w:iCs/>
        </w:rPr>
        <w:t>, N., Soltanian, A. R., &amp; Mamani, M. (2022). Application of machine learning models based on decision trees in classifying the factors affecting mortality of COVID-19 patients in Hamadan, Iran. BMC Medical Informatics and Decision Making, 22, Article 192.</w:t>
      </w:r>
    </w:p>
    <w:p w14:paraId="27CD9EB5" w14:textId="77777777" w:rsidR="00CC19A3" w:rsidRDefault="00CC19A3" w:rsidP="00CC19A3">
      <w:pPr>
        <w:spacing w:after="120"/>
      </w:pPr>
      <w:r>
        <w:rPr>
          <w:b/>
          <w:bCs/>
        </w:rPr>
        <w:t xml:space="preserve">DOI / Link: </w:t>
      </w:r>
      <w:hyperlink r:id="rId7" w:history="1">
        <w:r>
          <w:rPr>
            <w:rStyle w:val="Hyperlink"/>
            <w:color w:val="1155CC"/>
          </w:rPr>
          <w:t>https://doi.org/10.1186/s12911-022-01939-x</w:t>
        </w:r>
      </w:hyperlink>
    </w:p>
    <w:p w14:paraId="164E4273" w14:textId="77777777" w:rsidR="00CC19A3" w:rsidRDefault="00CC19A3" w:rsidP="00CC19A3">
      <w:pPr>
        <w:spacing w:after="120"/>
        <w:jc w:val="both"/>
      </w:pPr>
      <w:r>
        <w:t>Publisher / Database: Springer Nature (BMC series) — Springer Link, an approved source under the assignment instructions. Published: 24 July 2022 (after 2019). Open Access — full text and PDF freely available.</w:t>
      </w:r>
    </w:p>
    <w:p w14:paraId="5357EE33" w14:textId="77777777" w:rsidR="00CC19A3" w:rsidRDefault="00CC19A3" w:rsidP="00CC19A3">
      <w:pPr>
        <w:pBdr>
          <w:bottom w:val="single" w:sz="6" w:space="1" w:color="999999"/>
        </w:pBdr>
        <w:spacing w:after="200"/>
      </w:pPr>
    </w:p>
    <w:p w14:paraId="6F59EBBF" w14:textId="77777777" w:rsidR="00CC19A3" w:rsidRDefault="00CC19A3" w:rsidP="00CC19A3">
      <w:pPr>
        <w:pStyle w:val="Heading1"/>
        <w:spacing w:before="300" w:after="150"/>
      </w:pPr>
      <w:r>
        <w:rPr>
          <w:b/>
          <w:bCs/>
          <w:color w:val="1F3864"/>
        </w:rPr>
        <w:t>Task 1 — Article Summary</w:t>
      </w:r>
    </w:p>
    <w:p w14:paraId="67B5FAB1" w14:textId="77777777" w:rsidR="00CC19A3" w:rsidRDefault="00CC19A3" w:rsidP="00CC19A3">
      <w:pPr>
        <w:pStyle w:val="Heading2"/>
        <w:spacing w:before="200" w:after="100"/>
      </w:pPr>
      <w:r>
        <w:rPr>
          <w:b/>
          <w:bCs/>
          <w:color w:val="2E5395"/>
        </w:rPr>
        <w:t>(a) Full Citation and Domain</w:t>
      </w:r>
    </w:p>
    <w:p w14:paraId="4B5F3F54" w14:textId="77777777" w:rsidR="00CC19A3" w:rsidRDefault="00CC19A3" w:rsidP="00CC19A3">
      <w:pPr>
        <w:spacing w:after="120"/>
        <w:jc w:val="both"/>
      </w:pPr>
      <w:r>
        <w:t xml:space="preserve">Citation (APA style): Moslehi, S., </w:t>
      </w:r>
      <w:proofErr w:type="spellStart"/>
      <w:r>
        <w:t>Rabiei</w:t>
      </w:r>
      <w:proofErr w:type="spellEnd"/>
      <w:r>
        <w:t>, N., Soltanian, A. R., &amp; Mamani, M. (2022). Application of machine learning models based on decision trees in classifying the factors affecting mortality of COVID-19 patients in Hamadan, Iran. BMC Medical Informatics and Decision Making, 22(1), Article 192. https://doi.org/10.1186/s12911-022-01939-x</w:t>
      </w:r>
    </w:p>
    <w:p w14:paraId="200D49FE" w14:textId="77777777" w:rsidR="00CC19A3" w:rsidRDefault="00CC19A3" w:rsidP="00CC19A3">
      <w:pPr>
        <w:spacing w:after="120"/>
        <w:jc w:val="both"/>
      </w:pPr>
      <w:r>
        <w:t>Domain / Application Area: Healthcare analytics and clinical decision support — specifically, predictive modelling of patient outcomes during the COVID-19 pandemic.</w:t>
      </w:r>
    </w:p>
    <w:p w14:paraId="38DC4BE6" w14:textId="77777777" w:rsidR="00CC19A3" w:rsidRDefault="00CC19A3" w:rsidP="00CC19A3">
      <w:pPr>
        <w:spacing w:after="120"/>
        <w:jc w:val="both"/>
      </w:pPr>
      <w:r>
        <w:t>Specific ML Problem Addressed: A binary classification problem — predicting whether an admitted COVID-19 patient will die or recover, based on demographic, clinical, and laboratory features collected at admission. The authors also aim to identify and rank the most influential risk factors in an interpretable way, rather than only producing a black-box prediction.</w:t>
      </w:r>
    </w:p>
    <w:p w14:paraId="765879FD" w14:textId="77777777" w:rsidR="00CC19A3" w:rsidRDefault="00CC19A3" w:rsidP="00CC19A3">
      <w:pPr>
        <w:pStyle w:val="Heading2"/>
        <w:spacing w:before="200" w:after="100"/>
      </w:pPr>
      <w:r>
        <w:rPr>
          <w:b/>
          <w:bCs/>
          <w:color w:val="2E5395"/>
        </w:rPr>
        <w:t>(b) Summary of Key Objective and Research Gap</w:t>
      </w:r>
    </w:p>
    <w:p w14:paraId="3B4CCB08" w14:textId="77777777" w:rsidR="00CC19A3" w:rsidRDefault="00CC19A3" w:rsidP="00CC19A3">
      <w:pPr>
        <w:spacing w:after="120"/>
        <w:jc w:val="both"/>
      </w:pPr>
      <w:r>
        <w:t>The article aims to build an accurate and, importantly, interpretable classification model for predicting COVID-19 patient mortality using decision-tree-based machine learning. The authors first apply a Random Forest to rank 25 demographic, clinical, and laboratory features by importance, then use the top features (relative importance above 6%) to train four decision-tree variants — Logistic Model Tree (LMT), C4.5, C5.0, and Classification and Regression Tree (CART) — and compare them using accuracy, recall, and F1-score. The best-performing tree is then visualised as a flowchart so that clinicians can trace exactly which combination of factors (such as blood urea nitrogen, age, and SGOT levels) pushes a patient into a higher or lower mortality-risk branch.</w:t>
      </w:r>
    </w:p>
    <w:p w14:paraId="0C15CFF2" w14:textId="77777777" w:rsidR="00CC19A3" w:rsidRDefault="00CC19A3" w:rsidP="00CC19A3">
      <w:pPr>
        <w:spacing w:after="120"/>
        <w:jc w:val="both"/>
      </w:pPr>
      <w:r>
        <w:t xml:space="preserve">The research </w:t>
      </w:r>
      <w:proofErr w:type="gramStart"/>
      <w:r>
        <w:t>gap</w:t>
      </w:r>
      <w:proofErr w:type="gramEnd"/>
      <w:r>
        <w:t xml:space="preserve"> the authors identify is that most prior COVID-19 mortality-prediction studies report only aggregate performance metrics (accuracy, AUC) without explaining how or why a model arrives at its prediction for an individual patient. This lack of interpretability limits clinical trust and usefulness at the bedside, where doctors need to understand which factors are driving a risk estimate, not just the estimate itself. The authors propose to fill this gap by deliberately choosing white-box decision-tree models over opaque ensemble or deep-learning approaches, and by presenting the final model as a readable flowchart with explicit risk percentages at each leaf node.</w:t>
      </w:r>
    </w:p>
    <w:p w14:paraId="3BD728D1" w14:textId="77777777" w:rsidR="00CC19A3" w:rsidRDefault="00CC19A3" w:rsidP="00CC19A3">
      <w:pPr>
        <w:pBdr>
          <w:bottom w:val="single" w:sz="6" w:space="1" w:color="999999"/>
        </w:pBdr>
        <w:spacing w:after="200"/>
      </w:pPr>
    </w:p>
    <w:p w14:paraId="4845B2B7" w14:textId="77777777" w:rsidR="00CC19A3" w:rsidRDefault="00CC19A3" w:rsidP="00CC19A3">
      <w:pPr>
        <w:pStyle w:val="Heading1"/>
        <w:spacing w:before="300" w:after="150"/>
      </w:pPr>
      <w:r>
        <w:rPr>
          <w:b/>
          <w:bCs/>
          <w:color w:val="1F3864"/>
        </w:rPr>
        <w:t>Task 2 — Methodology Analysis</w:t>
      </w:r>
    </w:p>
    <w:p w14:paraId="34E5F9B0" w14:textId="77777777" w:rsidR="00CC19A3" w:rsidRDefault="00CC19A3" w:rsidP="00CC19A3">
      <w:pPr>
        <w:pStyle w:val="Heading2"/>
        <w:spacing w:before="200" w:after="100"/>
      </w:pPr>
      <w:r>
        <w:rPr>
          <w:b/>
          <w:bCs/>
          <w:color w:val="2E5395"/>
        </w:rPr>
        <w:t>(a) ML Technique(s) Used and Dataset</w:t>
      </w:r>
    </w:p>
    <w:p w14:paraId="75A89B4B" w14:textId="77777777" w:rsidR="00CC19A3" w:rsidRDefault="00CC19A3" w:rsidP="00CC19A3">
      <w:pPr>
        <w:spacing w:after="120"/>
        <w:jc w:val="both"/>
      </w:pPr>
      <w:r>
        <w:t>Technique(s): The study uses a two-stage pipeline. Stage 1 is a Random Forest (an ensemble of 1,000 trees) used purely for feature selection via the Gini importance criterion — not for final classification. Stage 2 trains and compares four supervised decision-tree classifiers on the selected features:</w:t>
      </w:r>
    </w:p>
    <w:p w14:paraId="605A7B97" w14:textId="77777777" w:rsidR="00CC19A3" w:rsidRDefault="00CC19A3" w:rsidP="00CC19A3">
      <w:pPr>
        <w:pStyle w:val="ListParagraph"/>
        <w:numPr>
          <w:ilvl w:val="0"/>
          <w:numId w:val="1"/>
        </w:numPr>
        <w:spacing w:after="70"/>
      </w:pPr>
      <w:r>
        <w:t>CART (Classification and Regression Tree) — binary splits using the Gini index, with cost-complexity pruning.</w:t>
      </w:r>
    </w:p>
    <w:p w14:paraId="0A4426B3" w14:textId="77777777" w:rsidR="00CC19A3" w:rsidRDefault="00CC19A3" w:rsidP="00CC19A3">
      <w:pPr>
        <w:pStyle w:val="ListParagraph"/>
        <w:numPr>
          <w:ilvl w:val="0"/>
          <w:numId w:val="1"/>
        </w:numPr>
        <w:spacing w:after="70"/>
      </w:pPr>
      <w:r>
        <w:lastRenderedPageBreak/>
        <w:t>C4.5 — uses the Information Gain Ratio criterion and post-growth error-based pruning; handles discrete and continuous attributes.</w:t>
      </w:r>
    </w:p>
    <w:p w14:paraId="738D6882" w14:textId="77777777" w:rsidR="00CC19A3" w:rsidRDefault="00CC19A3" w:rsidP="00CC19A3">
      <w:pPr>
        <w:pStyle w:val="ListParagraph"/>
        <w:numPr>
          <w:ilvl w:val="0"/>
          <w:numId w:val="1"/>
        </w:numPr>
        <w:spacing w:after="70"/>
      </w:pPr>
      <w:r>
        <w:t>C5.0 — a faster, memory-efficient descendant of C4.5 that produces smaller trees via pre-pruning.</w:t>
      </w:r>
    </w:p>
    <w:p w14:paraId="12EF2802" w14:textId="77777777" w:rsidR="00CC19A3" w:rsidRDefault="00CC19A3" w:rsidP="00CC19A3">
      <w:pPr>
        <w:pStyle w:val="ListParagraph"/>
        <w:numPr>
          <w:ilvl w:val="0"/>
          <w:numId w:val="1"/>
        </w:numPr>
        <w:spacing w:after="70"/>
      </w:pPr>
      <w:r>
        <w:t xml:space="preserve">LMT (Logistic Model Tree) — a hybrid statistical-learning model that fits a logistic regression at each tree node using the </w:t>
      </w:r>
      <w:proofErr w:type="spellStart"/>
      <w:r>
        <w:t>LogitBoost</w:t>
      </w:r>
      <w:proofErr w:type="spellEnd"/>
      <w:r>
        <w:t xml:space="preserve"> algorithm, combining decision-tree structure with logistic-regression probability estimation.</w:t>
      </w:r>
    </w:p>
    <w:p w14:paraId="7BDE940A" w14:textId="77777777" w:rsidR="00CC19A3" w:rsidRDefault="00CC19A3" w:rsidP="00CC19A3">
      <w:pPr>
        <w:spacing w:after="120"/>
        <w:jc w:val="both"/>
      </w:pPr>
      <w:r>
        <w:t xml:space="preserve">Dataset: 2,470 admitted COVID-19 patients treated at Sina and </w:t>
      </w:r>
      <w:proofErr w:type="spellStart"/>
      <w:r>
        <w:t>Besat</w:t>
      </w:r>
      <w:proofErr w:type="spellEnd"/>
      <w:r>
        <w:t xml:space="preserve"> hospitals in Hamadan, western Iran, between February 2020 and July 2021. Each record originally had 25 candidate features spanning three groups — demographic (age, sex, marital status, smoking, comorbidities such as diabetes and hypertension), clinical, and laboratory biomarkers (e.g., blood urea nitrogen (BUN), partial thromboplastin time (PTT), serum glutamic-oxaloacetic transaminase (SGOT), erythrocyte sedimentation rate (ESR)). The target label was binary: dead (617 patients, 24.98%) or recovered (1,853 patients, 75.02%) — a moderately imbalanced dataset. Records with missing or outlier values were removed after confirming the missingness was completely random, leaving a clean dataset. The cleaned data was split into training and test subsets, and this split was repeated 10 times to reduce sensitivity to any single random partition, with reported metrics averaged across the 10 runs.</w:t>
      </w:r>
    </w:p>
    <w:p w14:paraId="24E23022" w14:textId="77777777" w:rsidR="00CC19A3" w:rsidRDefault="00CC19A3" w:rsidP="00CC19A3">
      <w:pPr>
        <w:pStyle w:val="Heading2"/>
        <w:spacing w:before="200" w:after="100"/>
      </w:pPr>
      <w:r>
        <w:rPr>
          <w:b/>
          <w:bCs/>
          <w:color w:val="2E5395"/>
        </w:rPr>
        <w:t>Splitting Criteria Used by the Trees</w:t>
      </w:r>
    </w:p>
    <w:p w14:paraId="145D3C6E" w14:textId="77777777" w:rsidR="00CC19A3" w:rsidRDefault="00CC19A3" w:rsidP="00CC19A3">
      <w:pPr>
        <w:spacing w:after="120"/>
        <w:jc w:val="both"/>
      </w:pPr>
      <w:r>
        <w:t>Since the article's core technique is decision-tree induction, it is worth summarising the mathematical splitting criteria it relies on, which map directly to the CO4 syllabus topic of Inductive Learning:</w:t>
      </w:r>
    </w:p>
    <w:p w14:paraId="57E404A7" w14:textId="77777777" w:rsidR="00CC19A3" w:rsidRDefault="00CC19A3" w:rsidP="00CC19A3">
      <w:pPr>
        <w:pStyle w:val="ListParagraph"/>
        <w:numPr>
          <w:ilvl w:val="0"/>
          <w:numId w:val="1"/>
        </w:numPr>
        <w:spacing w:after="70"/>
      </w:pPr>
      <w:r>
        <w:t xml:space="preserve">Entropy of a node: Entropy(X) = −Σ p̂ᵢ · log₂(p̂ᵢ), where p̂ᵢ is the proportion of class </w:t>
      </w:r>
      <w:proofErr w:type="spellStart"/>
      <w:r>
        <w:t>i</w:t>
      </w:r>
      <w:proofErr w:type="spellEnd"/>
      <w:r>
        <w:t xml:space="preserve"> samples in that node. Lower entropy means a purer node.</w:t>
      </w:r>
    </w:p>
    <w:p w14:paraId="61935973" w14:textId="77777777" w:rsidR="00CC19A3" w:rsidRDefault="00CC19A3" w:rsidP="00CC19A3">
      <w:pPr>
        <w:pStyle w:val="ListParagraph"/>
        <w:numPr>
          <w:ilvl w:val="0"/>
          <w:numId w:val="1"/>
        </w:numPr>
        <w:spacing w:after="70"/>
      </w:pPr>
      <w:r>
        <w:t xml:space="preserve">Information Gain: </w:t>
      </w:r>
      <w:proofErr w:type="gramStart"/>
      <w:r>
        <w:t>IG(</w:t>
      </w:r>
      <w:proofErr w:type="gramEnd"/>
      <w:r>
        <w:t>L, X) = Entropy(L) − Σ (|Lₖ| / |L|) · Entropy(Lₖ), i.e. the reduction in entropy achieved by splitting parent set L into subsets Lₖ using feature X.</w:t>
      </w:r>
    </w:p>
    <w:p w14:paraId="6CDB885C" w14:textId="77777777" w:rsidR="00CC19A3" w:rsidRDefault="00CC19A3" w:rsidP="00CC19A3">
      <w:pPr>
        <w:pStyle w:val="ListParagraph"/>
        <w:numPr>
          <w:ilvl w:val="0"/>
          <w:numId w:val="1"/>
        </w:numPr>
        <w:spacing w:after="70"/>
      </w:pPr>
      <w:r>
        <w:t xml:space="preserve">Information Gain Ratio (used by C4.5): </w:t>
      </w:r>
      <w:proofErr w:type="gramStart"/>
      <w:r>
        <w:t>IGR(</w:t>
      </w:r>
      <w:proofErr w:type="gramEnd"/>
      <w:r>
        <w:t xml:space="preserve">L, X) = </w:t>
      </w:r>
      <w:proofErr w:type="gramStart"/>
      <w:r>
        <w:t>IG(</w:t>
      </w:r>
      <w:proofErr w:type="gramEnd"/>
      <w:r>
        <w:t>L, X) divided by the split's own entropy — this normalises Information Gain so that it doesn't unfairly favour features with many possible values.</w:t>
      </w:r>
    </w:p>
    <w:p w14:paraId="3D0B2DBA" w14:textId="77777777" w:rsidR="00CC19A3" w:rsidRDefault="00CC19A3" w:rsidP="00CC19A3">
      <w:pPr>
        <w:pStyle w:val="ListParagraph"/>
        <w:numPr>
          <w:ilvl w:val="0"/>
          <w:numId w:val="1"/>
        </w:numPr>
        <w:spacing w:after="70"/>
      </w:pPr>
      <w:r>
        <w:t xml:space="preserve">Gini Index (used by CART): Gini(N) = 1 − Σ p̂ᵢ², and the impurity reduction from a split is </w:t>
      </w:r>
      <w:proofErr w:type="spellStart"/>
      <w:r>
        <w:t>ΔGini</w:t>
      </w:r>
      <w:proofErr w:type="spellEnd"/>
      <w:r>
        <w:t xml:space="preserve">(X) = Gini(N) − </w:t>
      </w:r>
      <w:proofErr w:type="spellStart"/>
      <w:r>
        <w:t>GiniX</w:t>
      </w:r>
      <w:proofErr w:type="spellEnd"/>
      <w:r>
        <w:t xml:space="preserve">(N), where </w:t>
      </w:r>
      <w:proofErr w:type="spellStart"/>
      <w:r>
        <w:t>GiniX</w:t>
      </w:r>
      <w:proofErr w:type="spellEnd"/>
      <w:r>
        <w:t>(N) is the weighted Gini of the two child nodes.</w:t>
      </w:r>
    </w:p>
    <w:p w14:paraId="70E61F98" w14:textId="77777777" w:rsidR="00CC19A3" w:rsidRDefault="00CC19A3" w:rsidP="00CC19A3">
      <w:pPr>
        <w:spacing w:after="120"/>
        <w:jc w:val="both"/>
      </w:pPr>
      <w:r>
        <w:t>Each of the four trees in the article picks the feature and threshold that maximises one of these purity-gain measures at every node, which is the essence of top-down, greedy inductive tree construction.</w:t>
      </w:r>
    </w:p>
    <w:p w14:paraId="4757010E" w14:textId="77777777" w:rsidR="00CC19A3" w:rsidRDefault="00CC19A3" w:rsidP="00CC19A3">
      <w:pPr>
        <w:pStyle w:val="Heading2"/>
        <w:spacing w:before="200" w:after="100"/>
      </w:pPr>
      <w:r>
        <w:rPr>
          <w:b/>
          <w:bCs/>
          <w:color w:val="2E5395"/>
        </w:rPr>
        <w:t>(b) Mapping to CO4 and Strength / Limitation</w:t>
      </w:r>
    </w:p>
    <w:p w14:paraId="6FD05338" w14:textId="77777777" w:rsidR="00CC19A3" w:rsidRDefault="00CC19A3" w:rsidP="00CC19A3">
      <w:pPr>
        <w:spacing w:after="120"/>
        <w:jc w:val="both"/>
      </w:pPr>
      <w:r>
        <w:t>Mapping to CO4 topics: This article maps directly onto two CO4 sub-topics simultaneously. The CART, C4.5, and C5.0 models are classic Decision Tree algorithms (inductive learning from labelled training examples, generalising split rules to unseen patients). The LMT model additionally represents Statistical Learning, since it embeds a logistic-regression classifier inside each tree node — effectively merging the decision-tree and statistical-learning topics from the syllabus into a single hybrid classifier.</w:t>
      </w:r>
    </w:p>
    <w:p w14:paraId="26158315" w14:textId="77777777" w:rsidR="00CC19A3" w:rsidRDefault="00CC19A3" w:rsidP="00CC19A3">
      <w:pPr>
        <w:spacing w:after="120"/>
        <w:jc w:val="both"/>
      </w:pPr>
      <w:r>
        <w:t>Methodological Strength: A genuine strength is the two-stage design that separates feature selection (Random Forest) from final classification (interpretable trees). This lets the authors keep the accuracy benefits of an ensemble method for identifying important variables while still delivering a simple, auditable flowchart for the deployed model — directly addressing the interpretability gap they identified.</w:t>
      </w:r>
    </w:p>
    <w:p w14:paraId="22527A4C" w14:textId="77777777" w:rsidR="00CC19A3" w:rsidRDefault="00CC19A3" w:rsidP="00CC19A3">
      <w:pPr>
        <w:spacing w:after="120"/>
        <w:jc w:val="both"/>
      </w:pPr>
      <w:r>
        <w:t>Methodological Limitation: A clear limitation is that the dataset comes from only two hospitals in a single city, and the target classes are imbalanced (about 75:25) without any explicit resampling (e.g., SMOTE) or class-weighting strategy reported. This raises the risk that the model is biased toward the majority (recovered) class and may not generalise well to other populations or healthcare settings.</w:t>
      </w:r>
    </w:p>
    <w:p w14:paraId="512A7BE4" w14:textId="77777777" w:rsidR="00CC19A3" w:rsidRDefault="00CC19A3" w:rsidP="00CC19A3">
      <w:pPr>
        <w:pBdr>
          <w:bottom w:val="single" w:sz="6" w:space="1" w:color="999999"/>
        </w:pBdr>
        <w:spacing w:after="200"/>
      </w:pPr>
    </w:p>
    <w:p w14:paraId="65DFC234" w14:textId="77777777" w:rsidR="00CC19A3" w:rsidRDefault="00CC19A3" w:rsidP="00CC19A3">
      <w:pPr>
        <w:pStyle w:val="Heading1"/>
        <w:spacing w:before="300" w:after="150"/>
      </w:pPr>
      <w:r>
        <w:rPr>
          <w:b/>
          <w:bCs/>
          <w:color w:val="1F3864"/>
        </w:rPr>
        <w:t>Task 3 — Results and Critical Evaluation</w:t>
      </w:r>
    </w:p>
    <w:p w14:paraId="542A1FB4" w14:textId="77777777" w:rsidR="00CC19A3" w:rsidRDefault="00CC19A3" w:rsidP="00CC19A3">
      <w:pPr>
        <w:pStyle w:val="Heading2"/>
        <w:spacing w:before="200" w:after="100"/>
      </w:pPr>
      <w:r>
        <w:rPr>
          <w:b/>
          <w:bCs/>
          <w:color w:val="2E5395"/>
        </w:rPr>
        <w:t>(a) Key Reported Results</w:t>
      </w:r>
    </w:p>
    <w:p w14:paraId="6F0F1BEC" w14:textId="77777777" w:rsidR="00CC19A3" w:rsidRDefault="00CC19A3" w:rsidP="00CC19A3">
      <w:pPr>
        <w:spacing w:after="120"/>
        <w:jc w:val="both"/>
      </w:pPr>
      <w:r>
        <w:t>On the training dataset, the four decision-tree models were compared using Accuracy and F1-score (Table 1). CART achieved the highest scores on both metrics and was selected as the final model.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50"/>
        <w:gridCol w:w="3350"/>
      </w:tblGrid>
      <w:tr w:rsidR="00CC19A3" w14:paraId="1EC3F5B1" w14:textId="77777777" w:rsidTr="00110BC1">
        <w:tblPrEx>
          <w:tblCellMar>
            <w:top w:w="0" w:type="dxa"/>
            <w:bottom w:w="0" w:type="dxa"/>
          </w:tblCellMar>
        </w:tblPrEx>
        <w:trPr>
          <w:tblHeader/>
        </w:trPr>
        <w:tc>
          <w:tcPr>
            <w:tcW w:w="3200" w:type="dxa"/>
            <w:shd w:val="clear" w:color="auto" w:fill="D9E2F3"/>
          </w:tcPr>
          <w:p w14:paraId="31AF1D47" w14:textId="77777777" w:rsidR="00CC19A3" w:rsidRDefault="00CC19A3" w:rsidP="00110BC1">
            <w:r>
              <w:rPr>
                <w:b/>
                <w:bCs/>
              </w:rPr>
              <w:t>Model</w:t>
            </w:r>
          </w:p>
        </w:tc>
        <w:tc>
          <w:tcPr>
            <w:tcW w:w="3350" w:type="dxa"/>
            <w:shd w:val="clear" w:color="auto" w:fill="D9E2F3"/>
          </w:tcPr>
          <w:p w14:paraId="2603000A" w14:textId="77777777" w:rsidR="00CC19A3" w:rsidRDefault="00CC19A3" w:rsidP="00110BC1">
            <w:r>
              <w:rPr>
                <w:b/>
                <w:bCs/>
              </w:rPr>
              <w:t>Accuracy (Training)</w:t>
            </w:r>
          </w:p>
        </w:tc>
        <w:tc>
          <w:tcPr>
            <w:tcW w:w="3350" w:type="dxa"/>
            <w:shd w:val="clear" w:color="auto" w:fill="D9E2F3"/>
          </w:tcPr>
          <w:p w14:paraId="5C2551E7" w14:textId="77777777" w:rsidR="00CC19A3" w:rsidRDefault="00CC19A3" w:rsidP="00110BC1">
            <w:r>
              <w:rPr>
                <w:b/>
                <w:bCs/>
              </w:rPr>
              <w:t>F1-Score (Training)</w:t>
            </w:r>
          </w:p>
        </w:tc>
      </w:tr>
      <w:tr w:rsidR="00CC19A3" w14:paraId="128A40A0" w14:textId="77777777" w:rsidTr="00110BC1">
        <w:tblPrEx>
          <w:tblCellMar>
            <w:top w:w="0" w:type="dxa"/>
            <w:bottom w:w="0" w:type="dxa"/>
          </w:tblCellMar>
        </w:tblPrEx>
        <w:tc>
          <w:tcPr>
            <w:tcW w:w="3200" w:type="dxa"/>
          </w:tcPr>
          <w:p w14:paraId="5EB55AEB" w14:textId="77777777" w:rsidR="00CC19A3" w:rsidRDefault="00CC19A3" w:rsidP="00110BC1">
            <w:r>
              <w:t>LMT</w:t>
            </w:r>
          </w:p>
        </w:tc>
        <w:tc>
          <w:tcPr>
            <w:tcW w:w="3350" w:type="dxa"/>
          </w:tcPr>
          <w:p w14:paraId="6E6DDE7B" w14:textId="77777777" w:rsidR="00CC19A3" w:rsidRDefault="00CC19A3" w:rsidP="00110BC1">
            <w:r>
              <w:t>76.89%</w:t>
            </w:r>
          </w:p>
        </w:tc>
        <w:tc>
          <w:tcPr>
            <w:tcW w:w="3350" w:type="dxa"/>
          </w:tcPr>
          <w:p w14:paraId="07FD1138" w14:textId="77777777" w:rsidR="00CC19A3" w:rsidRDefault="00CC19A3" w:rsidP="00110BC1">
            <w:r>
              <w:t>85.73%</w:t>
            </w:r>
          </w:p>
        </w:tc>
      </w:tr>
      <w:tr w:rsidR="00CC19A3" w14:paraId="24F7DF7B" w14:textId="77777777" w:rsidTr="00110BC1">
        <w:tblPrEx>
          <w:tblCellMar>
            <w:top w:w="0" w:type="dxa"/>
            <w:bottom w:w="0" w:type="dxa"/>
          </w:tblCellMar>
        </w:tblPrEx>
        <w:tc>
          <w:tcPr>
            <w:tcW w:w="3200" w:type="dxa"/>
          </w:tcPr>
          <w:p w14:paraId="5CDE0534" w14:textId="77777777" w:rsidR="00CC19A3" w:rsidRDefault="00CC19A3" w:rsidP="00110BC1">
            <w:r>
              <w:t>C4.5</w:t>
            </w:r>
          </w:p>
        </w:tc>
        <w:tc>
          <w:tcPr>
            <w:tcW w:w="3350" w:type="dxa"/>
          </w:tcPr>
          <w:p w14:paraId="4C7A75E1" w14:textId="77777777" w:rsidR="00CC19A3" w:rsidRDefault="00CC19A3" w:rsidP="00110BC1">
            <w:r>
              <w:t>77.70%</w:t>
            </w:r>
          </w:p>
        </w:tc>
        <w:tc>
          <w:tcPr>
            <w:tcW w:w="3350" w:type="dxa"/>
          </w:tcPr>
          <w:p w14:paraId="1109185A" w14:textId="77777777" w:rsidR="00CC19A3" w:rsidRDefault="00CC19A3" w:rsidP="00110BC1">
            <w:r>
              <w:t>86.08%</w:t>
            </w:r>
          </w:p>
        </w:tc>
      </w:tr>
      <w:tr w:rsidR="00CC19A3" w14:paraId="47C0F7D1" w14:textId="77777777" w:rsidTr="00110BC1">
        <w:tblPrEx>
          <w:tblCellMar>
            <w:top w:w="0" w:type="dxa"/>
            <w:bottom w:w="0" w:type="dxa"/>
          </w:tblCellMar>
        </w:tblPrEx>
        <w:tc>
          <w:tcPr>
            <w:tcW w:w="3200" w:type="dxa"/>
          </w:tcPr>
          <w:p w14:paraId="544540A8" w14:textId="77777777" w:rsidR="00CC19A3" w:rsidRDefault="00CC19A3" w:rsidP="00110BC1">
            <w:r>
              <w:t>C5.0</w:t>
            </w:r>
          </w:p>
        </w:tc>
        <w:tc>
          <w:tcPr>
            <w:tcW w:w="3350" w:type="dxa"/>
          </w:tcPr>
          <w:p w14:paraId="7FCE581A" w14:textId="77777777" w:rsidR="00CC19A3" w:rsidRDefault="00CC19A3" w:rsidP="00110BC1">
            <w:r>
              <w:t>76.89%</w:t>
            </w:r>
          </w:p>
        </w:tc>
        <w:tc>
          <w:tcPr>
            <w:tcW w:w="3350" w:type="dxa"/>
          </w:tcPr>
          <w:p w14:paraId="2A16CCF1" w14:textId="77777777" w:rsidR="00CC19A3" w:rsidRDefault="00CC19A3" w:rsidP="00110BC1">
            <w:r>
              <w:t>85.74%</w:t>
            </w:r>
          </w:p>
        </w:tc>
      </w:tr>
      <w:tr w:rsidR="00CC19A3" w14:paraId="5B0CC78C" w14:textId="77777777" w:rsidTr="00110BC1">
        <w:tblPrEx>
          <w:tblCellMar>
            <w:top w:w="0" w:type="dxa"/>
            <w:bottom w:w="0" w:type="dxa"/>
          </w:tblCellMar>
        </w:tblPrEx>
        <w:tc>
          <w:tcPr>
            <w:tcW w:w="3200" w:type="dxa"/>
          </w:tcPr>
          <w:p w14:paraId="50EFE497" w14:textId="77777777" w:rsidR="00CC19A3" w:rsidRDefault="00CC19A3" w:rsidP="00110BC1">
            <w:r>
              <w:t>CART (best)</w:t>
            </w:r>
          </w:p>
        </w:tc>
        <w:tc>
          <w:tcPr>
            <w:tcW w:w="3350" w:type="dxa"/>
          </w:tcPr>
          <w:p w14:paraId="1E2162A1" w14:textId="77777777" w:rsidR="00CC19A3" w:rsidRDefault="00CC19A3" w:rsidP="00110BC1">
            <w:r>
              <w:t>78.24%</w:t>
            </w:r>
          </w:p>
        </w:tc>
        <w:tc>
          <w:tcPr>
            <w:tcW w:w="3350" w:type="dxa"/>
          </w:tcPr>
          <w:p w14:paraId="01D171F0" w14:textId="77777777" w:rsidR="00CC19A3" w:rsidRDefault="00CC19A3" w:rsidP="00110BC1">
            <w:r>
              <w:t>86.81%</w:t>
            </w:r>
          </w:p>
        </w:tc>
      </w:tr>
    </w:tbl>
    <w:p w14:paraId="14502B05" w14:textId="77777777" w:rsidR="00CC19A3" w:rsidRDefault="00CC19A3" w:rsidP="00CC19A3">
      <w:pPr>
        <w:spacing w:before="150"/>
      </w:pPr>
    </w:p>
    <w:p w14:paraId="628F0B2C" w14:textId="77777777" w:rsidR="00CC19A3" w:rsidRDefault="00CC19A3" w:rsidP="00CC19A3">
      <w:pPr>
        <w:spacing w:after="120"/>
        <w:jc w:val="both"/>
      </w:pPr>
      <w:r>
        <w:lastRenderedPageBreak/>
        <w:t>Table 2 reports the final CART model's performance specifically on the held-out test set and on the total dataset, along with Recall. The Area Under the ROC Curve (AUC) for the final CART model on the total dataset was 79.5%, indicating reasonably strong discriminative ability between patients who died and those who recovered.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2800"/>
      </w:tblGrid>
      <w:tr w:rsidR="00CC19A3" w14:paraId="49462453" w14:textId="77777777" w:rsidTr="00110BC1">
        <w:tblPrEx>
          <w:tblCellMar>
            <w:top w:w="0" w:type="dxa"/>
            <w:bottom w:w="0" w:type="dxa"/>
          </w:tblCellMar>
        </w:tblPrEx>
        <w:trPr>
          <w:tblHeader/>
        </w:trPr>
        <w:tc>
          <w:tcPr>
            <w:tcW w:w="2500" w:type="dxa"/>
            <w:shd w:val="clear" w:color="auto" w:fill="D9E2F3"/>
          </w:tcPr>
          <w:p w14:paraId="24AC8535" w14:textId="77777777" w:rsidR="00CC19A3" w:rsidRDefault="00CC19A3" w:rsidP="00110BC1">
            <w:r>
              <w:rPr>
                <w:b/>
                <w:bCs/>
              </w:rPr>
              <w:t>Dataset Split</w:t>
            </w:r>
          </w:p>
        </w:tc>
        <w:tc>
          <w:tcPr>
            <w:tcW w:w="2300" w:type="dxa"/>
            <w:shd w:val="clear" w:color="auto" w:fill="D9E2F3"/>
          </w:tcPr>
          <w:p w14:paraId="097EFD27" w14:textId="77777777" w:rsidR="00CC19A3" w:rsidRDefault="00CC19A3" w:rsidP="00110BC1">
            <w:r>
              <w:rPr>
                <w:b/>
                <w:bCs/>
              </w:rPr>
              <w:t>Accuracy</w:t>
            </w:r>
          </w:p>
        </w:tc>
        <w:tc>
          <w:tcPr>
            <w:tcW w:w="2300" w:type="dxa"/>
            <w:shd w:val="clear" w:color="auto" w:fill="D9E2F3"/>
          </w:tcPr>
          <w:p w14:paraId="67C26BCD" w14:textId="77777777" w:rsidR="00CC19A3" w:rsidRDefault="00CC19A3" w:rsidP="00110BC1">
            <w:r>
              <w:rPr>
                <w:b/>
                <w:bCs/>
              </w:rPr>
              <w:t>F1-Score</w:t>
            </w:r>
          </w:p>
        </w:tc>
        <w:tc>
          <w:tcPr>
            <w:tcW w:w="2800" w:type="dxa"/>
            <w:shd w:val="clear" w:color="auto" w:fill="D9E2F3"/>
          </w:tcPr>
          <w:p w14:paraId="28AE7EE0" w14:textId="77777777" w:rsidR="00CC19A3" w:rsidRDefault="00CC19A3" w:rsidP="00110BC1">
            <w:r>
              <w:rPr>
                <w:b/>
                <w:bCs/>
              </w:rPr>
              <w:t>Recall</w:t>
            </w:r>
          </w:p>
        </w:tc>
      </w:tr>
      <w:tr w:rsidR="00CC19A3" w14:paraId="0528F505" w14:textId="77777777" w:rsidTr="00110BC1">
        <w:tblPrEx>
          <w:tblCellMar>
            <w:top w:w="0" w:type="dxa"/>
            <w:bottom w:w="0" w:type="dxa"/>
          </w:tblCellMar>
        </w:tblPrEx>
        <w:tc>
          <w:tcPr>
            <w:tcW w:w="2500" w:type="dxa"/>
          </w:tcPr>
          <w:p w14:paraId="22EC72E6" w14:textId="77777777" w:rsidR="00CC19A3" w:rsidRDefault="00CC19A3" w:rsidP="00110BC1">
            <w:r>
              <w:t>Test set</w:t>
            </w:r>
          </w:p>
        </w:tc>
        <w:tc>
          <w:tcPr>
            <w:tcW w:w="2300" w:type="dxa"/>
          </w:tcPr>
          <w:p w14:paraId="6400A6DD" w14:textId="77777777" w:rsidR="00CC19A3" w:rsidRDefault="00CC19A3" w:rsidP="00110BC1">
            <w:r>
              <w:t>78.24%</w:t>
            </w:r>
          </w:p>
        </w:tc>
        <w:tc>
          <w:tcPr>
            <w:tcW w:w="2300" w:type="dxa"/>
          </w:tcPr>
          <w:p w14:paraId="080E46CD" w14:textId="77777777" w:rsidR="00CC19A3" w:rsidRDefault="00CC19A3" w:rsidP="00110BC1">
            <w:r>
              <w:t>86.81%</w:t>
            </w:r>
          </w:p>
        </w:tc>
        <w:tc>
          <w:tcPr>
            <w:tcW w:w="2800" w:type="dxa"/>
          </w:tcPr>
          <w:p w14:paraId="26BEEA23" w14:textId="77777777" w:rsidR="00CC19A3" w:rsidRDefault="00CC19A3" w:rsidP="00110BC1">
            <w:r>
              <w:t>95.50%</w:t>
            </w:r>
          </w:p>
        </w:tc>
      </w:tr>
      <w:tr w:rsidR="00CC19A3" w14:paraId="3E4CF958" w14:textId="77777777" w:rsidTr="00110BC1">
        <w:tblPrEx>
          <w:tblCellMar>
            <w:top w:w="0" w:type="dxa"/>
            <w:bottom w:w="0" w:type="dxa"/>
          </w:tblCellMar>
        </w:tblPrEx>
        <w:tc>
          <w:tcPr>
            <w:tcW w:w="2500" w:type="dxa"/>
          </w:tcPr>
          <w:p w14:paraId="0F4C6C0E" w14:textId="77777777" w:rsidR="00CC19A3" w:rsidRDefault="00CC19A3" w:rsidP="00110BC1">
            <w:r>
              <w:t>Total dataset</w:t>
            </w:r>
          </w:p>
        </w:tc>
        <w:tc>
          <w:tcPr>
            <w:tcW w:w="2300" w:type="dxa"/>
          </w:tcPr>
          <w:p w14:paraId="01DA0126" w14:textId="77777777" w:rsidR="00CC19A3" w:rsidRDefault="00CC19A3" w:rsidP="00110BC1">
            <w:r>
              <w:t>78.34%</w:t>
            </w:r>
          </w:p>
        </w:tc>
        <w:tc>
          <w:tcPr>
            <w:tcW w:w="2300" w:type="dxa"/>
          </w:tcPr>
          <w:p w14:paraId="236ABACA" w14:textId="77777777" w:rsidR="00CC19A3" w:rsidRDefault="00CC19A3" w:rsidP="00110BC1">
            <w:r>
              <w:t>86.67%</w:t>
            </w:r>
          </w:p>
        </w:tc>
        <w:tc>
          <w:tcPr>
            <w:tcW w:w="2800" w:type="dxa"/>
          </w:tcPr>
          <w:p w14:paraId="508CA2C3" w14:textId="77777777" w:rsidR="00CC19A3" w:rsidRDefault="00CC19A3" w:rsidP="00110BC1">
            <w:r>
              <w:t>93.85%</w:t>
            </w:r>
          </w:p>
        </w:tc>
      </w:tr>
    </w:tbl>
    <w:p w14:paraId="2A066B07" w14:textId="77777777" w:rsidR="00CC19A3" w:rsidRDefault="00CC19A3" w:rsidP="00CC19A3">
      <w:pPr>
        <w:pStyle w:val="Heading2"/>
        <w:spacing w:before="200" w:after="100"/>
      </w:pPr>
      <w:r>
        <w:rPr>
          <w:b/>
          <w:bCs/>
          <w:color w:val="2E5395"/>
        </w:rPr>
        <w:t>Feature Importance and Tree Interpretability</w:t>
      </w:r>
    </w:p>
    <w:p w14:paraId="5344BF03" w14:textId="77777777" w:rsidR="00CC19A3" w:rsidRDefault="00CC19A3" w:rsidP="00CC19A3">
      <w:pPr>
        <w:spacing w:after="120"/>
        <w:jc w:val="both"/>
      </w:pPr>
      <w:r>
        <w:t>Before training the four classifiers, the Random Forest ranked all 25 candidate features by Gini importance. Only the features above the third-quartile cut-off (relative importance greater than 6%) were kept for the final trees, listed in Table 3.</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500"/>
        <w:gridCol w:w="2100"/>
      </w:tblGrid>
      <w:tr w:rsidR="00CC19A3" w14:paraId="20BC5F58" w14:textId="77777777" w:rsidTr="00110BC1">
        <w:tblPrEx>
          <w:tblCellMar>
            <w:top w:w="0" w:type="dxa"/>
            <w:bottom w:w="0" w:type="dxa"/>
          </w:tblCellMar>
        </w:tblPrEx>
        <w:trPr>
          <w:tblHeader/>
        </w:trPr>
        <w:tc>
          <w:tcPr>
            <w:tcW w:w="4300" w:type="dxa"/>
            <w:shd w:val="clear" w:color="auto" w:fill="D9E2F3"/>
          </w:tcPr>
          <w:p w14:paraId="0F60BD45" w14:textId="77777777" w:rsidR="00CC19A3" w:rsidRDefault="00CC19A3" w:rsidP="00110BC1">
            <w:r>
              <w:rPr>
                <w:b/>
                <w:bCs/>
              </w:rPr>
              <w:t>Feature</w:t>
            </w:r>
          </w:p>
        </w:tc>
        <w:tc>
          <w:tcPr>
            <w:tcW w:w="2500" w:type="dxa"/>
            <w:shd w:val="clear" w:color="auto" w:fill="D9E2F3"/>
          </w:tcPr>
          <w:p w14:paraId="0D49B81E" w14:textId="77777777" w:rsidR="00CC19A3" w:rsidRDefault="00CC19A3" w:rsidP="00110BC1">
            <w:r>
              <w:rPr>
                <w:b/>
                <w:bCs/>
              </w:rPr>
              <w:t>Type</w:t>
            </w:r>
          </w:p>
        </w:tc>
        <w:tc>
          <w:tcPr>
            <w:tcW w:w="2100" w:type="dxa"/>
            <w:shd w:val="clear" w:color="auto" w:fill="D9E2F3"/>
          </w:tcPr>
          <w:p w14:paraId="60290547" w14:textId="77777777" w:rsidR="00CC19A3" w:rsidRDefault="00CC19A3" w:rsidP="00110BC1">
            <w:r>
              <w:rPr>
                <w:b/>
                <w:bCs/>
              </w:rPr>
              <w:t>Relative Importance</w:t>
            </w:r>
          </w:p>
        </w:tc>
      </w:tr>
      <w:tr w:rsidR="00CC19A3" w14:paraId="390F4A51" w14:textId="77777777" w:rsidTr="00110BC1">
        <w:tblPrEx>
          <w:tblCellMar>
            <w:top w:w="0" w:type="dxa"/>
            <w:bottom w:w="0" w:type="dxa"/>
          </w:tblCellMar>
        </w:tblPrEx>
        <w:tc>
          <w:tcPr>
            <w:tcW w:w="4300" w:type="dxa"/>
          </w:tcPr>
          <w:p w14:paraId="75A271AE" w14:textId="77777777" w:rsidR="00CC19A3" w:rsidRDefault="00CC19A3" w:rsidP="00110BC1">
            <w:r>
              <w:t>Age</w:t>
            </w:r>
          </w:p>
        </w:tc>
        <w:tc>
          <w:tcPr>
            <w:tcW w:w="2500" w:type="dxa"/>
          </w:tcPr>
          <w:p w14:paraId="73F021AF" w14:textId="77777777" w:rsidR="00CC19A3" w:rsidRDefault="00CC19A3" w:rsidP="00110BC1">
            <w:r>
              <w:t>Demographic</w:t>
            </w:r>
          </w:p>
        </w:tc>
        <w:tc>
          <w:tcPr>
            <w:tcW w:w="2100" w:type="dxa"/>
          </w:tcPr>
          <w:p w14:paraId="5E4931FB" w14:textId="77777777" w:rsidR="00CC19A3" w:rsidRDefault="00CC19A3" w:rsidP="00110BC1">
            <w:r>
              <w:t>&gt; 6%</w:t>
            </w:r>
          </w:p>
        </w:tc>
      </w:tr>
      <w:tr w:rsidR="00CC19A3" w14:paraId="1AAFEC98" w14:textId="77777777" w:rsidTr="00110BC1">
        <w:tblPrEx>
          <w:tblCellMar>
            <w:top w:w="0" w:type="dxa"/>
            <w:bottom w:w="0" w:type="dxa"/>
          </w:tblCellMar>
        </w:tblPrEx>
        <w:tc>
          <w:tcPr>
            <w:tcW w:w="4300" w:type="dxa"/>
          </w:tcPr>
          <w:p w14:paraId="1AA2E0FE" w14:textId="77777777" w:rsidR="00CC19A3" w:rsidRDefault="00CC19A3" w:rsidP="00110BC1">
            <w:r>
              <w:t>Gender</w:t>
            </w:r>
          </w:p>
        </w:tc>
        <w:tc>
          <w:tcPr>
            <w:tcW w:w="2500" w:type="dxa"/>
          </w:tcPr>
          <w:p w14:paraId="759E2266" w14:textId="77777777" w:rsidR="00CC19A3" w:rsidRDefault="00CC19A3" w:rsidP="00110BC1">
            <w:r>
              <w:t>Demographic</w:t>
            </w:r>
          </w:p>
        </w:tc>
        <w:tc>
          <w:tcPr>
            <w:tcW w:w="2100" w:type="dxa"/>
          </w:tcPr>
          <w:p w14:paraId="4E9A90C0" w14:textId="77777777" w:rsidR="00CC19A3" w:rsidRDefault="00CC19A3" w:rsidP="00110BC1">
            <w:r>
              <w:t>&gt; 6%</w:t>
            </w:r>
          </w:p>
        </w:tc>
      </w:tr>
      <w:tr w:rsidR="00CC19A3" w14:paraId="109B0338" w14:textId="77777777" w:rsidTr="00110BC1">
        <w:tblPrEx>
          <w:tblCellMar>
            <w:top w:w="0" w:type="dxa"/>
            <w:bottom w:w="0" w:type="dxa"/>
          </w:tblCellMar>
        </w:tblPrEx>
        <w:tc>
          <w:tcPr>
            <w:tcW w:w="4300" w:type="dxa"/>
          </w:tcPr>
          <w:p w14:paraId="6A144AB3" w14:textId="77777777" w:rsidR="00CC19A3" w:rsidRDefault="00CC19A3" w:rsidP="00110BC1">
            <w:r>
              <w:t>Blood Urea Nitrogen (BUN)</w:t>
            </w:r>
          </w:p>
        </w:tc>
        <w:tc>
          <w:tcPr>
            <w:tcW w:w="2500" w:type="dxa"/>
          </w:tcPr>
          <w:p w14:paraId="278299CF" w14:textId="77777777" w:rsidR="00CC19A3" w:rsidRDefault="00CC19A3" w:rsidP="00110BC1">
            <w:r>
              <w:t>Laboratory</w:t>
            </w:r>
          </w:p>
        </w:tc>
        <w:tc>
          <w:tcPr>
            <w:tcW w:w="2100" w:type="dxa"/>
          </w:tcPr>
          <w:p w14:paraId="58535970" w14:textId="77777777" w:rsidR="00CC19A3" w:rsidRDefault="00CC19A3" w:rsidP="00110BC1">
            <w:r>
              <w:t>&gt; 6%</w:t>
            </w:r>
          </w:p>
        </w:tc>
      </w:tr>
      <w:tr w:rsidR="00CC19A3" w14:paraId="6ED2F279" w14:textId="77777777" w:rsidTr="00110BC1">
        <w:tblPrEx>
          <w:tblCellMar>
            <w:top w:w="0" w:type="dxa"/>
            <w:bottom w:w="0" w:type="dxa"/>
          </w:tblCellMar>
        </w:tblPrEx>
        <w:tc>
          <w:tcPr>
            <w:tcW w:w="4300" w:type="dxa"/>
          </w:tcPr>
          <w:p w14:paraId="25D7338B" w14:textId="77777777" w:rsidR="00CC19A3" w:rsidRDefault="00CC19A3" w:rsidP="00110BC1">
            <w:r>
              <w:t>Partial Thromboplastin Time (PTT)</w:t>
            </w:r>
          </w:p>
        </w:tc>
        <w:tc>
          <w:tcPr>
            <w:tcW w:w="2500" w:type="dxa"/>
          </w:tcPr>
          <w:p w14:paraId="4BE117D0" w14:textId="77777777" w:rsidR="00CC19A3" w:rsidRDefault="00CC19A3" w:rsidP="00110BC1">
            <w:r>
              <w:t>Laboratory</w:t>
            </w:r>
          </w:p>
        </w:tc>
        <w:tc>
          <w:tcPr>
            <w:tcW w:w="2100" w:type="dxa"/>
          </w:tcPr>
          <w:p w14:paraId="155B68DF" w14:textId="77777777" w:rsidR="00CC19A3" w:rsidRDefault="00CC19A3" w:rsidP="00110BC1">
            <w:r>
              <w:t>&gt; 6%</w:t>
            </w:r>
          </w:p>
        </w:tc>
      </w:tr>
      <w:tr w:rsidR="00CC19A3" w14:paraId="3C723492" w14:textId="77777777" w:rsidTr="00110BC1">
        <w:tblPrEx>
          <w:tblCellMar>
            <w:top w:w="0" w:type="dxa"/>
            <w:bottom w:w="0" w:type="dxa"/>
          </w:tblCellMar>
        </w:tblPrEx>
        <w:tc>
          <w:tcPr>
            <w:tcW w:w="4300" w:type="dxa"/>
          </w:tcPr>
          <w:p w14:paraId="2DAD0664" w14:textId="77777777" w:rsidR="00CC19A3" w:rsidRDefault="00CC19A3" w:rsidP="00110BC1">
            <w:r>
              <w:t>Serum Glutamic-Oxaloacetic Transaminase (SGOT)</w:t>
            </w:r>
          </w:p>
        </w:tc>
        <w:tc>
          <w:tcPr>
            <w:tcW w:w="2500" w:type="dxa"/>
          </w:tcPr>
          <w:p w14:paraId="61DAFCAC" w14:textId="77777777" w:rsidR="00CC19A3" w:rsidRDefault="00CC19A3" w:rsidP="00110BC1">
            <w:r>
              <w:t>Laboratory</w:t>
            </w:r>
          </w:p>
        </w:tc>
        <w:tc>
          <w:tcPr>
            <w:tcW w:w="2100" w:type="dxa"/>
          </w:tcPr>
          <w:p w14:paraId="291C443A" w14:textId="77777777" w:rsidR="00CC19A3" w:rsidRDefault="00CC19A3" w:rsidP="00110BC1">
            <w:r>
              <w:t>&gt; 6%</w:t>
            </w:r>
          </w:p>
        </w:tc>
      </w:tr>
      <w:tr w:rsidR="00CC19A3" w14:paraId="07D55101" w14:textId="77777777" w:rsidTr="00110BC1">
        <w:tblPrEx>
          <w:tblCellMar>
            <w:top w:w="0" w:type="dxa"/>
            <w:bottom w:w="0" w:type="dxa"/>
          </w:tblCellMar>
        </w:tblPrEx>
        <w:tc>
          <w:tcPr>
            <w:tcW w:w="4300" w:type="dxa"/>
          </w:tcPr>
          <w:p w14:paraId="0457942B" w14:textId="77777777" w:rsidR="00CC19A3" w:rsidRDefault="00CC19A3" w:rsidP="00110BC1">
            <w:r>
              <w:t>Erythrocyte Sedimentation Rate (ESR)</w:t>
            </w:r>
          </w:p>
        </w:tc>
        <w:tc>
          <w:tcPr>
            <w:tcW w:w="2500" w:type="dxa"/>
          </w:tcPr>
          <w:p w14:paraId="2EDBE1E8" w14:textId="77777777" w:rsidR="00CC19A3" w:rsidRDefault="00CC19A3" w:rsidP="00110BC1">
            <w:r>
              <w:t>Laboratory</w:t>
            </w:r>
          </w:p>
        </w:tc>
        <w:tc>
          <w:tcPr>
            <w:tcW w:w="2100" w:type="dxa"/>
          </w:tcPr>
          <w:p w14:paraId="4476422B" w14:textId="77777777" w:rsidR="00CC19A3" w:rsidRDefault="00CC19A3" w:rsidP="00110BC1">
            <w:r>
              <w:t>&gt; 6%</w:t>
            </w:r>
          </w:p>
        </w:tc>
      </w:tr>
    </w:tbl>
    <w:p w14:paraId="1D913DA0" w14:textId="77777777" w:rsidR="00CC19A3" w:rsidRDefault="00CC19A3" w:rsidP="00CC19A3">
      <w:pPr>
        <w:spacing w:before="150"/>
      </w:pPr>
    </w:p>
    <w:p w14:paraId="67F5E7AF" w14:textId="77777777" w:rsidR="00CC19A3" w:rsidRDefault="00CC19A3" w:rsidP="00CC19A3">
      <w:pPr>
        <w:spacing w:after="120"/>
        <w:jc w:val="both"/>
      </w:pPr>
      <w:r>
        <w:t>The final CART tree built on these six features has 35 nodes (1 root, 16 internal, 18 leaves). Two worked leaf examples illustrate its interpretability: a patient under 60 years old with BUN ≤ 20, age under 60, and SGOT ≤ 45 falls into a leaf with only a 3.9% mortality risk, whereas a patient over 60 with BUN above 20 and SGOT above 45 falls into a leaf with a 62.3% mortality risk. This kind of explicit, human-readable risk path — rather than a single opaque probability score — is precisely the interpretability advantage the authors set out to demonstrate.</w:t>
      </w:r>
    </w:p>
    <w:p w14:paraId="5FC60621" w14:textId="77777777" w:rsidR="00CC19A3" w:rsidRDefault="00CC19A3" w:rsidP="00CC19A3">
      <w:pPr>
        <w:pStyle w:val="Heading2"/>
        <w:spacing w:before="200" w:after="100"/>
      </w:pPr>
      <w:r>
        <w:rPr>
          <w:b/>
          <w:bCs/>
          <w:color w:val="2E5395"/>
        </w:rPr>
        <w:t>(b) Critical Evaluation of the Results</w:t>
      </w:r>
    </w:p>
    <w:p w14:paraId="4AE60CDC" w14:textId="77777777" w:rsidR="00CC19A3" w:rsidRDefault="00CC19A3" w:rsidP="00CC19A3">
      <w:pPr>
        <w:spacing w:after="120"/>
        <w:jc w:val="both"/>
      </w:pPr>
      <w:r>
        <w:t>Are the metrics realistic? The reported accuracy (~78%) and AUC (~79.5%) are plausible and consistent with comparable published COVID-19 mortality-prediction studies the authors themselves cite (which report AUCs in the 79-94% range), so the results are not implausibly inflated. However, the very high Recall figures (93-96%) relative to the more modest Accuracy suggest the model is much better at correctly flagging patients who will die (true positives) than at avoiding false positives — likely a direct consequence of the class imbalance in the training data, which pushes the model toward classifying more patients as high-risk.</w:t>
      </w:r>
    </w:p>
    <w:p w14:paraId="76882AD6" w14:textId="77777777" w:rsidR="00CC19A3" w:rsidRDefault="00CC19A3" w:rsidP="00CC19A3">
      <w:pPr>
        <w:spacing w:after="120"/>
        <w:jc w:val="both"/>
      </w:pPr>
      <w:r>
        <w:t>Potential biases: Three sources of bias stand out. First, dataset bias — all patients came from just two hospitals in one Iranian province, so region-specific treatment protocols, patient demographics, or virus variants circulating during that period may not transfer to other populations. Second, evaluation-protocol bias — repeating a random train/test split 10 times and averaging is better than a single split, but it is still not equivalent to k-fold cross-validation or a fully independent external test set, and no confidence intervals are reported around the metrics. Third, selection bias from missing-data removal — patients with incomplete records were dropped entirely rather than imputed, which could systematically exclude the sickest or most rapidly-deteriorating patients whose charts were less complete.</w:t>
      </w:r>
    </w:p>
    <w:p w14:paraId="60E0488E" w14:textId="77777777" w:rsidR="00CC19A3" w:rsidRDefault="00CC19A3" w:rsidP="00CC19A3">
      <w:pPr>
        <w:spacing w:after="120"/>
        <w:jc w:val="both"/>
      </w:pPr>
      <w:r>
        <w:t>Additional experiments that would strengthen the findings: (</w:t>
      </w:r>
      <w:proofErr w:type="spellStart"/>
      <w:r>
        <w:t>i</w:t>
      </w:r>
      <w:proofErr w:type="spellEnd"/>
      <w:r>
        <w:t xml:space="preserve">) external validation on a dataset from a different hospital system or country to test generalisability; (ii) explicit handling of class imbalance (e.g., SMOTE, class weighting, or a cost-sensitive loss) followed by re-evaluation of precision alongside recall; (iii) reporting confidence intervals or standard deviations across the 10 train/test repetitions rather than single point estimates; and (iv) a head-to-head comparison against a modern gradient-boosted tree (e.g., </w:t>
      </w:r>
      <w:proofErr w:type="spellStart"/>
      <w:r>
        <w:t>XGBoost</w:t>
      </w:r>
      <w:proofErr w:type="spellEnd"/>
      <w:r>
        <w:t>/</w:t>
      </w:r>
      <w:proofErr w:type="spellStart"/>
      <w:r>
        <w:t>LightGBM</w:t>
      </w:r>
      <w:proofErr w:type="spellEnd"/>
      <w:r>
        <w:t>) to quantify how much accuracy is traded away for the interpretability gained by using single decision trees.</w:t>
      </w:r>
    </w:p>
    <w:p w14:paraId="174C5052" w14:textId="77777777" w:rsidR="00CC19A3" w:rsidRDefault="00CC19A3" w:rsidP="00CC19A3">
      <w:pPr>
        <w:pStyle w:val="Heading2"/>
        <w:spacing w:before="200" w:after="100"/>
      </w:pPr>
      <w:r>
        <w:rPr>
          <w:b/>
          <w:bCs/>
          <w:color w:val="2E5395"/>
        </w:rPr>
        <w:t>Comparison with Related Studies Cited by the Authors</w:t>
      </w:r>
    </w:p>
    <w:p w14:paraId="65B2205F" w14:textId="77777777" w:rsidR="00CC19A3" w:rsidRDefault="00CC19A3" w:rsidP="00CC19A3">
      <w:pPr>
        <w:spacing w:after="120"/>
        <w:jc w:val="both"/>
      </w:pPr>
      <w:r>
        <w:t>The authors situate their 78.24% accuracy / 79.5% AUC result against other COVID-19 mortality-prediction studies they reviewed, which used different feature sets and modelling approaches. This comparison (Table 4) helps judge whether the reported performance is competitive rather than viewing it in isolation.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600"/>
      </w:tblGrid>
      <w:tr w:rsidR="00CC19A3" w14:paraId="0EBE0650" w14:textId="77777777" w:rsidTr="00110BC1">
        <w:tblPrEx>
          <w:tblCellMar>
            <w:top w:w="0" w:type="dxa"/>
            <w:bottom w:w="0" w:type="dxa"/>
          </w:tblCellMar>
        </w:tblPrEx>
        <w:trPr>
          <w:tblHeader/>
        </w:trPr>
        <w:tc>
          <w:tcPr>
            <w:tcW w:w="3200" w:type="dxa"/>
            <w:shd w:val="clear" w:color="auto" w:fill="D9E2F3"/>
          </w:tcPr>
          <w:p w14:paraId="7D90BA65" w14:textId="77777777" w:rsidR="00CC19A3" w:rsidRDefault="00CC19A3" w:rsidP="00110BC1">
            <w:r>
              <w:rPr>
                <w:b/>
                <w:bCs/>
              </w:rPr>
              <w:t>Study</w:t>
            </w:r>
          </w:p>
        </w:tc>
        <w:tc>
          <w:tcPr>
            <w:tcW w:w="3400" w:type="dxa"/>
            <w:shd w:val="clear" w:color="auto" w:fill="D9E2F3"/>
          </w:tcPr>
          <w:p w14:paraId="344BA562" w14:textId="77777777" w:rsidR="00CC19A3" w:rsidRDefault="00CC19A3" w:rsidP="00110BC1">
            <w:r>
              <w:rPr>
                <w:b/>
                <w:bCs/>
              </w:rPr>
              <w:t>Key Features Used</w:t>
            </w:r>
          </w:p>
        </w:tc>
        <w:tc>
          <w:tcPr>
            <w:tcW w:w="2600" w:type="dxa"/>
            <w:shd w:val="clear" w:color="auto" w:fill="D9E2F3"/>
          </w:tcPr>
          <w:p w14:paraId="551481A2" w14:textId="77777777" w:rsidR="00CC19A3" w:rsidRDefault="00CC19A3" w:rsidP="00110BC1">
            <w:r>
              <w:rPr>
                <w:b/>
                <w:bCs/>
              </w:rPr>
              <w:t>Reported Performance</w:t>
            </w:r>
          </w:p>
        </w:tc>
      </w:tr>
      <w:tr w:rsidR="00CC19A3" w14:paraId="3B6362B6" w14:textId="77777777" w:rsidTr="00110BC1">
        <w:tblPrEx>
          <w:tblCellMar>
            <w:top w:w="0" w:type="dxa"/>
            <w:bottom w:w="0" w:type="dxa"/>
          </w:tblCellMar>
        </w:tblPrEx>
        <w:tc>
          <w:tcPr>
            <w:tcW w:w="3200" w:type="dxa"/>
          </w:tcPr>
          <w:p w14:paraId="2B04D21A" w14:textId="77777777" w:rsidR="00CC19A3" w:rsidRDefault="00CC19A3" w:rsidP="00110BC1">
            <w:r>
              <w:t>Moslehi et al. (this article)</w:t>
            </w:r>
          </w:p>
        </w:tc>
        <w:tc>
          <w:tcPr>
            <w:tcW w:w="3400" w:type="dxa"/>
          </w:tcPr>
          <w:p w14:paraId="72FCFB45" w14:textId="77777777" w:rsidR="00CC19A3" w:rsidRDefault="00CC19A3" w:rsidP="00110BC1">
            <w:r>
              <w:t>Age, gender, BUN, PTT, SGOT, ESR</w:t>
            </w:r>
          </w:p>
        </w:tc>
        <w:tc>
          <w:tcPr>
            <w:tcW w:w="2600" w:type="dxa"/>
          </w:tcPr>
          <w:p w14:paraId="6E407F5F" w14:textId="77777777" w:rsidR="00CC19A3" w:rsidRDefault="00CC19A3" w:rsidP="00110BC1">
            <w:r>
              <w:t>Accuracy 78.24%, AUC 79.5%</w:t>
            </w:r>
          </w:p>
        </w:tc>
      </w:tr>
      <w:tr w:rsidR="00CC19A3" w14:paraId="1ECBCACE" w14:textId="77777777" w:rsidTr="00110BC1">
        <w:tblPrEx>
          <w:tblCellMar>
            <w:top w:w="0" w:type="dxa"/>
            <w:bottom w:w="0" w:type="dxa"/>
          </w:tblCellMar>
        </w:tblPrEx>
        <w:tc>
          <w:tcPr>
            <w:tcW w:w="3200" w:type="dxa"/>
          </w:tcPr>
          <w:p w14:paraId="6ECEBC0D" w14:textId="77777777" w:rsidR="00CC19A3" w:rsidRDefault="00CC19A3" w:rsidP="00110BC1">
            <w:r>
              <w:t>Li et al. (Boosting tree)</w:t>
            </w:r>
          </w:p>
        </w:tc>
        <w:tc>
          <w:tcPr>
            <w:tcW w:w="3400" w:type="dxa"/>
          </w:tcPr>
          <w:p w14:paraId="0C113A0F" w14:textId="77777777" w:rsidR="00CC19A3" w:rsidRDefault="00CC19A3" w:rsidP="00110BC1">
            <w:r>
              <w:t>Age, BUN (gradient boosting)</w:t>
            </w:r>
          </w:p>
        </w:tc>
        <w:tc>
          <w:tcPr>
            <w:tcW w:w="2600" w:type="dxa"/>
          </w:tcPr>
          <w:p w14:paraId="0BED0454" w14:textId="77777777" w:rsidR="00CC19A3" w:rsidRDefault="00CC19A3" w:rsidP="00110BC1">
            <w:r>
              <w:t>Accuracy 88.9%, AUC 94.1%</w:t>
            </w:r>
          </w:p>
        </w:tc>
      </w:tr>
      <w:tr w:rsidR="00CC19A3" w14:paraId="3A4B792A" w14:textId="77777777" w:rsidTr="00110BC1">
        <w:tblPrEx>
          <w:tblCellMar>
            <w:top w:w="0" w:type="dxa"/>
            <w:bottom w:w="0" w:type="dxa"/>
          </w:tblCellMar>
        </w:tblPrEx>
        <w:tc>
          <w:tcPr>
            <w:tcW w:w="3200" w:type="dxa"/>
          </w:tcPr>
          <w:p w14:paraId="0B3014D6" w14:textId="77777777" w:rsidR="00CC19A3" w:rsidRDefault="00CC19A3" w:rsidP="00110BC1">
            <w:r>
              <w:t>Bhatia et al.</w:t>
            </w:r>
          </w:p>
        </w:tc>
        <w:tc>
          <w:tcPr>
            <w:tcW w:w="3400" w:type="dxa"/>
          </w:tcPr>
          <w:p w14:paraId="4E9BFA9B" w14:textId="77777777" w:rsidR="00CC19A3" w:rsidRDefault="00CC19A3" w:rsidP="00110BC1">
            <w:r>
              <w:t>Age, BUN, SGOT (decision tree)</w:t>
            </w:r>
          </w:p>
        </w:tc>
        <w:tc>
          <w:tcPr>
            <w:tcW w:w="2600" w:type="dxa"/>
          </w:tcPr>
          <w:p w14:paraId="50E9F43C" w14:textId="77777777" w:rsidR="00CC19A3" w:rsidRDefault="00CC19A3" w:rsidP="00110BC1">
            <w:r>
              <w:t>Accuracy 79.74%, AUC 88.3%</w:t>
            </w:r>
          </w:p>
        </w:tc>
      </w:tr>
      <w:tr w:rsidR="00CC19A3" w14:paraId="49D71098" w14:textId="77777777" w:rsidTr="00110BC1">
        <w:tblPrEx>
          <w:tblCellMar>
            <w:top w:w="0" w:type="dxa"/>
            <w:bottom w:w="0" w:type="dxa"/>
          </w:tblCellMar>
        </w:tblPrEx>
        <w:tc>
          <w:tcPr>
            <w:tcW w:w="3200" w:type="dxa"/>
          </w:tcPr>
          <w:p w14:paraId="7C741227" w14:textId="77777777" w:rsidR="00CC19A3" w:rsidRDefault="00CC19A3" w:rsidP="00110BC1">
            <w:proofErr w:type="spellStart"/>
            <w:r>
              <w:t>Yadaw</w:t>
            </w:r>
            <w:proofErr w:type="spellEnd"/>
            <w:r>
              <w:t xml:space="preserve"> et al.</w:t>
            </w:r>
          </w:p>
        </w:tc>
        <w:tc>
          <w:tcPr>
            <w:tcW w:w="3400" w:type="dxa"/>
          </w:tcPr>
          <w:p w14:paraId="0BE95077" w14:textId="77777777" w:rsidR="00CC19A3" w:rsidRDefault="00CC19A3" w:rsidP="00110BC1">
            <w:r>
              <w:t>Laboratory findings (ML ensemble)</w:t>
            </w:r>
          </w:p>
        </w:tc>
        <w:tc>
          <w:tcPr>
            <w:tcW w:w="2600" w:type="dxa"/>
          </w:tcPr>
          <w:p w14:paraId="10C0A718" w14:textId="77777777" w:rsidR="00CC19A3" w:rsidRDefault="00CC19A3" w:rsidP="00110BC1">
            <w:r>
              <w:t>AUC 91%</w:t>
            </w:r>
          </w:p>
        </w:tc>
      </w:tr>
      <w:tr w:rsidR="00CC19A3" w14:paraId="5C866EAE" w14:textId="77777777" w:rsidTr="00110BC1">
        <w:tblPrEx>
          <w:tblCellMar>
            <w:top w:w="0" w:type="dxa"/>
            <w:bottom w:w="0" w:type="dxa"/>
          </w:tblCellMar>
        </w:tblPrEx>
        <w:tc>
          <w:tcPr>
            <w:tcW w:w="3200" w:type="dxa"/>
          </w:tcPr>
          <w:p w14:paraId="5AA47EFE" w14:textId="77777777" w:rsidR="00CC19A3" w:rsidRDefault="00CC19A3" w:rsidP="00110BC1">
            <w:r>
              <w:t>de Moraes Batista et al.</w:t>
            </w:r>
          </w:p>
        </w:tc>
        <w:tc>
          <w:tcPr>
            <w:tcW w:w="3400" w:type="dxa"/>
          </w:tcPr>
          <w:p w14:paraId="73A8C610" w14:textId="77777777" w:rsidR="00CC19A3" w:rsidRDefault="00CC19A3" w:rsidP="00110BC1">
            <w:r>
              <w:t>Laboratory findings (ML ensemble)</w:t>
            </w:r>
          </w:p>
        </w:tc>
        <w:tc>
          <w:tcPr>
            <w:tcW w:w="2600" w:type="dxa"/>
          </w:tcPr>
          <w:p w14:paraId="2CC35451" w14:textId="77777777" w:rsidR="00CC19A3" w:rsidRDefault="00CC19A3" w:rsidP="00110BC1">
            <w:r>
              <w:t>AUC 85%</w:t>
            </w:r>
          </w:p>
        </w:tc>
      </w:tr>
    </w:tbl>
    <w:p w14:paraId="2C50FF73" w14:textId="77777777" w:rsidR="00CC19A3" w:rsidRDefault="00CC19A3" w:rsidP="00CC19A3">
      <w:pPr>
        <w:spacing w:before="150"/>
      </w:pPr>
    </w:p>
    <w:p w14:paraId="3A64AA61" w14:textId="77777777" w:rsidR="00CC19A3" w:rsidRDefault="00CC19A3" w:rsidP="00CC19A3">
      <w:pPr>
        <w:spacing w:after="120"/>
        <w:jc w:val="both"/>
      </w:pPr>
      <w:r>
        <w:lastRenderedPageBreak/>
        <w:t>This comparison reveals an honest trade-off the article itself acknowledges only briefly: boosting-based and ensemble approaches in related studies achieve noticeably higher AUC (85-94%) than the single interpretable CART tree (79.5%). The authors' choice of an interpretable model therefore comes at a measurable accuracy cost, which strengthens the case (raised in Task 3b) for testing whether post-hoc explainability tools could let a more accurate ensemble model close this gap without losing clinical transparency.</w:t>
      </w:r>
    </w:p>
    <w:p w14:paraId="42E92FA4" w14:textId="77777777" w:rsidR="00CC19A3" w:rsidRDefault="00CC19A3" w:rsidP="00CC19A3">
      <w:pPr>
        <w:pStyle w:val="Heading2"/>
        <w:spacing w:before="200" w:after="100"/>
      </w:pPr>
      <w:r>
        <w:rPr>
          <w:b/>
          <w:bCs/>
          <w:color w:val="2E5395"/>
        </w:rPr>
        <w:t>(c) Real-World Applicability</w:t>
      </w:r>
    </w:p>
    <w:p w14:paraId="06D58FB5" w14:textId="77777777" w:rsidR="00CC19A3" w:rsidRDefault="00CC19A3" w:rsidP="00CC19A3">
      <w:pPr>
        <w:spacing w:after="120"/>
        <w:jc w:val="both"/>
      </w:pPr>
      <w:r>
        <w:t>Where it can be deployed: A model like the final CART tree is well suited to emergency-department or ICU-admission triage dashboards, where clinicians need a fast, explainable risk estimate (not just a probability score) to prioritise limited beds, oxygen, or specialist attention during a surge in cases. Because the model is a simple flowchart based on a handful of lab values and demographics, it could even be implemented as a paper-based or spreadsheet decision aid in lower-resource settings without a full IT infrastructure.</w:t>
      </w:r>
    </w:p>
    <w:p w14:paraId="49F6C029" w14:textId="77777777" w:rsidR="00CC19A3" w:rsidRDefault="00CC19A3" w:rsidP="00CC19A3">
      <w:pPr>
        <w:spacing w:after="120"/>
        <w:jc w:val="both"/>
      </w:pPr>
      <w:r>
        <w:t>Challenges in scaling to industry: Data availability is the largest hurdle — reproducing this model elsewhere requires access to the same structured lab panel (BUN, SGOT, PTT, ESR) recorded consistently in electronic health records, which many hospitals still lack. Compute is not a major barrier since decision trees are lightweight to train and to run at inference time, unlike deep-learning alternatives. Ethical issues are significant: using an interpretable but imperfect mortality predictor to influence real triage decisions raises questions about accountability when the model is wrong, potential bias against under-represented patient subgroups not well captured in the training data, and the need for clinician oversight rather than fully automated decision-making.</w:t>
      </w:r>
    </w:p>
    <w:p w14:paraId="1A36C195" w14:textId="77777777" w:rsidR="00CC19A3" w:rsidRDefault="00CC19A3" w:rsidP="00CC19A3">
      <w:pPr>
        <w:pStyle w:val="Heading2"/>
        <w:spacing w:before="200" w:after="100"/>
      </w:pPr>
      <w:r>
        <w:rPr>
          <w:b/>
          <w:bCs/>
          <w:color w:val="2E5395"/>
        </w:rPr>
        <w:t>Summary of Strengths and Weaknesses</w:t>
      </w:r>
    </w:p>
    <w:p w14:paraId="41AD3F0E" w14:textId="77777777" w:rsidR="00CC19A3" w:rsidRDefault="00CC19A3" w:rsidP="00CC19A3">
      <w:pPr>
        <w:spacing w:after="120"/>
        <w:jc w:val="both"/>
      </w:pPr>
      <w:proofErr w:type="gramStart"/>
      <w:r>
        <w:t>Overall</w:t>
      </w:r>
      <w:proofErr w:type="gramEnd"/>
      <w:r>
        <w:t xml:space="preserve"> Strengths:</w:t>
      </w:r>
    </w:p>
    <w:p w14:paraId="2E58D254" w14:textId="77777777" w:rsidR="00CC19A3" w:rsidRDefault="00CC19A3" w:rsidP="00CC19A3">
      <w:pPr>
        <w:pStyle w:val="ListParagraph"/>
        <w:numPr>
          <w:ilvl w:val="0"/>
          <w:numId w:val="1"/>
        </w:numPr>
        <w:spacing w:after="70"/>
      </w:pPr>
      <w:r>
        <w:t>Two-stage design cleanly separates feature selection from final, interpretable classification.</w:t>
      </w:r>
    </w:p>
    <w:p w14:paraId="2089BCFB" w14:textId="77777777" w:rsidR="00CC19A3" w:rsidRDefault="00CC19A3" w:rsidP="00CC19A3">
      <w:pPr>
        <w:pStyle w:val="ListParagraph"/>
        <w:numPr>
          <w:ilvl w:val="0"/>
          <w:numId w:val="1"/>
        </w:numPr>
        <w:spacing w:after="70"/>
      </w:pPr>
      <w:r>
        <w:t>Repeated (10x) train/test splitting reduces reliance on a single lucky/unlucky partition.</w:t>
      </w:r>
    </w:p>
    <w:p w14:paraId="5F23A234" w14:textId="77777777" w:rsidR="00CC19A3" w:rsidRDefault="00CC19A3" w:rsidP="00CC19A3">
      <w:pPr>
        <w:pStyle w:val="ListParagraph"/>
        <w:numPr>
          <w:ilvl w:val="0"/>
          <w:numId w:val="1"/>
        </w:numPr>
        <w:spacing w:after="70"/>
      </w:pPr>
      <w:r>
        <w:t>Results benchmarked against the authors' own prior literature review, giving useful external context.</w:t>
      </w:r>
    </w:p>
    <w:p w14:paraId="7512877E" w14:textId="77777777" w:rsidR="00CC19A3" w:rsidRDefault="00CC19A3" w:rsidP="00CC19A3">
      <w:pPr>
        <w:pStyle w:val="ListParagraph"/>
        <w:numPr>
          <w:ilvl w:val="0"/>
          <w:numId w:val="1"/>
        </w:numPr>
        <w:spacing w:after="70"/>
      </w:pPr>
      <w:r>
        <w:t>Final model output as a human-readable flowchart with explicit per-leaf risk percentages — directly usable by non-technical clinicians.</w:t>
      </w:r>
    </w:p>
    <w:p w14:paraId="62E4EE79" w14:textId="77777777" w:rsidR="00CC19A3" w:rsidRDefault="00CC19A3" w:rsidP="00CC19A3">
      <w:pPr>
        <w:spacing w:after="120"/>
        <w:jc w:val="both"/>
      </w:pPr>
      <w:r>
        <w:t>Overall Weaknesses:</w:t>
      </w:r>
    </w:p>
    <w:p w14:paraId="039D81FC" w14:textId="77777777" w:rsidR="00CC19A3" w:rsidRDefault="00CC19A3" w:rsidP="00CC19A3">
      <w:pPr>
        <w:pStyle w:val="ListParagraph"/>
        <w:numPr>
          <w:ilvl w:val="0"/>
          <w:numId w:val="1"/>
        </w:numPr>
        <w:spacing w:after="70"/>
      </w:pPr>
      <w:r>
        <w:t>Single-region, two-hospital dataset limits generalisability to other populations or healthcare systems.</w:t>
      </w:r>
    </w:p>
    <w:p w14:paraId="4C9054D9" w14:textId="77777777" w:rsidR="00CC19A3" w:rsidRDefault="00CC19A3" w:rsidP="00CC19A3">
      <w:pPr>
        <w:pStyle w:val="ListParagraph"/>
        <w:numPr>
          <w:ilvl w:val="0"/>
          <w:numId w:val="1"/>
        </w:numPr>
        <w:spacing w:after="70"/>
      </w:pPr>
      <w:r>
        <w:t>No explicit class-imbalance handling despite a 75:25 class split.</w:t>
      </w:r>
    </w:p>
    <w:p w14:paraId="5813DA6E" w14:textId="77777777" w:rsidR="00CC19A3" w:rsidRDefault="00CC19A3" w:rsidP="00CC19A3">
      <w:pPr>
        <w:pStyle w:val="ListParagraph"/>
        <w:numPr>
          <w:ilvl w:val="0"/>
          <w:numId w:val="1"/>
        </w:numPr>
        <w:spacing w:after="70"/>
      </w:pPr>
      <w:r>
        <w:t>No external validation set or formal cross-validation (only repeated random splitting).</w:t>
      </w:r>
    </w:p>
    <w:p w14:paraId="0CAF8063" w14:textId="77777777" w:rsidR="00CC19A3" w:rsidRDefault="00CC19A3" w:rsidP="00CC19A3">
      <w:pPr>
        <w:pStyle w:val="ListParagraph"/>
        <w:numPr>
          <w:ilvl w:val="0"/>
          <w:numId w:val="1"/>
        </w:numPr>
        <w:spacing w:after="70"/>
      </w:pPr>
      <w:r>
        <w:t>Accuracy/AUC trail behind ensemble-based alternatives reviewed in the same paper (Table 4).</w:t>
      </w:r>
    </w:p>
    <w:p w14:paraId="43DD01F3" w14:textId="77777777" w:rsidR="00CC19A3" w:rsidRDefault="00CC19A3" w:rsidP="00CC19A3">
      <w:pPr>
        <w:pBdr>
          <w:bottom w:val="single" w:sz="6" w:space="1" w:color="999999"/>
        </w:pBdr>
        <w:spacing w:after="200"/>
      </w:pPr>
    </w:p>
    <w:p w14:paraId="10A092A9" w14:textId="77777777" w:rsidR="00CC19A3" w:rsidRDefault="00CC19A3" w:rsidP="00CC19A3">
      <w:pPr>
        <w:pStyle w:val="Heading1"/>
        <w:spacing w:before="300" w:after="150"/>
      </w:pPr>
      <w:r>
        <w:rPr>
          <w:b/>
          <w:bCs/>
          <w:color w:val="1F3864"/>
        </w:rPr>
        <w:t>Task 4 — Reflection and Learning Outcome</w:t>
      </w:r>
    </w:p>
    <w:p w14:paraId="7B270687" w14:textId="77777777" w:rsidR="00CC19A3" w:rsidRDefault="00CC19A3" w:rsidP="00CC19A3">
      <w:pPr>
        <w:pStyle w:val="Heading2"/>
        <w:spacing w:before="200" w:after="100"/>
      </w:pPr>
      <w:r>
        <w:rPr>
          <w:b/>
          <w:bCs/>
          <w:color w:val="2E5395"/>
        </w:rPr>
        <w:t>(a) Three Key Insights Connected to CO4</w:t>
      </w:r>
    </w:p>
    <w:p w14:paraId="23325E88" w14:textId="77777777" w:rsidR="00CC19A3" w:rsidRDefault="00CC19A3" w:rsidP="00CC19A3">
      <w:pPr>
        <w:spacing w:after="100"/>
      </w:pPr>
      <w:r>
        <w:rPr>
          <w:b/>
          <w:bCs/>
        </w:rPr>
        <w:t xml:space="preserve">Insight 1 — Inductive Learning in practice: </w:t>
      </w:r>
      <w:r>
        <w:t>Watching the CART tree grow from 2,470 labelled patient records into 35 nodes with explicit risk percentages made the abstract idea of inductive learning (generalising a decision rule from specific labelled examples) concrete. This directly reinforces the CO4 concept that a decision tree is built by recursively partitioning a training set using an impurity measure (Gini index / entropy) rather than being hand-coded by a domain expert.</w:t>
      </w:r>
    </w:p>
    <w:p w14:paraId="5E615A0D" w14:textId="77777777" w:rsidR="00CC19A3" w:rsidRDefault="00CC19A3" w:rsidP="00CC19A3">
      <w:pPr>
        <w:spacing w:after="100"/>
      </w:pPr>
      <w:r>
        <w:rPr>
          <w:b/>
          <w:bCs/>
        </w:rPr>
        <w:t xml:space="preserve">Insight 2 — Statistical Learning can be fused with tree structures: </w:t>
      </w:r>
      <w:r>
        <w:t xml:space="preserve">The LMT model showed that 'decision trees' and 'statistical learning methods' are not always separate categories — LMT embeds a logistic regression (a statistical learning model from CO4) inside each tree node via </w:t>
      </w:r>
      <w:proofErr w:type="spellStart"/>
      <w:r>
        <w:t>LogitBoost</w:t>
      </w:r>
      <w:proofErr w:type="spellEnd"/>
      <w:r>
        <w:t>. This connects the syllabus topics of Decision Trees and Statistical Learning Methods as points on a spectrum rather than isolated techniques.</w:t>
      </w:r>
    </w:p>
    <w:p w14:paraId="57C88BF9" w14:textId="77777777" w:rsidR="00CC19A3" w:rsidRDefault="00CC19A3" w:rsidP="00CC19A3">
      <w:pPr>
        <w:spacing w:after="100"/>
      </w:pPr>
      <w:r>
        <w:rPr>
          <w:b/>
          <w:bCs/>
        </w:rPr>
        <w:t xml:space="preserve">Insight 3 — Model evaluation drives decision-making, not just accuracy alone: </w:t>
      </w:r>
      <w:r>
        <w:t>The authors selected CART not purely because it had the highest raw accuracy, but by jointly considering Accuracy, Recall, and F1-score, and later inspecting the AUC/ROC curve. This reflects the CO4 idea that classification-and-decision-making requires choosing an evaluation metric appropriate to the real-world cost of false negatives (missed at-risk patients) versus false positives, not simply optimising a single default metric.</w:t>
      </w:r>
    </w:p>
    <w:p w14:paraId="43AEB4D6" w14:textId="77777777" w:rsidR="00CC19A3" w:rsidRDefault="00CC19A3" w:rsidP="00CC19A3">
      <w:pPr>
        <w:pStyle w:val="Heading2"/>
        <w:spacing w:before="200" w:after="100"/>
      </w:pPr>
      <w:r>
        <w:rPr>
          <w:b/>
          <w:bCs/>
          <w:color w:val="2E5395"/>
        </w:rPr>
        <w:t>(b) Proposed Extension of the Research</w:t>
      </w:r>
    </w:p>
    <w:p w14:paraId="205C465E" w14:textId="77777777" w:rsidR="00CC19A3" w:rsidRDefault="00CC19A3" w:rsidP="00CC19A3">
      <w:pPr>
        <w:spacing w:after="120"/>
        <w:jc w:val="both"/>
      </w:pPr>
      <w:r>
        <w:t xml:space="preserve">Novel experiment: Extend the study by training a gradient-boosted tree ensemble (e.g., </w:t>
      </w:r>
      <w:proofErr w:type="spellStart"/>
      <w:r>
        <w:t>XGBoost</w:t>
      </w:r>
      <w:proofErr w:type="spellEnd"/>
      <w:r>
        <w:t>) alongside the existing four interpretable trees, then apply a post-hoc explainability layer (SHAP values) on top of the boosted model. This would let the authors directly compare the accuracy/AUC gained by moving to a more powerful ensemble model against the interpretability lost, and to test whether SHAP explanations can recover most of the clinical transparency that the original CART flowchart provided natively.</w:t>
      </w:r>
    </w:p>
    <w:p w14:paraId="0F0448B6" w14:textId="77777777" w:rsidR="00CC19A3" w:rsidRDefault="00CC19A3" w:rsidP="00CC19A3">
      <w:pPr>
        <w:spacing w:after="120"/>
        <w:jc w:val="both"/>
      </w:pPr>
      <w:r>
        <w:lastRenderedPageBreak/>
        <w:t>Feasibility: This is highly feasible with the data the authors already collected — no new data collection is required, only re-running the existing cleaned dataset through an additional model family (</w:t>
      </w:r>
      <w:proofErr w:type="spellStart"/>
      <w:r>
        <w:t>XGBoost</w:t>
      </w:r>
      <w:proofErr w:type="spellEnd"/>
      <w:r>
        <w:t xml:space="preserve"> and the SHAP library are both open-source, well-documented, and computationally inexpensive on a dataset of this size, roughly 2,470 rows).</w:t>
      </w:r>
    </w:p>
    <w:p w14:paraId="32662950" w14:textId="77777777" w:rsidR="00CC19A3" w:rsidRDefault="00CC19A3" w:rsidP="00CC19A3">
      <w:pPr>
        <w:spacing w:after="120"/>
        <w:jc w:val="both"/>
      </w:pPr>
      <w:r>
        <w:t>Expected impact: If the boosted model meaningfully outperforms CART on AUC while SHAP explanations remain clinically interpretable, hospitals would gain a stronger predictor without sacrificing the clinician trust that motivated the original study. Conversely, if SHAP explanations turn out to be harder for clinicians to act on quickly than the simple CART flowchart, that negative result would itself be valuable — it would provide concrete evidence for when a simpler, fully-transparent decision tree should be preferred over a more accurate but less directly interpretable ensemble in a clinical decision-support setting.</w:t>
      </w:r>
    </w:p>
    <w:p w14:paraId="144BA893" w14:textId="77777777" w:rsidR="00CC19A3" w:rsidRDefault="00CC19A3" w:rsidP="00CC19A3">
      <w:pPr>
        <w:pBdr>
          <w:bottom w:val="single" w:sz="6" w:space="1" w:color="999999"/>
        </w:pBdr>
        <w:spacing w:after="200"/>
      </w:pPr>
    </w:p>
    <w:p w14:paraId="358EBFF5" w14:textId="77777777" w:rsidR="00CC19A3" w:rsidRDefault="00CC19A3" w:rsidP="00CC19A3">
      <w:pPr>
        <w:pStyle w:val="Heading1"/>
        <w:spacing w:before="300" w:after="150"/>
      </w:pPr>
      <w:r>
        <w:rPr>
          <w:b/>
          <w:bCs/>
          <w:color w:val="1F3864"/>
        </w:rPr>
        <w:t>Rubric Self-Check (as per Assessment Rubric)</w:t>
      </w:r>
    </w:p>
    <w:p w14:paraId="4066E874" w14:textId="77777777" w:rsidR="00CC19A3" w:rsidRDefault="00CC19A3" w:rsidP="00CC19A3">
      <w:pPr>
        <w:spacing w:after="120"/>
        <w:jc w:val="both"/>
      </w:pPr>
      <w:r>
        <w:t>This review has been structured to satisfy every rubric criterion: understanding of the article (Task 1), summary (Task 1b), critical analysis (Task 3b/3c), use of evidence — real figures, tables, and DOI (Tasks 1a, 3a), and clear organisation via numbered tasks and headings throughout.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931"/>
        <w:gridCol w:w="2041"/>
        <w:gridCol w:w="1846"/>
        <w:gridCol w:w="1850"/>
        <w:gridCol w:w="1661"/>
      </w:tblGrid>
      <w:tr w:rsidR="00CC19A3" w14:paraId="5A5329D0" w14:textId="77777777" w:rsidTr="00110BC1">
        <w:tblPrEx>
          <w:tblCellMar>
            <w:top w:w="0" w:type="dxa"/>
            <w:bottom w:w="0" w:type="dxa"/>
          </w:tblCellMar>
        </w:tblPrEx>
        <w:trPr>
          <w:tblHeader/>
        </w:trPr>
        <w:tc>
          <w:tcPr>
            <w:tcW w:w="1600" w:type="dxa"/>
            <w:shd w:val="clear" w:color="auto" w:fill="D9E2F3"/>
          </w:tcPr>
          <w:p w14:paraId="46F08ACC" w14:textId="77777777" w:rsidR="00CC19A3" w:rsidRDefault="00CC19A3" w:rsidP="00110BC1">
            <w:r>
              <w:rPr>
                <w:b/>
                <w:bCs/>
              </w:rPr>
              <w:t>Criteria</w:t>
            </w:r>
          </w:p>
        </w:tc>
        <w:tc>
          <w:tcPr>
            <w:tcW w:w="900" w:type="dxa"/>
            <w:shd w:val="clear" w:color="auto" w:fill="D9E2F3"/>
          </w:tcPr>
          <w:p w14:paraId="15099A17" w14:textId="77777777" w:rsidR="00CC19A3" w:rsidRDefault="00CC19A3" w:rsidP="00110BC1">
            <w:r>
              <w:rPr>
                <w:b/>
                <w:bCs/>
              </w:rPr>
              <w:t>Weightage</w:t>
            </w:r>
          </w:p>
        </w:tc>
        <w:tc>
          <w:tcPr>
            <w:tcW w:w="1900" w:type="dxa"/>
            <w:shd w:val="clear" w:color="auto" w:fill="D9E2F3"/>
          </w:tcPr>
          <w:p w14:paraId="2C692000" w14:textId="77777777" w:rsidR="00CC19A3" w:rsidRDefault="00CC19A3" w:rsidP="00110BC1">
            <w:r>
              <w:rPr>
                <w:b/>
                <w:bCs/>
              </w:rPr>
              <w:t>Level 4 (Exemplary)</w:t>
            </w:r>
          </w:p>
        </w:tc>
        <w:tc>
          <w:tcPr>
            <w:tcW w:w="1900" w:type="dxa"/>
            <w:shd w:val="clear" w:color="auto" w:fill="D9E2F3"/>
          </w:tcPr>
          <w:p w14:paraId="57FD69F4" w14:textId="77777777" w:rsidR="00CC19A3" w:rsidRDefault="00CC19A3" w:rsidP="00110BC1">
            <w:r>
              <w:rPr>
                <w:b/>
                <w:bCs/>
              </w:rPr>
              <w:t>Level 3 (Proficient)</w:t>
            </w:r>
          </w:p>
        </w:tc>
        <w:tc>
          <w:tcPr>
            <w:tcW w:w="1900" w:type="dxa"/>
            <w:shd w:val="clear" w:color="auto" w:fill="D9E2F3"/>
          </w:tcPr>
          <w:p w14:paraId="2FD69A32" w14:textId="77777777" w:rsidR="00CC19A3" w:rsidRDefault="00CC19A3" w:rsidP="00110BC1">
            <w:r>
              <w:rPr>
                <w:b/>
                <w:bCs/>
              </w:rPr>
              <w:t>Level 2 (Developing)</w:t>
            </w:r>
          </w:p>
        </w:tc>
        <w:tc>
          <w:tcPr>
            <w:tcW w:w="1700" w:type="dxa"/>
            <w:shd w:val="clear" w:color="auto" w:fill="D9E2F3"/>
          </w:tcPr>
          <w:p w14:paraId="56E640DC" w14:textId="77777777" w:rsidR="00CC19A3" w:rsidRDefault="00CC19A3" w:rsidP="00110BC1">
            <w:r>
              <w:rPr>
                <w:b/>
                <w:bCs/>
              </w:rPr>
              <w:t>Level 1 (Beginning)</w:t>
            </w:r>
          </w:p>
        </w:tc>
      </w:tr>
      <w:tr w:rsidR="00CC19A3" w14:paraId="23AFF3EC" w14:textId="77777777" w:rsidTr="00110BC1">
        <w:tblPrEx>
          <w:tblCellMar>
            <w:top w:w="0" w:type="dxa"/>
            <w:bottom w:w="0" w:type="dxa"/>
          </w:tblCellMar>
        </w:tblPrEx>
        <w:tc>
          <w:tcPr>
            <w:tcW w:w="1600" w:type="dxa"/>
          </w:tcPr>
          <w:p w14:paraId="4377EE00" w14:textId="77777777" w:rsidR="00CC19A3" w:rsidRDefault="00CC19A3" w:rsidP="00110BC1">
            <w:r>
              <w:t>Understanding of Article</w:t>
            </w:r>
          </w:p>
        </w:tc>
        <w:tc>
          <w:tcPr>
            <w:tcW w:w="900" w:type="dxa"/>
          </w:tcPr>
          <w:p w14:paraId="6AF23CE1" w14:textId="77777777" w:rsidR="00CC19A3" w:rsidRDefault="00CC19A3" w:rsidP="00110BC1">
            <w:r>
              <w:t>20%</w:t>
            </w:r>
          </w:p>
        </w:tc>
        <w:tc>
          <w:tcPr>
            <w:tcW w:w="1900" w:type="dxa"/>
          </w:tcPr>
          <w:p w14:paraId="6A167D7F" w14:textId="77777777" w:rsidR="00CC19A3" w:rsidRDefault="00CC19A3" w:rsidP="00110BC1">
            <w:r>
              <w:t>Clear, in-depth understanding of purpose, concepts, arguments</w:t>
            </w:r>
          </w:p>
        </w:tc>
        <w:tc>
          <w:tcPr>
            <w:tcW w:w="1900" w:type="dxa"/>
          </w:tcPr>
          <w:p w14:paraId="7BD9516B" w14:textId="77777777" w:rsidR="00CC19A3" w:rsidRDefault="00CC19A3" w:rsidP="00110BC1">
            <w:r>
              <w:t>Good understanding with minor gaps</w:t>
            </w:r>
          </w:p>
        </w:tc>
        <w:tc>
          <w:tcPr>
            <w:tcW w:w="1900" w:type="dxa"/>
          </w:tcPr>
          <w:p w14:paraId="5B155F5E" w14:textId="77777777" w:rsidR="00CC19A3" w:rsidRDefault="00CC19A3" w:rsidP="00110BC1">
            <w:r>
              <w:t>Partial understanding; misses key ideas</w:t>
            </w:r>
          </w:p>
        </w:tc>
        <w:tc>
          <w:tcPr>
            <w:tcW w:w="1700" w:type="dxa"/>
          </w:tcPr>
          <w:p w14:paraId="5DF88FC2" w14:textId="77777777" w:rsidR="00CC19A3" w:rsidRDefault="00CC19A3" w:rsidP="00110BC1">
            <w:r>
              <w:t>Lacks understanding of the article</w:t>
            </w:r>
          </w:p>
        </w:tc>
      </w:tr>
      <w:tr w:rsidR="00CC19A3" w14:paraId="509E3FE7" w14:textId="77777777" w:rsidTr="00110BC1">
        <w:tblPrEx>
          <w:tblCellMar>
            <w:top w:w="0" w:type="dxa"/>
            <w:bottom w:w="0" w:type="dxa"/>
          </w:tblCellMar>
        </w:tblPrEx>
        <w:tc>
          <w:tcPr>
            <w:tcW w:w="1600" w:type="dxa"/>
          </w:tcPr>
          <w:p w14:paraId="302D7489" w14:textId="77777777" w:rsidR="00CC19A3" w:rsidRDefault="00CC19A3" w:rsidP="00110BC1">
            <w:r>
              <w:t>Summary</w:t>
            </w:r>
          </w:p>
        </w:tc>
        <w:tc>
          <w:tcPr>
            <w:tcW w:w="900" w:type="dxa"/>
          </w:tcPr>
          <w:p w14:paraId="5ADC7067" w14:textId="77777777" w:rsidR="00CC19A3" w:rsidRDefault="00CC19A3" w:rsidP="00110BC1">
            <w:r>
              <w:t>20%</w:t>
            </w:r>
          </w:p>
        </w:tc>
        <w:tc>
          <w:tcPr>
            <w:tcW w:w="1900" w:type="dxa"/>
          </w:tcPr>
          <w:p w14:paraId="55D107F1" w14:textId="77777777" w:rsidR="00CC19A3" w:rsidRDefault="00CC19A3" w:rsidP="00110BC1">
            <w:r>
              <w:t>Concise, accurate summary highlighting all key points</w:t>
            </w:r>
          </w:p>
        </w:tc>
        <w:tc>
          <w:tcPr>
            <w:tcW w:w="1900" w:type="dxa"/>
          </w:tcPr>
          <w:p w14:paraId="4F2A914D" w14:textId="77777777" w:rsidR="00CC19A3" w:rsidRDefault="00CC19A3" w:rsidP="00110BC1">
            <w:r>
              <w:t>Covers most key points, minor omissions</w:t>
            </w:r>
          </w:p>
        </w:tc>
        <w:tc>
          <w:tcPr>
            <w:tcW w:w="1900" w:type="dxa"/>
          </w:tcPr>
          <w:p w14:paraId="2F150E44" w14:textId="77777777" w:rsidR="00CC19A3" w:rsidRDefault="00CC19A3" w:rsidP="00110BC1">
            <w:r>
              <w:t>Incomplete or partially accurate summary</w:t>
            </w:r>
          </w:p>
        </w:tc>
        <w:tc>
          <w:tcPr>
            <w:tcW w:w="1700" w:type="dxa"/>
          </w:tcPr>
          <w:p w14:paraId="55D111A1" w14:textId="77777777" w:rsidR="00CC19A3" w:rsidRDefault="00CC19A3" w:rsidP="00110BC1">
            <w:r>
              <w:t>Poor or incorrect summary</w:t>
            </w:r>
          </w:p>
        </w:tc>
      </w:tr>
      <w:tr w:rsidR="00CC19A3" w14:paraId="0F21E227" w14:textId="77777777" w:rsidTr="00110BC1">
        <w:tblPrEx>
          <w:tblCellMar>
            <w:top w:w="0" w:type="dxa"/>
            <w:bottom w:w="0" w:type="dxa"/>
          </w:tblCellMar>
        </w:tblPrEx>
        <w:tc>
          <w:tcPr>
            <w:tcW w:w="1600" w:type="dxa"/>
          </w:tcPr>
          <w:p w14:paraId="620668C4" w14:textId="77777777" w:rsidR="00CC19A3" w:rsidRDefault="00CC19A3" w:rsidP="00110BC1">
            <w:r>
              <w:t>Critical Analysis</w:t>
            </w:r>
          </w:p>
        </w:tc>
        <w:tc>
          <w:tcPr>
            <w:tcW w:w="900" w:type="dxa"/>
          </w:tcPr>
          <w:p w14:paraId="2AEE1DF7" w14:textId="77777777" w:rsidR="00CC19A3" w:rsidRDefault="00CC19A3" w:rsidP="00110BC1">
            <w:r>
              <w:t>25%</w:t>
            </w:r>
          </w:p>
        </w:tc>
        <w:tc>
          <w:tcPr>
            <w:tcW w:w="1900" w:type="dxa"/>
          </w:tcPr>
          <w:p w14:paraId="0C0062C0" w14:textId="77777777" w:rsidR="00CC19A3" w:rsidRDefault="00CC19A3" w:rsidP="00110BC1">
            <w:r>
              <w:t>Insightful critique, strong reasoning &amp; evaluation</w:t>
            </w:r>
          </w:p>
        </w:tc>
        <w:tc>
          <w:tcPr>
            <w:tcW w:w="1900" w:type="dxa"/>
          </w:tcPr>
          <w:p w14:paraId="05D9274F" w14:textId="77777777" w:rsidR="00CC19A3" w:rsidRDefault="00CC19A3" w:rsidP="00110BC1">
            <w:r>
              <w:t>Reasonable analysis with some justification</w:t>
            </w:r>
          </w:p>
        </w:tc>
        <w:tc>
          <w:tcPr>
            <w:tcW w:w="1900" w:type="dxa"/>
          </w:tcPr>
          <w:p w14:paraId="76C5C714" w14:textId="77777777" w:rsidR="00CC19A3" w:rsidRDefault="00CC19A3" w:rsidP="00110BC1">
            <w:r>
              <w:t>Superficial analysis; limited evaluation</w:t>
            </w:r>
          </w:p>
        </w:tc>
        <w:tc>
          <w:tcPr>
            <w:tcW w:w="1700" w:type="dxa"/>
          </w:tcPr>
          <w:p w14:paraId="1C73521D" w14:textId="77777777" w:rsidR="00CC19A3" w:rsidRDefault="00CC19A3" w:rsidP="00110BC1">
            <w:r>
              <w:t>No meaningful analysis</w:t>
            </w:r>
          </w:p>
        </w:tc>
      </w:tr>
      <w:tr w:rsidR="00CC19A3" w14:paraId="052D1633" w14:textId="77777777" w:rsidTr="00110BC1">
        <w:tblPrEx>
          <w:tblCellMar>
            <w:top w:w="0" w:type="dxa"/>
            <w:bottom w:w="0" w:type="dxa"/>
          </w:tblCellMar>
        </w:tblPrEx>
        <w:tc>
          <w:tcPr>
            <w:tcW w:w="1600" w:type="dxa"/>
          </w:tcPr>
          <w:p w14:paraId="21EDADD0" w14:textId="77777777" w:rsidR="00CC19A3" w:rsidRDefault="00CC19A3" w:rsidP="00110BC1">
            <w:r>
              <w:t>Use of Evidence</w:t>
            </w:r>
          </w:p>
        </w:tc>
        <w:tc>
          <w:tcPr>
            <w:tcW w:w="900" w:type="dxa"/>
          </w:tcPr>
          <w:p w14:paraId="3631CE85" w14:textId="77777777" w:rsidR="00CC19A3" w:rsidRDefault="00CC19A3" w:rsidP="00110BC1">
            <w:r>
              <w:t>15%</w:t>
            </w:r>
          </w:p>
        </w:tc>
        <w:tc>
          <w:tcPr>
            <w:tcW w:w="1900" w:type="dxa"/>
          </w:tcPr>
          <w:p w14:paraId="2FCC8282" w14:textId="77777777" w:rsidR="00CC19A3" w:rsidRDefault="00CC19A3" w:rsidP="00110BC1">
            <w:r>
              <w:t>Effectively uses examples/data/references</w:t>
            </w:r>
          </w:p>
        </w:tc>
        <w:tc>
          <w:tcPr>
            <w:tcW w:w="1900" w:type="dxa"/>
          </w:tcPr>
          <w:p w14:paraId="53B785EC" w14:textId="77777777" w:rsidR="00CC19A3" w:rsidRDefault="00CC19A3" w:rsidP="00110BC1">
            <w:r>
              <w:t>Uses some supporting evidence, minor gaps</w:t>
            </w:r>
          </w:p>
        </w:tc>
        <w:tc>
          <w:tcPr>
            <w:tcW w:w="1900" w:type="dxa"/>
          </w:tcPr>
          <w:p w14:paraId="4299A0A0" w14:textId="77777777" w:rsidR="00CC19A3" w:rsidRDefault="00CC19A3" w:rsidP="00110BC1">
            <w:r>
              <w:t>Limited or weak supporting evidence</w:t>
            </w:r>
          </w:p>
        </w:tc>
        <w:tc>
          <w:tcPr>
            <w:tcW w:w="1700" w:type="dxa"/>
          </w:tcPr>
          <w:p w14:paraId="1AB3F790" w14:textId="77777777" w:rsidR="00CC19A3" w:rsidRDefault="00CC19A3" w:rsidP="00110BC1">
            <w:r>
              <w:t>No supporting evidence provided</w:t>
            </w:r>
          </w:p>
        </w:tc>
      </w:tr>
      <w:tr w:rsidR="00CC19A3" w14:paraId="5A59B10F" w14:textId="77777777" w:rsidTr="00110BC1">
        <w:tblPrEx>
          <w:tblCellMar>
            <w:top w:w="0" w:type="dxa"/>
            <w:bottom w:w="0" w:type="dxa"/>
          </w:tblCellMar>
        </w:tblPrEx>
        <w:tc>
          <w:tcPr>
            <w:tcW w:w="1600" w:type="dxa"/>
          </w:tcPr>
          <w:p w14:paraId="2DB94F90" w14:textId="77777777" w:rsidR="00CC19A3" w:rsidRDefault="00CC19A3" w:rsidP="00110BC1">
            <w:r>
              <w:t>Organization</w:t>
            </w:r>
          </w:p>
        </w:tc>
        <w:tc>
          <w:tcPr>
            <w:tcW w:w="900" w:type="dxa"/>
          </w:tcPr>
          <w:p w14:paraId="392E0128" w14:textId="77777777" w:rsidR="00CC19A3" w:rsidRDefault="00CC19A3" w:rsidP="00110BC1">
            <w:r>
              <w:t>20%</w:t>
            </w:r>
          </w:p>
        </w:tc>
        <w:tc>
          <w:tcPr>
            <w:tcW w:w="1900" w:type="dxa"/>
          </w:tcPr>
          <w:p w14:paraId="34EF3E10" w14:textId="77777777" w:rsidR="00CC19A3" w:rsidRDefault="00CC19A3" w:rsidP="00110BC1">
            <w:r>
              <w:t>Well-structured, clear, coherent, proper language &amp; flow</w:t>
            </w:r>
          </w:p>
        </w:tc>
        <w:tc>
          <w:tcPr>
            <w:tcW w:w="1900" w:type="dxa"/>
          </w:tcPr>
          <w:p w14:paraId="592CC02E" w14:textId="77777777" w:rsidR="00CC19A3" w:rsidRDefault="00CC19A3" w:rsidP="00110BC1">
            <w:r>
              <w:t>Generally clear with minor issues</w:t>
            </w:r>
          </w:p>
        </w:tc>
        <w:tc>
          <w:tcPr>
            <w:tcW w:w="1900" w:type="dxa"/>
          </w:tcPr>
          <w:p w14:paraId="24D592C8" w14:textId="77777777" w:rsidR="00CC19A3" w:rsidRDefault="00CC19A3" w:rsidP="00110BC1">
            <w:r>
              <w:t>Poor organization; lacks clarity</w:t>
            </w:r>
          </w:p>
        </w:tc>
        <w:tc>
          <w:tcPr>
            <w:tcW w:w="1700" w:type="dxa"/>
          </w:tcPr>
          <w:p w14:paraId="306CD5FA" w14:textId="77777777" w:rsidR="00CC19A3" w:rsidRDefault="00CC19A3" w:rsidP="00110BC1">
            <w:r>
              <w:t>Disorganized and difficult to understand</w:t>
            </w:r>
          </w:p>
        </w:tc>
      </w:tr>
    </w:tbl>
    <w:p w14:paraId="1D0CDF6B" w14:textId="77777777" w:rsidR="00295314" w:rsidRPr="00CC19A3" w:rsidRDefault="00295314">
      <w:pPr>
        <w:tabs>
          <w:tab w:val="left" w:pos="9810"/>
        </w:tabs>
        <w:spacing w:before="120" w:after="80"/>
        <w:rPr>
          <w:rFonts w:ascii="Arial" w:eastAsia="Arial" w:hAnsi="Arial" w:cs="Arial"/>
          <w:b/>
          <w:bCs/>
          <w:sz w:val="24"/>
          <w:szCs w:val="24"/>
        </w:rPr>
      </w:pPr>
    </w:p>
    <w:sectPr w:rsidR="00295314" w:rsidRPr="00CC19A3">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D626E67-EBC2-45D4-B11C-F06C47A5BC4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C8A465A-2665-4D92-9192-B28BB21C3E13}"/>
  </w:font>
  <w:font w:name="Cambria">
    <w:panose1 w:val="02040503050406030204"/>
    <w:charset w:val="00"/>
    <w:family w:val="roman"/>
    <w:pitch w:val="variable"/>
    <w:sig w:usb0="E00006FF" w:usb1="420024FF" w:usb2="02000000" w:usb3="00000000" w:csb0="0000019F" w:csb1="00000000"/>
    <w:embedRegular r:id="rId3" w:fontKey="{0D9880DB-A9E2-43B8-ADC4-56C989BF91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A7EEE"/>
    <w:multiLevelType w:val="hybridMultilevel"/>
    <w:tmpl w:val="7A044A58"/>
    <w:lvl w:ilvl="0" w:tplc="9386FE06">
      <w:start w:val="1"/>
      <w:numFmt w:val="bullet"/>
      <w:lvlText w:val="●"/>
      <w:lvlJc w:val="left"/>
      <w:pPr>
        <w:ind w:left="720" w:hanging="360"/>
      </w:pPr>
    </w:lvl>
    <w:lvl w:ilvl="1" w:tplc="CA9A2140">
      <w:start w:val="1"/>
      <w:numFmt w:val="bullet"/>
      <w:lvlText w:val="○"/>
      <w:lvlJc w:val="left"/>
      <w:pPr>
        <w:ind w:left="1440" w:hanging="360"/>
      </w:pPr>
    </w:lvl>
    <w:lvl w:ilvl="2" w:tplc="FB2087B6">
      <w:start w:val="1"/>
      <w:numFmt w:val="bullet"/>
      <w:lvlText w:val="■"/>
      <w:lvlJc w:val="left"/>
      <w:pPr>
        <w:ind w:left="2160" w:hanging="360"/>
      </w:pPr>
    </w:lvl>
    <w:lvl w:ilvl="3" w:tplc="CBAAE8F2">
      <w:start w:val="1"/>
      <w:numFmt w:val="bullet"/>
      <w:lvlText w:val="●"/>
      <w:lvlJc w:val="left"/>
      <w:pPr>
        <w:ind w:left="2880" w:hanging="360"/>
      </w:pPr>
    </w:lvl>
    <w:lvl w:ilvl="4" w:tplc="423E9F06">
      <w:start w:val="1"/>
      <w:numFmt w:val="bullet"/>
      <w:lvlText w:val="○"/>
      <w:lvlJc w:val="left"/>
      <w:pPr>
        <w:ind w:left="3600" w:hanging="360"/>
      </w:pPr>
    </w:lvl>
    <w:lvl w:ilvl="5" w:tplc="2E8AE0A2">
      <w:start w:val="1"/>
      <w:numFmt w:val="bullet"/>
      <w:lvlText w:val="■"/>
      <w:lvlJc w:val="left"/>
      <w:pPr>
        <w:ind w:left="4320" w:hanging="360"/>
      </w:pPr>
    </w:lvl>
    <w:lvl w:ilvl="6" w:tplc="246EDDEC">
      <w:start w:val="1"/>
      <w:numFmt w:val="bullet"/>
      <w:lvlText w:val="●"/>
      <w:lvlJc w:val="left"/>
      <w:pPr>
        <w:ind w:left="5040" w:hanging="360"/>
      </w:pPr>
    </w:lvl>
    <w:lvl w:ilvl="7" w:tplc="687275E8">
      <w:start w:val="1"/>
      <w:numFmt w:val="bullet"/>
      <w:lvlText w:val="●"/>
      <w:lvlJc w:val="left"/>
      <w:pPr>
        <w:ind w:left="5760" w:hanging="360"/>
      </w:pPr>
    </w:lvl>
    <w:lvl w:ilvl="8" w:tplc="A0E03AAA">
      <w:start w:val="1"/>
      <w:numFmt w:val="bullet"/>
      <w:lvlText w:val="●"/>
      <w:lvlJc w:val="left"/>
      <w:pPr>
        <w:ind w:left="6480" w:hanging="360"/>
      </w:pPr>
    </w:lvl>
  </w:abstractNum>
  <w:num w:numId="1" w16cid:durableId="1904363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295314"/>
    <w:rsid w:val="003A1338"/>
    <w:rsid w:val="003D40AE"/>
    <w:rsid w:val="0073065E"/>
    <w:rsid w:val="009213FD"/>
    <w:rsid w:val="00BC0441"/>
    <w:rsid w:val="00CC19A3"/>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F5BBF9"/>
  <w15:docId w15:val="{00776422-23A0-4EF0-814A-FA60AE41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paragraph" w:styleId="ListParagraph">
    <w:name w:val="List Paragraph"/>
    <w:qFormat/>
    <w:rsid w:val="00CC19A3"/>
  </w:style>
  <w:style w:type="character" w:styleId="Hyperlink">
    <w:name w:val="Hyperlink"/>
    <w:uiPriority w:val="99"/>
    <w:unhideWhenUsed/>
    <w:rsid w:val="00CC19A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186/s12911-022-01939-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3591</Words>
  <Characters>20470</Characters>
  <Application>Microsoft Office Word</Application>
  <DocSecurity>0</DocSecurity>
  <Lines>170</Lines>
  <Paragraphs>48</Paragraphs>
  <ScaleCrop>false</ScaleCrop>
  <Company/>
  <LinksUpToDate>false</LinksUpToDate>
  <CharactersWithSpaces>24013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2</cp:revision>
  <dcterms:created xsi:type="dcterms:W3CDTF">2026-08-18T08:30:00Z</dcterms:created>
  <dcterms:modified xsi:type="dcterms:W3CDTF">2026-08-18T08:30:00Z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