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065A82"/>
          <w:sz w:val="16"/>
          <w:szCs w:val="16"/>
        </w:rPr>
        <w:t xml:space="preserve">SESSION — ACTIVITY (15-20 MIN) • STUDENT HANDOUT • SLOT C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B2430"/>
          <w:sz w:val="34"/>
          <w:szCs w:val="34"/>
        </w:rPr>
        <w:t xml:space="preserve">Visualization Matching Game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R.No: </w:t>
      </w:r>
      <w:r>
        <w:rPr>
          <w:rFonts w:ascii="Calibri" w:cs="Calibri" w:eastAsia="Calibri" w:hAnsi="Calibri"/>
          <w:sz w:val="20"/>
          <w:szCs w:val="20"/>
        </w:rPr>
        <w:t xml:space="preserve">1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Reg. No: </w:t>
      </w:r>
      <w:r>
        <w:rPr>
          <w:rFonts w:ascii="Calibri" w:cs="Calibri" w:eastAsia="Calibri" w:hAnsi="Calibri"/>
          <w:sz w:val="20"/>
          <w:szCs w:val="20"/>
        </w:rPr>
        <w:t xml:space="preserve">192524157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Name: </w:t>
      </w:r>
      <w:r>
        <w:rPr>
          <w:rFonts w:ascii="Calibri" w:cs="Calibri" w:eastAsia="Calibri" w:hAnsi="Calibri"/>
          <w:sz w:val="20"/>
          <w:szCs w:val="20"/>
        </w:rPr>
        <w:t xml:space="preserve">A Lokesh Kumar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A6B75"/>
          <w:sz w:val="19"/>
          <w:szCs w:val="19"/>
        </w:rPr>
        <w:t xml:space="preserve">Each chart on the left (A-J) matches exactly one description on the right (1-10). Write the matching number next to each letter's blank.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5400"/>
      </w:tblGrid>
      <w:tr>
        <w:trPr>
          <w:cantSplit/>
          <w:trHeight w:val="13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65A82"/>
                <w:sz w:val="24"/>
                <w:szCs w:val="24"/>
              </w:rPr>
              <w:t xml:space="preserve">A.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4"/>
            </w:tcBorders>
            <w:tcMar>
              <w:top w:type="dxa" w:w="60"/>
              <w:left w:type="dxa" w:w="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71525"/>
                  <wp:effectExtent t="0" r="0" b="0" l="0"/>
                  <wp:docPr id="1" name="Chart A" descr="Chart A" title="Chart 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tcBorders>
              <w:top w:val="none" w:color="FFFFFF" w:sz="0"/>
              <w:left w:val="single" w:color="DDDDDD" w:sz="4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24"/>
                <w:szCs w:val="24"/>
              </w:rPr>
              <w:t xml:space="preserve">1.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C00000"/>
                <w:sz w:val="26"/>
                <w:szCs w:val="26"/>
                <w:u w:val="single"/>
              </w:rPr>
              <w:t xml:space="preserve">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Shows how a cumulative total changes over time</w:t>
            </w:r>
          </w:p>
        </w:tc>
      </w:tr>
      <w:tr>
        <w:trPr>
          <w:cantSplit/>
          <w:trHeight w:val="1300" w:hRule="atLeast"/>
        </w:trPr>
        <w:tc>
          <w:tcPr>
            <w:tcW w:type="dxa" w:w="900"/>
            <w:tcBorders>
              <w:top w:val="single" w:color="DDDDDD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65A82"/>
                <w:sz w:val="24"/>
                <w:szCs w:val="24"/>
              </w:rPr>
              <w:t xml:space="preserve">B.</w:t>
            </w:r>
          </w:p>
        </w:tc>
        <w:tc>
          <w:tcPr>
            <w:tcW w:type="dxa" w:w="4500"/>
            <w:tcBorders>
              <w:top w:val="single" w:color="DDDDDD" w:sz="4"/>
              <w:left w:val="none" w:color="FFFFFF" w:sz="0"/>
              <w:bottom w:val="none" w:color="FFFFFF" w:sz="0"/>
              <w:right w:val="single" w:color="DDDDDD" w:sz="4"/>
            </w:tcBorders>
            <w:tcMar>
              <w:top w:type="dxa" w:w="60"/>
              <w:left w:type="dxa" w:w="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71525"/>
                  <wp:effectExtent t="0" r="0" b="0" l="0"/>
                  <wp:docPr id="1" name="Chart B" descr="Chart B" title="Chart 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24"/>
                <w:szCs w:val="24"/>
              </w:rPr>
              <w:t xml:space="preserve">2.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C00000"/>
                <w:sz w:val="26"/>
                <w:szCs w:val="26"/>
                <w:u w:val="single"/>
              </w:rPr>
              <w:t xml:space="preserve">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Shows part-to-whole composition across categories</w:t>
            </w:r>
          </w:p>
        </w:tc>
      </w:tr>
      <w:tr>
        <w:trPr>
          <w:cantSplit/>
          <w:trHeight w:val="1300" w:hRule="atLeast"/>
        </w:trPr>
        <w:tc>
          <w:tcPr>
            <w:tcW w:type="dxa" w:w="900"/>
            <w:tcBorders>
              <w:top w:val="single" w:color="DDDDDD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65A82"/>
                <w:sz w:val="24"/>
                <w:szCs w:val="24"/>
              </w:rPr>
              <w:t xml:space="preserve">C.</w:t>
            </w:r>
          </w:p>
        </w:tc>
        <w:tc>
          <w:tcPr>
            <w:tcW w:type="dxa" w:w="4500"/>
            <w:tcBorders>
              <w:top w:val="single" w:color="DDDDDD" w:sz="4"/>
              <w:left w:val="none" w:color="FFFFFF" w:sz="0"/>
              <w:bottom w:val="none" w:color="FFFFFF" w:sz="0"/>
              <w:right w:val="single" w:color="DDDDDD" w:sz="4"/>
            </w:tcBorders>
            <w:tcMar>
              <w:top w:type="dxa" w:w="60"/>
              <w:left w:type="dxa" w:w="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71525"/>
                  <wp:effectExtent t="0" r="0" b="0" l="0"/>
                  <wp:docPr id="1" name="Chart C" descr="Chart C" title="Chart 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24"/>
                <w:szCs w:val="24"/>
              </w:rPr>
              <w:t xml:space="preserve">3.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C00000"/>
                <w:sz w:val="26"/>
                <w:szCs w:val="26"/>
                <w:u w:val="single"/>
              </w:rPr>
              <w:t xml:space="preserve">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Shows how a value changes over time</w:t>
            </w:r>
          </w:p>
        </w:tc>
      </w:tr>
      <w:tr>
        <w:trPr>
          <w:cantSplit/>
          <w:trHeight w:val="1300" w:hRule="atLeast"/>
        </w:trPr>
        <w:tc>
          <w:tcPr>
            <w:tcW w:type="dxa" w:w="900"/>
            <w:tcBorders>
              <w:top w:val="single" w:color="DDDDDD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65A82"/>
                <w:sz w:val="24"/>
                <w:szCs w:val="24"/>
              </w:rPr>
              <w:t xml:space="preserve">D.</w:t>
            </w:r>
          </w:p>
        </w:tc>
        <w:tc>
          <w:tcPr>
            <w:tcW w:type="dxa" w:w="4500"/>
            <w:tcBorders>
              <w:top w:val="single" w:color="DDDDDD" w:sz="4"/>
              <w:left w:val="none" w:color="FFFFFF" w:sz="0"/>
              <w:bottom w:val="none" w:color="FFFFFF" w:sz="0"/>
              <w:right w:val="single" w:color="DDDDDD" w:sz="4"/>
            </w:tcBorders>
            <w:tcMar>
              <w:top w:type="dxa" w:w="60"/>
              <w:left w:type="dxa" w:w="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71525"/>
                  <wp:effectExtent t="0" r="0" b="0" l="0"/>
                  <wp:docPr id="1" name="Chart D" descr="Chart D" title="Chart 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24"/>
                <w:szCs w:val="24"/>
              </w:rPr>
              <w:t xml:space="preserve">4.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C00000"/>
                <w:sz w:val="26"/>
                <w:szCs w:val="26"/>
                <w:u w:val="single"/>
              </w:rPr>
              <w:t xml:space="preserve">10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Shows magnitude across two categories using color intensity</w:t>
            </w:r>
          </w:p>
        </w:tc>
      </w:tr>
      <w:tr>
        <w:trPr>
          <w:cantSplit/>
          <w:trHeight w:val="1300" w:hRule="atLeast"/>
        </w:trPr>
        <w:tc>
          <w:tcPr>
            <w:tcW w:type="dxa" w:w="900"/>
            <w:tcBorders>
              <w:top w:val="single" w:color="DDDDDD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65A82"/>
                <w:sz w:val="24"/>
                <w:szCs w:val="24"/>
              </w:rPr>
              <w:t xml:space="preserve">E.</w:t>
            </w:r>
          </w:p>
        </w:tc>
        <w:tc>
          <w:tcPr>
            <w:tcW w:type="dxa" w:w="4500"/>
            <w:tcBorders>
              <w:top w:val="single" w:color="DDDDDD" w:sz="4"/>
              <w:left w:val="none" w:color="FFFFFF" w:sz="0"/>
              <w:bottom w:val="none" w:color="FFFFFF" w:sz="0"/>
              <w:right w:val="single" w:color="DDDDDD" w:sz="4"/>
            </w:tcBorders>
            <w:tcMar>
              <w:top w:type="dxa" w:w="60"/>
              <w:left w:type="dxa" w:w="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71525"/>
                  <wp:effectExtent t="0" r="0" b="0" l="0"/>
                  <wp:docPr id="1" name="Chart E" descr="Chart E" title="Chart 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24"/>
                <w:szCs w:val="24"/>
              </w:rPr>
              <w:t xml:space="preserve">5.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C00000"/>
                <w:sz w:val="26"/>
                <w:szCs w:val="26"/>
                <w:u w:val="single"/>
              </w:rPr>
              <w:t xml:space="preserve">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Shows the relationship between two continuous variables</w:t>
            </w:r>
          </w:p>
        </w:tc>
      </w:tr>
      <w:tr>
        <w:trPr>
          <w:cantSplit/>
          <w:trHeight w:val="1300" w:hRule="atLeast"/>
        </w:trPr>
        <w:tc>
          <w:tcPr>
            <w:tcW w:type="dxa" w:w="900"/>
            <w:tcBorders>
              <w:top w:val="single" w:color="DDDDDD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65A82"/>
                <w:sz w:val="24"/>
                <w:szCs w:val="24"/>
              </w:rPr>
              <w:t xml:space="preserve">F.</w:t>
            </w:r>
          </w:p>
        </w:tc>
        <w:tc>
          <w:tcPr>
            <w:tcW w:type="dxa" w:w="4500"/>
            <w:tcBorders>
              <w:top w:val="single" w:color="DDDDDD" w:sz="4"/>
              <w:left w:val="none" w:color="FFFFFF" w:sz="0"/>
              <w:bottom w:val="none" w:color="FFFFFF" w:sz="0"/>
              <w:right w:val="single" w:color="DDDDDD" w:sz="4"/>
            </w:tcBorders>
            <w:tcMar>
              <w:top w:type="dxa" w:w="60"/>
              <w:left w:type="dxa" w:w="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71525"/>
                  <wp:effectExtent t="0" r="0" b="0" l="0"/>
                  <wp:docPr id="1" name="Chart F" descr="Chart F" title="Chart 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24"/>
                <w:szCs w:val="24"/>
              </w:rPr>
              <w:t xml:space="preserve">6.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C00000"/>
                <w:sz w:val="26"/>
                <w:szCs w:val="26"/>
                <w:u w:val="single"/>
              </w:rPr>
              <w:t xml:space="preserve">8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Compares distributions across groups and highlights outliers</w:t>
            </w:r>
          </w:p>
        </w:tc>
      </w:tr>
      <w:tr>
        <w:trPr>
          <w:cantSplit/>
          <w:trHeight w:val="1300" w:hRule="atLeast"/>
        </w:trPr>
        <w:tc>
          <w:tcPr>
            <w:tcW w:type="dxa" w:w="900"/>
            <w:tcBorders>
              <w:top w:val="single" w:color="DDDDDD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65A82"/>
                <w:sz w:val="24"/>
                <w:szCs w:val="24"/>
              </w:rPr>
              <w:t xml:space="preserve">G.</w:t>
            </w:r>
          </w:p>
        </w:tc>
        <w:tc>
          <w:tcPr>
            <w:tcW w:type="dxa" w:w="4500"/>
            <w:tcBorders>
              <w:top w:val="single" w:color="DDDDDD" w:sz="4"/>
              <w:left w:val="none" w:color="FFFFFF" w:sz="0"/>
              <w:bottom w:val="none" w:color="FFFFFF" w:sz="0"/>
              <w:right w:val="single" w:color="DDDDDD" w:sz="4"/>
            </w:tcBorders>
            <w:tcMar>
              <w:top w:type="dxa" w:w="60"/>
              <w:left w:type="dxa" w:w="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71525"/>
                  <wp:effectExtent t="0" r="0" b="0" l="0"/>
                  <wp:docPr id="1" name="Chart G" descr="Chart G" title="Chart 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24"/>
                <w:szCs w:val="24"/>
              </w:rPr>
              <w:t xml:space="preserve">7.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C00000"/>
                <w:sz w:val="26"/>
                <w:szCs w:val="26"/>
                <w:u w:val="single"/>
              </w:rPr>
              <w:t xml:space="preserve">9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Shows three variables at once using position and size</w:t>
            </w:r>
          </w:p>
        </w:tc>
      </w:tr>
      <w:tr>
        <w:trPr>
          <w:cantSplit/>
          <w:trHeight w:val="1300" w:hRule="atLeast"/>
        </w:trPr>
        <w:tc>
          <w:tcPr>
            <w:tcW w:type="dxa" w:w="900"/>
            <w:tcBorders>
              <w:top w:val="single" w:color="DDDDDD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65A82"/>
                <w:sz w:val="24"/>
                <w:szCs w:val="24"/>
              </w:rPr>
              <w:t xml:space="preserve">H.</w:t>
            </w:r>
          </w:p>
        </w:tc>
        <w:tc>
          <w:tcPr>
            <w:tcW w:type="dxa" w:w="4500"/>
            <w:tcBorders>
              <w:top w:val="single" w:color="DDDDDD" w:sz="4"/>
              <w:left w:val="none" w:color="FFFFFF" w:sz="0"/>
              <w:bottom w:val="none" w:color="FFFFFF" w:sz="0"/>
              <w:right w:val="single" w:color="DDDDDD" w:sz="4"/>
            </w:tcBorders>
            <w:tcMar>
              <w:top w:type="dxa" w:w="60"/>
              <w:left w:type="dxa" w:w="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71525"/>
                  <wp:effectExtent t="0" r="0" b="0" l="0"/>
                  <wp:docPr id="1" name="Chart H" descr="Chart H" title="Chart 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24"/>
                <w:szCs w:val="24"/>
              </w:rPr>
              <w:t xml:space="preserve">8.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C00000"/>
                <w:sz w:val="26"/>
                <w:szCs w:val="26"/>
                <w:u w:val="single"/>
              </w:rPr>
              <w:t xml:space="preserve">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Shows the distribution of a single continuous variable</w:t>
            </w:r>
          </w:p>
        </w:tc>
      </w:tr>
      <w:tr>
        <w:trPr>
          <w:cantSplit/>
          <w:trHeight w:val="1300" w:hRule="atLeast"/>
        </w:trPr>
        <w:tc>
          <w:tcPr>
            <w:tcW w:type="dxa" w:w="900"/>
            <w:tcBorders>
              <w:top w:val="single" w:color="DDDDDD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65A82"/>
                <w:sz w:val="24"/>
                <w:szCs w:val="24"/>
              </w:rPr>
              <w:t xml:space="preserve">I.</w:t>
            </w:r>
          </w:p>
        </w:tc>
        <w:tc>
          <w:tcPr>
            <w:tcW w:type="dxa" w:w="4500"/>
            <w:tcBorders>
              <w:top w:val="single" w:color="DDDDDD" w:sz="4"/>
              <w:left w:val="none" w:color="FFFFFF" w:sz="0"/>
              <w:bottom w:val="none" w:color="FFFFFF" w:sz="0"/>
              <w:right w:val="single" w:color="DDDDDD" w:sz="4"/>
            </w:tcBorders>
            <w:tcMar>
              <w:top w:type="dxa" w:w="60"/>
              <w:left w:type="dxa" w:w="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71525"/>
                  <wp:effectExtent t="0" r="0" b="0" l="0"/>
                  <wp:docPr id="1" name="Chart I" descr="Chart I" title="Chart 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24"/>
                <w:szCs w:val="24"/>
              </w:rPr>
              <w:t xml:space="preserve">9.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C00000"/>
                <w:sz w:val="26"/>
                <w:szCs w:val="26"/>
                <w:u w:val="single"/>
              </w:rPr>
              <w:t xml:space="preserve">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Shows how parts contribute to a whole</w:t>
            </w:r>
          </w:p>
        </w:tc>
      </w:tr>
      <w:tr>
        <w:trPr>
          <w:cantSplit/>
          <w:trHeight w:val="1300" w:hRule="atLeast"/>
        </w:trPr>
        <w:tc>
          <w:tcPr>
            <w:tcW w:type="dxa" w:w="900"/>
            <w:tcBorders>
              <w:top w:val="single" w:color="DDDDDD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65A82"/>
                <w:sz w:val="24"/>
                <w:szCs w:val="24"/>
              </w:rPr>
              <w:t xml:space="preserve">J.</w:t>
            </w:r>
          </w:p>
        </w:tc>
        <w:tc>
          <w:tcPr>
            <w:tcW w:type="dxa" w:w="4500"/>
            <w:tcBorders>
              <w:top w:val="single" w:color="DDDDDD" w:sz="4"/>
              <w:left w:val="none" w:color="FFFFFF" w:sz="0"/>
              <w:bottom w:val="none" w:color="FFFFFF" w:sz="0"/>
              <w:right w:val="single" w:color="DDDDDD" w:sz="4"/>
            </w:tcBorders>
            <w:tcMar>
              <w:top w:type="dxa" w:w="60"/>
              <w:left w:type="dxa" w:w="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71525"/>
                  <wp:effectExtent t="0" r="0" b="0" l="0"/>
                  <wp:docPr id="1" name="Chart J" descr="Chart J" title="Chart J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24"/>
                <w:szCs w:val="24"/>
              </w:rPr>
              <w:t xml:space="preserve">10.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C00000"/>
                <w:sz w:val="26"/>
                <w:szCs w:val="26"/>
                <w:u w:val="single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Compares amounts across separate categories</w:t>
            </w:r>
          </w:p>
        </w:tc>
      </w:tr>
    </w:tbl>
    <w:sectPr>
      <w:pgSz w:w="11906" w:h="16838" w:orient="portrait"/>
      <w:pgMar w:top="600" w:right="550" w:bottom="500" w:left="5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cf5874364d1f9721121590cd7c51dbe5c78f964.png"/><Relationship Id="rId8" Type="http://schemas.openxmlformats.org/officeDocument/2006/relationships/image" Target="media/9da975b93f607f091dc5849b289d0b9e0e5146d0.png"/><Relationship Id="rId9" Type="http://schemas.openxmlformats.org/officeDocument/2006/relationships/image" Target="media/c644ca71cb0d5e26327317c9e0ebb8fa8c8de817.png"/><Relationship Id="rId10" Type="http://schemas.openxmlformats.org/officeDocument/2006/relationships/image" Target="media/206b9f4741a559b1103483ec9297ebffcc0d7131.png"/><Relationship Id="rId11" Type="http://schemas.openxmlformats.org/officeDocument/2006/relationships/image" Target="media/fc70c418e4ce5f43b3b6d985d4363cad4e919796.png"/><Relationship Id="rId12" Type="http://schemas.openxmlformats.org/officeDocument/2006/relationships/image" Target="media/87ea11062c65f4659c10adf2b41c4f0d9acbee68.png"/><Relationship Id="rId13" Type="http://schemas.openxmlformats.org/officeDocument/2006/relationships/image" Target="media/2eeb61147d7a78b19b90355e26531973f9653296.png"/><Relationship Id="rId14" Type="http://schemas.openxmlformats.org/officeDocument/2006/relationships/image" Target="media/d4ab86b675d0432694c20a67fbc60ec529d3957a.png"/><Relationship Id="rId15" Type="http://schemas.openxmlformats.org/officeDocument/2006/relationships/image" Target="media/4517843bce5bf54c98da13da53f211cb080ac373.png"/><Relationship Id="rId16" Type="http://schemas.openxmlformats.org/officeDocument/2006/relationships/image" Target="media/d77d36f6ae2f84365f81a5948a0589d860dfa593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Visualization Matching Game - A Lokesh Kumar</dc:title>
  <dc:creator>Un-named</dc:creator>
  <cp:lastModifiedBy>Un-named</cp:lastModifiedBy>
  <cp:revision>1</cp:revision>
  <dcterms:created xsi:type="dcterms:W3CDTF">2026-10-08T07:24:13.784Z</dcterms:created>
  <dcterms:modified xsi:type="dcterms:W3CDTF">2026-10-08T07:24:13.784Z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