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B365D"/>
          <w:sz w:val="40"/>
        </w:rPr>
        <w:t>AI-Based Student Support Assistant (Extended Master Assessment Report)</w:t>
      </w:r>
    </w:p>
    <w:p>
      <w:pPr>
        <w:spacing w:after="160"/>
      </w:pPr>
    </w:p>
    <w:p>
      <w:pPr>
        <w:keepNext/>
        <w:spacing w:before="440" w:after="160"/>
      </w:pPr>
      <w:r>
        <w:rPr>
          <w:rFonts w:ascii="Calibri" w:hAnsi="Calibri"/>
          <w:b/>
          <w:color w:val="1B365D"/>
          <w:sz w:val="32"/>
        </w:rPr>
        <w:t>Question 1: Problem Analysis &amp; Agent Design</w:t>
      </w:r>
    </w:p>
    <w:p>
      <w:pPr>
        <w:keepNext/>
        <w:spacing w:before="280" w:after="80"/>
      </w:pPr>
      <w:r>
        <w:rPr>
          <w:rFonts w:ascii="Calibri" w:hAnsi="Calibri"/>
          <w:b/>
          <w:color w:val="008080"/>
          <w:sz w:val="26"/>
        </w:rPr>
        <w:t>1. Background &amp; Operational Challenges</w:t>
      </w:r>
    </w:p>
    <w:p>
      <w:pPr>
        <w:spacing w:after="120" w:line="276" w:lineRule="auto"/>
      </w:pPr>
      <w:r>
        <w:rPr>
          <w:rFonts w:ascii="Calibri" w:hAnsi="Calibri"/>
          <w:color w:val="323232"/>
          <w:sz w:val="22"/>
        </w:rPr>
        <w:t>In modern university environments, administrative helpdesks are overwhelmed by a constant stream of simple, repetitive inquiries. During peak academic periods—such as course registration weeks, mid-term examinations, and final evaluation periods—administrative staff receive thousands of duplicate emails and physical desk visits daily. Common topics include timetable schedules, classroom allocations, attendance percentage thresholds, hall ticket releases, and campus facility timings.</w:t>
      </w:r>
    </w:p>
    <w:p>
      <w:pPr>
        <w:spacing w:after="120" w:line="276" w:lineRule="auto"/>
      </w:pPr>
      <w:r>
        <w:rPr>
          <w:rFonts w:ascii="Calibri" w:hAnsi="Calibri"/>
          <w:color w:val="323232"/>
          <w:sz w:val="22"/>
        </w:rPr>
        <w:t>This high-volume manual workload creates several critical operational problems: long response times (often taking 24 to 48 hours for simple answers), inconsistent information delivered by different staff members, human error due to fatigue, and severe student frustration. Furthermore, traditional helpdesks only operate during standard administrative hours (e.g., 9:00 AM to 4:00 PM), leaving students without support during evenings or weekends when they are actively studying.</w:t>
      </w:r>
    </w:p>
    <w:p>
      <w:pPr>
        <w:keepNext/>
        <w:spacing w:before="280" w:after="80"/>
      </w:pPr>
      <w:r>
        <w:rPr>
          <w:rFonts w:ascii="Calibri" w:hAnsi="Calibri"/>
          <w:b/>
          <w:color w:val="008080"/>
          <w:sz w:val="26"/>
        </w:rPr>
        <w:t>2. The AI Solution: Conversational Intelligence</w:t>
      </w:r>
    </w:p>
    <w:p>
      <w:pPr>
        <w:spacing w:after="120" w:line="276" w:lineRule="auto"/>
      </w:pPr>
      <w:r>
        <w:rPr>
          <w:rFonts w:ascii="Calibri" w:hAnsi="Calibri"/>
          <w:color w:val="323232"/>
          <w:sz w:val="22"/>
        </w:rPr>
        <w:t>An AI-based Student Support Assistant addresses these challenges directly by providing an intelligent, automated conversational interface. Instead of requiring students to navigate complex institutional portals or send emails, the chatbot uses Natural Language Understanding (NLU) to comprehend natural phrasing, extract key parameters (such as course codes or semester details), and fetch real-time data from the Student Information System (SIS).</w:t>
      </w:r>
    </w:p>
    <w:p>
      <w:pPr>
        <w:spacing w:after="120" w:line="276" w:lineRule="auto"/>
      </w:pPr>
      <w:r>
        <w:rPr>
          <w:rFonts w:ascii="Calibri" w:hAnsi="Calibri"/>
          <w:color w:val="323232"/>
          <w:sz w:val="22"/>
        </w:rPr>
        <w:t>By deploying an automated conversational agent, universities achieve 24/7 instant response capabilities, sub-second query resolution, 100% data consistency, and a massive reduction in administrative workload—allowing human staff to focus on complex advisory cases.</w:t>
      </w:r>
    </w:p>
    <w:p>
      <w:pPr>
        <w:keepNext/>
        <w:spacing w:before="280" w:after="80"/>
      </w:pPr>
      <w:r>
        <w:rPr>
          <w:rFonts w:ascii="Calibri" w:hAnsi="Calibri"/>
          <w:b/>
          <w:color w:val="008080"/>
          <w:sz w:val="26"/>
        </w:rPr>
        <w:t>3. Complete Agent Specification (PEAS Framework)</w:t>
      </w:r>
    </w:p>
    <w:p>
      <w:pPr>
        <w:spacing w:after="120" w:line="276" w:lineRule="auto"/>
      </w:pPr>
      <w:r>
        <w:rPr>
          <w:rFonts w:ascii="Calibri" w:hAnsi="Calibri"/>
          <w:color w:val="323232"/>
          <w:sz w:val="22"/>
        </w:rPr>
        <w:t>To build an effective Artificial Intelligence agent, we structure its entire architecture using the PEAS framework (Performance Measure, Environment, Actuators, Sensors). This framework defines what the agent evaluates, where it operates, how it acts, and how it perceives information: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4680"/>
        <w:gridCol w:w="4680"/>
      </w:tblGrid>
      <w:tr>
        <w:tc>
          <w:tcPr>
            <w:tcW w:type="dxa" w:w="4680"/>
            <w:shd w:fill="1B365D"/>
          </w:tcPr>
          <w:p>
            <w:r>
              <w:rPr>
                <w:b/>
                <w:color w:val="FFFFFF"/>
                <w:sz w:val="20"/>
              </w:rPr>
              <w:t>PEAS Component</w:t>
            </w:r>
          </w:p>
        </w:tc>
        <w:tc>
          <w:tcPr>
            <w:tcW w:type="dxa" w:w="4680"/>
            <w:shd w:fill="1B365D"/>
          </w:tcPr>
          <w:p>
            <w:r>
              <w:rPr>
                <w:b/>
                <w:color w:val="FFFFFF"/>
                <w:sz w:val="20"/>
              </w:rPr>
              <w:t>Detailed Engineering &amp; Operational Specifications</w:t>
            </w:r>
          </w:p>
        </w:tc>
      </w:tr>
      <w:tr>
        <w:tc>
          <w:tcPr>
            <w:tcW w:type="dxa" w:w="4680"/>
            <w:shd w:fill="F4F6F9"/>
            <w:tcMar>
              <w:top w:w="80" w:type="dxa"/>
              <w:bottom w:w="80" w:type="dxa"/>
              <w:left w:w="100" w:type="dxa"/>
              <w:right w:w="100" w:type="dxa"/>
            </w:tcMar>
          </w:tcPr>
          <w:p>
            <w:r>
              <w:rPr>
                <w:b/>
                <w:color w:val="1B365D"/>
                <w:sz w:val="20"/>
              </w:rPr>
              <w:t>Performance Measure (P)</w:t>
            </w:r>
          </w:p>
        </w:tc>
        <w:tc>
          <w:tcPr>
            <w:tcW w:type="dxa" w:w="4680"/>
            <w:shd w:fill="F4F6F9"/>
            <w:tcMar>
              <w:top w:w="80" w:type="dxa"/>
              <w:bottom w:w="80" w:type="dxa"/>
              <w:left w:w="100" w:type="dxa"/>
              <w:right w:w="100" w:type="dxa"/>
            </w:tcMar>
          </w:tcPr>
          <w:p>
            <w:r>
              <w:rPr>
                <w:sz w:val="19"/>
              </w:rPr>
              <w:t>• Response Speed: Average reply time under 1.0 second.</w:t>
              <w:br/>
              <w:t>• Intent Accuracy: Correct understanding rate of 92% or higher across all standard student queries.</w:t>
              <w:br/>
              <w:t>• First-Contact Resolution: 85%+ of student issues resolved without human intervention.</w:t>
              <w:br/>
              <w:t>• Fallback Rate: Unhandled query rate kept strictly under 5%.</w:t>
              <w:br/>
              <w:t>• User Satisfaction: CSAT score target of 4.5 out of 5.0.</w:t>
            </w:r>
          </w:p>
        </w:tc>
      </w:tr>
      <w:tr>
        <w:tc>
          <w:tcPr>
            <w:tcW w:type="dxa" w:w="4680"/>
            <w:shd w:fill="FFFFFF"/>
            <w:tcMar>
              <w:top w:w="80" w:type="dxa"/>
              <w:bottom w:w="80" w:type="dxa"/>
              <w:left w:w="100" w:type="dxa"/>
              <w:right w:w="100" w:type="dxa"/>
            </w:tcMar>
          </w:tcPr>
          <w:p>
            <w:r>
              <w:rPr>
                <w:b/>
                <w:color w:val="1B365D"/>
                <w:sz w:val="20"/>
              </w:rPr>
              <w:t>Environment (E)</w:t>
            </w:r>
          </w:p>
        </w:tc>
        <w:tc>
          <w:tcPr>
            <w:tcW w:type="dxa" w:w="4680"/>
            <w:shd w:fill="FFFFFF"/>
            <w:tcMar>
              <w:top w:w="80" w:type="dxa"/>
              <w:bottom w:w="80" w:type="dxa"/>
              <w:left w:w="100" w:type="dxa"/>
              <w:right w:w="100" w:type="dxa"/>
            </w:tcMar>
          </w:tcPr>
          <w:p>
            <w:r>
              <w:rPr>
                <w:sz w:val="19"/>
              </w:rPr>
              <w:t>• Digital Interface: Integrated directly into the main university student web portal and mobile app.</w:t>
              <w:br/>
              <w:t>• Backend Integration: Asynchronous REST API connections to the Student Information System (SIS) and LMS.</w:t>
              <w:br/>
              <w:t>• Operational Nature: Dynamic, multi-user environment handling hundreds of concurrent users simultaneously.</w:t>
            </w:r>
          </w:p>
        </w:tc>
      </w:tr>
      <w:tr>
        <w:tc>
          <w:tcPr>
            <w:tcW w:type="dxa" w:w="4680"/>
            <w:shd w:fill="F4F6F9"/>
            <w:tcMar>
              <w:top w:w="80" w:type="dxa"/>
              <w:bottom w:w="80" w:type="dxa"/>
              <w:left w:w="100" w:type="dxa"/>
              <w:right w:w="100" w:type="dxa"/>
            </w:tcMar>
          </w:tcPr>
          <w:p>
            <w:r>
              <w:rPr>
                <w:b/>
                <w:color w:val="1B365D"/>
                <w:sz w:val="20"/>
              </w:rPr>
              <w:t>Actuators (A)</w:t>
            </w:r>
          </w:p>
        </w:tc>
        <w:tc>
          <w:tcPr>
            <w:tcW w:type="dxa" w:w="4680"/>
            <w:shd w:fill="F4F6F9"/>
            <w:tcMar>
              <w:top w:w="80" w:type="dxa"/>
              <w:bottom w:w="80" w:type="dxa"/>
              <w:left w:w="100" w:type="dxa"/>
              <w:right w:w="100" w:type="dxa"/>
            </w:tcMar>
          </w:tcPr>
          <w:p>
            <w:r>
              <w:rPr>
                <w:sz w:val="19"/>
              </w:rPr>
              <w:t>• Text Response Generator: Dispatches clear, natural language replies formatted with dynamic data.</w:t>
              <w:br/>
              <w:t>• Interactive UI Components: Renders structured visual cards, quick-reply buttons, and tabular schedule layouts.</w:t>
              <w:br/>
              <w:t>• Database Triggers: Sends webhook API calls to backend databases to update or retrieve records.</w:t>
            </w:r>
          </w:p>
        </w:tc>
      </w:tr>
      <w:tr>
        <w:tc>
          <w:tcPr>
            <w:tcW w:type="dxa" w:w="4680"/>
            <w:shd w:fill="FFFFFF"/>
            <w:tcMar>
              <w:top w:w="80" w:type="dxa"/>
              <w:bottom w:w="80" w:type="dxa"/>
              <w:left w:w="100" w:type="dxa"/>
              <w:right w:w="100" w:type="dxa"/>
            </w:tcMar>
          </w:tcPr>
          <w:p>
            <w:r>
              <w:rPr>
                <w:b/>
                <w:color w:val="1B365D"/>
                <w:sz w:val="20"/>
              </w:rPr>
              <w:t>Sensors (S)</w:t>
            </w:r>
          </w:p>
        </w:tc>
        <w:tc>
          <w:tcPr>
            <w:tcW w:type="dxa" w:w="4680"/>
            <w:shd w:fill="FFFFFF"/>
            <w:tcMar>
              <w:top w:w="80" w:type="dxa"/>
              <w:bottom w:w="80" w:type="dxa"/>
              <w:left w:w="100" w:type="dxa"/>
              <w:right w:w="100" w:type="dxa"/>
            </w:tcMar>
          </w:tcPr>
          <w:p>
            <w:r>
              <w:rPr>
                <w:sz w:val="19"/>
              </w:rPr>
              <w:t>• Input Text Parser: Captures natural text typed by students via desktop or mobile keyboards.</w:t>
              <w:br/>
              <w:t>• Voice-to-Text Engine: Converts spoken audio input into structured text via Web Speech API.</w:t>
              <w:br/>
              <w:t>• Session State Detector: Tracks session metadata including Student Registration Number, Auth Tokens, and active context tags.</w:t>
            </w:r>
          </w:p>
        </w:tc>
      </w:tr>
    </w:tbl>
    <w:p>
      <w:pPr>
        <w:spacing w:after="160"/>
      </w:pPr>
    </w:p>
    <w:p>
      <w:pPr>
        <w:keepNext/>
        <w:spacing w:before="280" w:after="80"/>
      </w:pPr>
      <w:r>
        <w:rPr>
          <w:rFonts w:ascii="Calibri" w:hAnsi="Calibri"/>
          <w:b/>
          <w:color w:val="008080"/>
          <w:sz w:val="26"/>
        </w:rPr>
        <w:t>4. Users, Inputs, Outputs &amp; System Boundaries</w:t>
      </w:r>
    </w:p>
    <w:p>
      <w:pPr>
        <w:keepNext/>
        <w:spacing w:before="200" w:after="40"/>
      </w:pPr>
      <w:r>
        <w:rPr>
          <w:rFonts w:ascii="Calibri" w:hAnsi="Calibri"/>
          <w:b/>
          <w:color w:val="1B365D"/>
          <w:sz w:val="23"/>
        </w:rPr>
        <w:t>Target User Profiles</w:t>
      </w:r>
    </w:p>
    <w:p>
      <w:pPr>
        <w:spacing w:after="120" w:line="276" w:lineRule="auto"/>
      </w:pPr>
      <w:r>
        <w:rPr>
          <w:rFonts w:ascii="Calibri" w:hAnsi="Calibri"/>
          <w:b/>
          <w:color w:val="323232"/>
          <w:sz w:val="22"/>
        </w:rPr>
        <w:t xml:space="preserve">• Enrolled Students: </w:t>
      </w:r>
      <w:r>
        <w:rPr>
          <w:rFonts w:ascii="Calibri" w:hAnsi="Calibri"/>
          <w:color w:val="323232"/>
          <w:sz w:val="22"/>
        </w:rPr>
        <w:t>Primary users seeking real-time answers regarding their enrolled courses, marks, and schedules.</w:t>
      </w:r>
    </w:p>
    <w:p>
      <w:pPr>
        <w:spacing w:after="120" w:line="276" w:lineRule="auto"/>
      </w:pPr>
      <w:r>
        <w:rPr>
          <w:rFonts w:ascii="Calibri" w:hAnsi="Calibri"/>
          <w:b/>
          <w:color w:val="323232"/>
          <w:sz w:val="22"/>
        </w:rPr>
        <w:t xml:space="preserve">• Faculty Members: </w:t>
      </w:r>
      <w:r>
        <w:rPr>
          <w:rFonts w:ascii="Calibri" w:hAnsi="Calibri"/>
          <w:color w:val="323232"/>
          <w:sz w:val="22"/>
        </w:rPr>
        <w:t>Advisors checking student eligibility, timetable conflicts, or course rosters.</w:t>
      </w:r>
    </w:p>
    <w:p>
      <w:pPr>
        <w:spacing w:after="120" w:line="276" w:lineRule="auto"/>
      </w:pPr>
      <w:r>
        <w:rPr>
          <w:rFonts w:ascii="Calibri" w:hAnsi="Calibri"/>
          <w:b/>
          <w:color w:val="323232"/>
          <w:sz w:val="22"/>
        </w:rPr>
        <w:t xml:space="preserve">• Administrative Officers: </w:t>
      </w:r>
      <w:r>
        <w:rPr>
          <w:rFonts w:ascii="Calibri" w:hAnsi="Calibri"/>
          <w:color w:val="323232"/>
          <w:sz w:val="22"/>
        </w:rPr>
        <w:t>Helpdesk staff monitoring unresolved tickets and managing system content.</w:t>
      </w:r>
    </w:p>
    <w:p>
      <w:pPr>
        <w:keepNext/>
        <w:spacing w:before="200" w:after="40"/>
      </w:pPr>
      <w:r>
        <w:rPr>
          <w:rFonts w:ascii="Calibri" w:hAnsi="Calibri"/>
          <w:b/>
          <w:color w:val="1B365D"/>
          <w:sz w:val="23"/>
        </w:rPr>
        <w:t>System Input Vectors</w:t>
      </w:r>
    </w:p>
    <w:p>
      <w:pPr>
        <w:spacing w:after="120" w:line="276" w:lineRule="auto"/>
      </w:pPr>
      <w:r>
        <w:rPr>
          <w:rFonts w:ascii="Calibri" w:hAnsi="Calibri"/>
          <w:b/>
          <w:color w:val="323232"/>
          <w:sz w:val="22"/>
        </w:rPr>
        <w:t xml:space="preserve">• Unstructured Text Queries: </w:t>
      </w:r>
      <w:r>
        <w:rPr>
          <w:rFonts w:ascii="Calibri" w:hAnsi="Calibri"/>
          <w:color w:val="323232"/>
          <w:sz w:val="22"/>
        </w:rPr>
        <w:t>Natural language questions typed by users (e.g., 'What is my attendance in MLA01?').</w:t>
      </w:r>
    </w:p>
    <w:p>
      <w:pPr>
        <w:spacing w:after="120" w:line="276" w:lineRule="auto"/>
      </w:pPr>
      <w:r>
        <w:rPr>
          <w:rFonts w:ascii="Calibri" w:hAnsi="Calibri"/>
          <w:b/>
          <w:color w:val="323232"/>
          <w:sz w:val="22"/>
        </w:rPr>
        <w:t xml:space="preserve">• Interactive Chip Inputs: </w:t>
      </w:r>
      <w:r>
        <w:rPr>
          <w:rFonts w:ascii="Calibri" w:hAnsi="Calibri"/>
          <w:color w:val="323232"/>
          <w:sz w:val="22"/>
        </w:rPr>
        <w:t>Button selections (e.g., 'View Timetable', 'Check Exam Eligibility').</w:t>
      </w:r>
    </w:p>
    <w:p>
      <w:pPr>
        <w:spacing w:after="120" w:line="276" w:lineRule="auto"/>
      </w:pPr>
      <w:r>
        <w:rPr>
          <w:rFonts w:ascii="Calibri" w:hAnsi="Calibri"/>
          <w:b/>
          <w:color w:val="323232"/>
          <w:sz w:val="22"/>
        </w:rPr>
        <w:t xml:space="preserve">• Authentication Payload: </w:t>
      </w:r>
      <w:r>
        <w:rPr>
          <w:rFonts w:ascii="Calibri" w:hAnsi="Calibri"/>
          <w:color w:val="323232"/>
          <w:sz w:val="22"/>
        </w:rPr>
        <w:t>Student Registration Number and secure authentication login tokens.</w:t>
      </w:r>
    </w:p>
    <w:p>
      <w:pPr>
        <w:keepNext/>
        <w:spacing w:before="200" w:after="40"/>
      </w:pPr>
      <w:r>
        <w:rPr>
          <w:rFonts w:ascii="Calibri" w:hAnsi="Calibri"/>
          <w:b/>
          <w:color w:val="1B365D"/>
          <w:sz w:val="23"/>
        </w:rPr>
        <w:t>System Output Formats</w:t>
      </w:r>
    </w:p>
    <w:p>
      <w:pPr>
        <w:spacing w:after="120" w:line="276" w:lineRule="auto"/>
      </w:pPr>
      <w:r>
        <w:rPr>
          <w:rFonts w:ascii="Calibri" w:hAnsi="Calibri"/>
          <w:b/>
          <w:color w:val="323232"/>
          <w:sz w:val="22"/>
        </w:rPr>
        <w:t xml:space="preserve">• Direct Natural Language Replies: </w:t>
      </w:r>
      <w:r>
        <w:rPr>
          <w:rFonts w:ascii="Calibri" w:hAnsi="Calibri"/>
          <w:color w:val="323232"/>
          <w:sz w:val="22"/>
        </w:rPr>
        <w:t>Concise text answers giving immediate information.</w:t>
      </w:r>
    </w:p>
    <w:p>
      <w:pPr>
        <w:spacing w:after="120" w:line="276" w:lineRule="auto"/>
      </w:pPr>
      <w:r>
        <w:rPr>
          <w:rFonts w:ascii="Calibri" w:hAnsi="Calibri"/>
          <w:b/>
          <w:color w:val="323232"/>
          <w:sz w:val="22"/>
        </w:rPr>
        <w:t xml:space="preserve">• Formatted Visual Tables: </w:t>
      </w:r>
      <w:r>
        <w:rPr>
          <w:rFonts w:ascii="Calibri" w:hAnsi="Calibri"/>
          <w:color w:val="323232"/>
          <w:sz w:val="22"/>
        </w:rPr>
        <w:t>Clean tables displaying weekly class schedules or exam seat numbers.</w:t>
      </w:r>
    </w:p>
    <w:p>
      <w:pPr>
        <w:spacing w:after="120" w:line="276" w:lineRule="auto"/>
      </w:pPr>
      <w:r>
        <w:rPr>
          <w:rFonts w:ascii="Calibri" w:hAnsi="Calibri"/>
          <w:b/>
          <w:color w:val="323232"/>
          <w:sz w:val="22"/>
        </w:rPr>
        <w:t xml:space="preserve">• Actionable Web Links: </w:t>
      </w:r>
      <w:r>
        <w:rPr>
          <w:rFonts w:ascii="Calibri" w:hAnsi="Calibri"/>
          <w:color w:val="323232"/>
          <w:sz w:val="22"/>
        </w:rPr>
        <w:t>Hyperlinks directing users to course registration pages or fee payment portals.</w:t>
      </w:r>
    </w:p>
    <w:p>
      <w:pPr>
        <w:spacing w:after="120" w:line="276" w:lineRule="auto"/>
      </w:pPr>
      <w:r>
        <w:rPr>
          <w:rFonts w:ascii="Calibri" w:hAnsi="Calibri"/>
          <w:b/>
          <w:color w:val="323232"/>
          <w:sz w:val="22"/>
        </w:rPr>
        <w:t xml:space="preserve">• Support Escalation Ticket: </w:t>
      </w:r>
      <w:r>
        <w:rPr>
          <w:rFonts w:ascii="Calibri" w:hAnsi="Calibri"/>
          <w:color w:val="323232"/>
          <w:sz w:val="22"/>
        </w:rPr>
        <w:t>Automatic creation of a helpdesk ticket transferred to human staff when queries are too complex.</w:t>
      </w:r>
    </w:p>
    <w:p>
      <w:pPr>
        <w:keepNext/>
        <w:spacing w:before="440" w:after="160"/>
      </w:pPr>
      <w:r>
        <w:rPr>
          <w:rFonts w:ascii="Calibri" w:hAnsi="Calibri"/>
          <w:b/>
          <w:color w:val="1B365D"/>
          <w:sz w:val="32"/>
        </w:rPr>
        <w:t>Question 2: Dialogflow Agent Development &amp; Implementation</w:t>
      </w:r>
    </w:p>
    <w:p>
      <w:pPr>
        <w:keepNext/>
        <w:spacing w:before="280" w:after="80"/>
      </w:pPr>
      <w:r>
        <w:rPr>
          <w:rFonts w:ascii="Calibri" w:hAnsi="Calibri"/>
          <w:b/>
          <w:color w:val="008080"/>
          <w:sz w:val="26"/>
        </w:rPr>
        <w:t>1. NLU Architecture &amp; Dialogue Processing</w:t>
      </w:r>
    </w:p>
    <w:p>
      <w:pPr>
        <w:spacing w:after="120" w:line="276" w:lineRule="auto"/>
      </w:pPr>
      <w:r>
        <w:rPr>
          <w:rFonts w:ascii="Calibri" w:hAnsi="Calibri"/>
          <w:color w:val="323232"/>
          <w:sz w:val="22"/>
        </w:rPr>
        <w:t>Google Dialogflow ES (Essential) serves as the primary Natural Language Understanding engine for this agent. The core function of Dialogflow is to take unstructured user input and break it down into two fundamental elements:</w:t>
        <w:br/>
        <w:t>1. Intent: What the user is trying to accomplish (the goal of the message).</w:t>
        <w:br/>
        <w:t>2. Entities: Specific pieces of data contained in the message (such as course codes, dates, or service names).</w:t>
      </w:r>
    </w:p>
    <w:p>
      <w:pPr>
        <w:keepNext/>
        <w:spacing w:before="280" w:after="80"/>
      </w:pPr>
      <w:r>
        <w:rPr>
          <w:rFonts w:ascii="Calibri" w:hAnsi="Calibri"/>
          <w:b/>
          <w:color w:val="008080"/>
          <w:sz w:val="26"/>
        </w:rPr>
        <w:t>2. Detailed Intent &amp; Entity Schema Mapping</w:t>
      </w:r>
    </w:p>
    <w:p>
      <w:pPr>
        <w:spacing w:after="120" w:line="276" w:lineRule="auto"/>
      </w:pPr>
      <w:r>
        <w:rPr>
          <w:rFonts w:ascii="Calibri" w:hAnsi="Calibri"/>
          <w:color w:val="323232"/>
          <w:sz w:val="22"/>
        </w:rPr>
        <w:t>To cover all essential campus support areas, six core intents and custom entity types were designed and configured:</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340"/>
        <w:gridCol w:w="2340"/>
        <w:gridCol w:w="2340"/>
        <w:gridCol w:w="2340"/>
      </w:tblGrid>
      <w:tr>
        <w:tc>
          <w:tcPr>
            <w:tcW w:type="dxa" w:w="2340"/>
            <w:shd w:fill="1B365D"/>
          </w:tcPr>
          <w:p>
            <w:r>
              <w:rPr>
                <w:b/>
                <w:color w:val="FFFFFF"/>
                <w:sz w:val="19"/>
              </w:rPr>
              <w:t>Intent Name</w:t>
            </w:r>
          </w:p>
        </w:tc>
        <w:tc>
          <w:tcPr>
            <w:tcW w:type="dxa" w:w="2340"/>
            <w:shd w:fill="1B365D"/>
          </w:tcPr>
          <w:p>
            <w:r>
              <w:rPr>
                <w:b/>
                <w:color w:val="FFFFFF"/>
                <w:sz w:val="19"/>
              </w:rPr>
              <w:t>Training Phrase Examples</w:t>
            </w:r>
          </w:p>
        </w:tc>
        <w:tc>
          <w:tcPr>
            <w:tcW w:type="dxa" w:w="2340"/>
            <w:shd w:fill="1B365D"/>
          </w:tcPr>
          <w:p>
            <w:r>
              <w:rPr>
                <w:b/>
                <w:color w:val="FFFFFF"/>
                <w:sz w:val="19"/>
              </w:rPr>
              <w:t>Extracted Entities</w:t>
            </w:r>
          </w:p>
        </w:tc>
        <w:tc>
          <w:tcPr>
            <w:tcW w:type="dxa" w:w="2340"/>
            <w:shd w:fill="1B365D"/>
          </w:tcPr>
          <w:p>
            <w:r>
              <w:rPr>
                <w:b/>
                <w:color w:val="FFFFFF"/>
                <w:sz w:val="19"/>
              </w:rPr>
              <w:t>Context Tracking</w:t>
            </w:r>
          </w:p>
        </w:tc>
      </w:tr>
      <w:tr>
        <w:tc>
          <w:tcPr>
            <w:tcW w:type="dxa" w:w="2340"/>
            <w:shd w:fill="F4F6F9"/>
            <w:tcMar>
              <w:top w:w="60" w:type="dxa"/>
              <w:bottom w:w="60" w:type="dxa"/>
              <w:left w:w="80" w:type="dxa"/>
              <w:right w:w="80" w:type="dxa"/>
            </w:tcMar>
          </w:tcPr>
          <w:p>
            <w:r>
              <w:rPr>
                <w:b/>
                <w:color w:val="1B365D"/>
                <w:sz w:val="18"/>
              </w:rPr>
              <w:t>Default Welcome Intent</w:t>
            </w:r>
          </w:p>
        </w:tc>
        <w:tc>
          <w:tcPr>
            <w:tcW w:type="dxa" w:w="2340"/>
            <w:shd w:fill="F4F6F9"/>
            <w:tcMar>
              <w:top w:w="60" w:type="dxa"/>
              <w:bottom w:w="60" w:type="dxa"/>
              <w:left w:w="80" w:type="dxa"/>
              <w:right w:w="80" w:type="dxa"/>
            </w:tcMar>
          </w:tcPr>
          <w:p>
            <w:r>
              <w:rPr>
                <w:sz w:val="18"/>
              </w:rPr>
              <w:t>'Hi', 'Hello assistant', 'Good morning', 'Hey there'</w:t>
            </w:r>
          </w:p>
        </w:tc>
        <w:tc>
          <w:tcPr>
            <w:tcW w:type="dxa" w:w="2340"/>
            <w:shd w:fill="F4F6F9"/>
            <w:tcMar>
              <w:top w:w="60" w:type="dxa"/>
              <w:bottom w:w="60" w:type="dxa"/>
              <w:left w:w="80" w:type="dxa"/>
              <w:right w:w="80" w:type="dxa"/>
            </w:tcMar>
          </w:tcPr>
          <w:p>
            <w:r>
              <w:rPr>
                <w:sz w:val="18"/>
              </w:rPr>
              <w:t>None</w:t>
            </w:r>
          </w:p>
        </w:tc>
        <w:tc>
          <w:tcPr>
            <w:tcW w:type="dxa" w:w="2340"/>
            <w:shd w:fill="F4F6F9"/>
            <w:tcMar>
              <w:top w:w="60" w:type="dxa"/>
              <w:bottom w:w="60" w:type="dxa"/>
              <w:left w:w="80" w:type="dxa"/>
              <w:right w:w="80" w:type="dxa"/>
            </w:tcMar>
          </w:tcPr>
          <w:p>
            <w:r>
              <w:rPr>
                <w:sz w:val="18"/>
              </w:rPr>
              <w:t>Output Context: await_choice (lifespan = 2)</w:t>
            </w:r>
          </w:p>
        </w:tc>
      </w:tr>
      <w:tr>
        <w:tc>
          <w:tcPr>
            <w:tcW w:type="dxa" w:w="2340"/>
            <w:shd w:fill="FFFFFF"/>
            <w:tcMar>
              <w:top w:w="60" w:type="dxa"/>
              <w:bottom w:w="60" w:type="dxa"/>
              <w:left w:w="80" w:type="dxa"/>
              <w:right w:w="80" w:type="dxa"/>
            </w:tcMar>
          </w:tcPr>
          <w:p>
            <w:r>
              <w:rPr>
                <w:b/>
                <w:color w:val="1B365D"/>
                <w:sz w:val="18"/>
              </w:rPr>
              <w:t>Course.Registration</w:t>
            </w:r>
          </w:p>
        </w:tc>
        <w:tc>
          <w:tcPr>
            <w:tcW w:type="dxa" w:w="2340"/>
            <w:shd w:fill="FFFFFF"/>
            <w:tcMar>
              <w:top w:w="60" w:type="dxa"/>
              <w:bottom w:w="60" w:type="dxa"/>
              <w:left w:w="80" w:type="dxa"/>
              <w:right w:w="80" w:type="dxa"/>
            </w:tcMar>
          </w:tcPr>
          <w:p>
            <w:r>
              <w:rPr>
                <w:sz w:val="18"/>
              </w:rPr>
              <w:t>'How do I register for MLA01?', 'Add AI course', 'Course registration steps'</w:t>
            </w:r>
          </w:p>
        </w:tc>
        <w:tc>
          <w:tcPr>
            <w:tcW w:type="dxa" w:w="2340"/>
            <w:shd w:fill="FFFFFF"/>
            <w:tcMar>
              <w:top w:w="60" w:type="dxa"/>
              <w:bottom w:w="60" w:type="dxa"/>
              <w:left w:w="80" w:type="dxa"/>
              <w:right w:w="80" w:type="dxa"/>
            </w:tcMar>
          </w:tcPr>
          <w:p>
            <w:r>
              <w:rPr>
                <w:sz w:val="18"/>
              </w:rPr>
              <w:t>@course_code (e.g., MLA01), @semester</w:t>
            </w:r>
          </w:p>
        </w:tc>
        <w:tc>
          <w:tcPr>
            <w:tcW w:type="dxa" w:w="2340"/>
            <w:shd w:fill="FFFFFF"/>
            <w:tcMar>
              <w:top w:w="60" w:type="dxa"/>
              <w:bottom w:w="60" w:type="dxa"/>
              <w:left w:w="80" w:type="dxa"/>
              <w:right w:w="80" w:type="dxa"/>
            </w:tcMar>
          </w:tcPr>
          <w:p>
            <w:r>
              <w:rPr>
                <w:sz w:val="18"/>
              </w:rPr>
              <w:t>Input Context: await_choice</w:t>
              <w:br/>
              <w:t>Output Context: reg_followup</w:t>
            </w:r>
          </w:p>
        </w:tc>
      </w:tr>
      <w:tr>
        <w:tc>
          <w:tcPr>
            <w:tcW w:type="dxa" w:w="2340"/>
            <w:shd w:fill="F4F6F9"/>
            <w:tcMar>
              <w:top w:w="60" w:type="dxa"/>
              <w:bottom w:w="60" w:type="dxa"/>
              <w:left w:w="80" w:type="dxa"/>
              <w:right w:w="80" w:type="dxa"/>
            </w:tcMar>
          </w:tcPr>
          <w:p>
            <w:r>
              <w:rPr>
                <w:b/>
                <w:color w:val="1B365D"/>
                <w:sz w:val="18"/>
              </w:rPr>
              <w:t>Timetable.Query</w:t>
            </w:r>
          </w:p>
        </w:tc>
        <w:tc>
          <w:tcPr>
            <w:tcW w:type="dxa" w:w="2340"/>
            <w:shd w:fill="F4F6F9"/>
            <w:tcMar>
              <w:top w:w="60" w:type="dxa"/>
              <w:bottom w:w="60" w:type="dxa"/>
              <w:left w:w="80" w:type="dxa"/>
              <w:right w:w="80" w:type="dxa"/>
            </w:tcMar>
          </w:tcPr>
          <w:p>
            <w:r>
              <w:rPr>
                <w:sz w:val="18"/>
              </w:rPr>
              <w:t>'Show my schedule for Monday', 'What time is my AI lecture?', 'When is class?'</w:t>
            </w:r>
          </w:p>
        </w:tc>
        <w:tc>
          <w:tcPr>
            <w:tcW w:type="dxa" w:w="2340"/>
            <w:shd w:fill="F4F6F9"/>
            <w:tcMar>
              <w:top w:w="60" w:type="dxa"/>
              <w:bottom w:w="60" w:type="dxa"/>
              <w:left w:w="80" w:type="dxa"/>
              <w:right w:w="80" w:type="dxa"/>
            </w:tcMar>
          </w:tcPr>
          <w:p>
            <w:r>
              <w:rPr>
                <w:sz w:val="18"/>
              </w:rPr>
              <w:t>@sys.date (e.g., Monday), @course_code</w:t>
            </w:r>
          </w:p>
        </w:tc>
        <w:tc>
          <w:tcPr>
            <w:tcW w:type="dxa" w:w="2340"/>
            <w:shd w:fill="F4F6F9"/>
            <w:tcMar>
              <w:top w:w="60" w:type="dxa"/>
              <w:bottom w:w="60" w:type="dxa"/>
              <w:left w:w="80" w:type="dxa"/>
              <w:right w:w="80" w:type="dxa"/>
            </w:tcMar>
          </w:tcPr>
          <w:p>
            <w:r>
              <w:rPr>
                <w:sz w:val="18"/>
              </w:rPr>
              <w:t>Input Context: await_choice</w:t>
            </w:r>
          </w:p>
        </w:tc>
      </w:tr>
      <w:tr>
        <w:tc>
          <w:tcPr>
            <w:tcW w:type="dxa" w:w="2340"/>
            <w:shd w:fill="FFFFFF"/>
            <w:tcMar>
              <w:top w:w="60" w:type="dxa"/>
              <w:bottom w:w="60" w:type="dxa"/>
              <w:left w:w="80" w:type="dxa"/>
              <w:right w:w="80" w:type="dxa"/>
            </w:tcMar>
          </w:tcPr>
          <w:p>
            <w:r>
              <w:rPr>
                <w:b/>
                <w:color w:val="1B365D"/>
                <w:sz w:val="18"/>
              </w:rPr>
              <w:t>Exam.Schedule</w:t>
            </w:r>
          </w:p>
        </w:tc>
        <w:tc>
          <w:tcPr>
            <w:tcW w:type="dxa" w:w="2340"/>
            <w:shd w:fill="FFFFFF"/>
            <w:tcMar>
              <w:top w:w="60" w:type="dxa"/>
              <w:bottom w:w="60" w:type="dxa"/>
              <w:left w:w="80" w:type="dxa"/>
              <w:right w:w="80" w:type="dxa"/>
            </w:tcMar>
          </w:tcPr>
          <w:p>
            <w:r>
              <w:rPr>
                <w:sz w:val="18"/>
              </w:rPr>
              <w:t>'When is the AI end-sem exam?', 'Exam timetable for MLA01', 'Where is my exam?'</w:t>
            </w:r>
          </w:p>
        </w:tc>
        <w:tc>
          <w:tcPr>
            <w:tcW w:type="dxa" w:w="2340"/>
            <w:shd w:fill="FFFFFF"/>
            <w:tcMar>
              <w:top w:w="60" w:type="dxa"/>
              <w:bottom w:w="60" w:type="dxa"/>
              <w:left w:w="80" w:type="dxa"/>
              <w:right w:w="80" w:type="dxa"/>
            </w:tcMar>
          </w:tcPr>
          <w:p>
            <w:r>
              <w:rPr>
                <w:sz w:val="18"/>
              </w:rPr>
              <w:t>@course_code (e.g., MLA01), @exam_type</w:t>
            </w:r>
          </w:p>
        </w:tc>
        <w:tc>
          <w:tcPr>
            <w:tcW w:type="dxa" w:w="2340"/>
            <w:shd w:fill="FFFFFF"/>
            <w:tcMar>
              <w:top w:w="60" w:type="dxa"/>
              <w:bottom w:w="60" w:type="dxa"/>
              <w:left w:w="80" w:type="dxa"/>
              <w:right w:w="80" w:type="dxa"/>
            </w:tcMar>
          </w:tcPr>
          <w:p>
            <w:r>
              <w:rPr>
                <w:sz w:val="18"/>
              </w:rPr>
              <w:t>Input Context: await_choice</w:t>
              <w:br/>
              <w:t>Output Context: exam_active</w:t>
            </w:r>
          </w:p>
        </w:tc>
      </w:tr>
      <w:tr>
        <w:tc>
          <w:tcPr>
            <w:tcW w:type="dxa" w:w="2340"/>
            <w:shd w:fill="F4F6F9"/>
            <w:tcMar>
              <w:top w:w="60" w:type="dxa"/>
              <w:bottom w:w="60" w:type="dxa"/>
              <w:left w:w="80" w:type="dxa"/>
              <w:right w:w="80" w:type="dxa"/>
            </w:tcMar>
          </w:tcPr>
          <w:p>
            <w:r>
              <w:rPr>
                <w:b/>
                <w:color w:val="1B365D"/>
                <w:sz w:val="18"/>
              </w:rPr>
              <w:t>Attendance.Details</w:t>
            </w:r>
          </w:p>
        </w:tc>
        <w:tc>
          <w:tcPr>
            <w:tcW w:type="dxa" w:w="2340"/>
            <w:shd w:fill="F4F6F9"/>
            <w:tcMar>
              <w:top w:w="60" w:type="dxa"/>
              <w:bottom w:w="60" w:type="dxa"/>
              <w:left w:w="80" w:type="dxa"/>
              <w:right w:w="80" w:type="dxa"/>
            </w:tcMar>
          </w:tcPr>
          <w:p>
            <w:r>
              <w:rPr>
                <w:sz w:val="18"/>
              </w:rPr>
              <w:t>'What is my attendance percentage in MLA01?', 'Am I eligible for exams?'</w:t>
            </w:r>
          </w:p>
        </w:tc>
        <w:tc>
          <w:tcPr>
            <w:tcW w:type="dxa" w:w="2340"/>
            <w:shd w:fill="F4F6F9"/>
            <w:tcMar>
              <w:top w:w="60" w:type="dxa"/>
              <w:bottom w:w="60" w:type="dxa"/>
              <w:left w:w="80" w:type="dxa"/>
              <w:right w:w="80" w:type="dxa"/>
            </w:tcMar>
          </w:tcPr>
          <w:p>
            <w:r>
              <w:rPr>
                <w:sz w:val="18"/>
              </w:rPr>
              <w:t>@course_code (e.g., MLA01)</w:t>
            </w:r>
          </w:p>
        </w:tc>
        <w:tc>
          <w:tcPr>
            <w:tcW w:type="dxa" w:w="2340"/>
            <w:shd w:fill="F4F6F9"/>
            <w:tcMar>
              <w:top w:w="60" w:type="dxa"/>
              <w:bottom w:w="60" w:type="dxa"/>
              <w:left w:w="80" w:type="dxa"/>
              <w:right w:w="80" w:type="dxa"/>
            </w:tcMar>
          </w:tcPr>
          <w:p>
            <w:r>
              <w:rPr>
                <w:sz w:val="18"/>
              </w:rPr>
              <w:t>Input Context: await_choice</w:t>
            </w:r>
          </w:p>
        </w:tc>
      </w:tr>
      <w:tr>
        <w:tc>
          <w:tcPr>
            <w:tcW w:type="dxa" w:w="2340"/>
            <w:shd w:fill="FFFFFF"/>
            <w:tcMar>
              <w:top w:w="60" w:type="dxa"/>
              <w:bottom w:w="60" w:type="dxa"/>
              <w:left w:w="80" w:type="dxa"/>
              <w:right w:w="80" w:type="dxa"/>
            </w:tcMar>
          </w:tcPr>
          <w:p>
            <w:r>
              <w:rPr>
                <w:b/>
                <w:color w:val="1B365D"/>
                <w:sz w:val="18"/>
              </w:rPr>
              <w:t>Campus.Services</w:t>
            </w:r>
          </w:p>
        </w:tc>
        <w:tc>
          <w:tcPr>
            <w:tcW w:type="dxa" w:w="2340"/>
            <w:shd w:fill="FFFFFF"/>
            <w:tcMar>
              <w:top w:w="60" w:type="dxa"/>
              <w:bottom w:w="60" w:type="dxa"/>
              <w:left w:w="80" w:type="dxa"/>
              <w:right w:w="80" w:type="dxa"/>
            </w:tcMar>
          </w:tcPr>
          <w:p>
            <w:r>
              <w:rPr>
                <w:sz w:val="18"/>
              </w:rPr>
              <w:t>'Where is the library located?', 'Hostel mess timing', 'Wi-Fi support desk'</w:t>
            </w:r>
          </w:p>
        </w:tc>
        <w:tc>
          <w:tcPr>
            <w:tcW w:type="dxa" w:w="2340"/>
            <w:shd w:fill="FFFFFF"/>
            <w:tcMar>
              <w:top w:w="60" w:type="dxa"/>
              <w:bottom w:w="60" w:type="dxa"/>
              <w:left w:w="80" w:type="dxa"/>
              <w:right w:w="80" w:type="dxa"/>
            </w:tcMar>
          </w:tcPr>
          <w:p>
            <w:r>
              <w:rPr>
                <w:sz w:val="18"/>
              </w:rPr>
              <w:t>@service_type (e.g., Library, Mess)</w:t>
            </w:r>
          </w:p>
        </w:tc>
        <w:tc>
          <w:tcPr>
            <w:tcW w:type="dxa" w:w="2340"/>
            <w:shd w:fill="FFFFFF"/>
            <w:tcMar>
              <w:top w:w="60" w:type="dxa"/>
              <w:bottom w:w="60" w:type="dxa"/>
              <w:left w:w="80" w:type="dxa"/>
              <w:right w:w="80" w:type="dxa"/>
            </w:tcMar>
          </w:tcPr>
          <w:p>
            <w:r>
              <w:rPr>
                <w:sz w:val="18"/>
              </w:rPr>
              <w:t>Input Context: await_choice</w:t>
            </w:r>
          </w:p>
        </w:tc>
      </w:tr>
    </w:tbl>
    <w:p>
      <w:pPr>
        <w:spacing w:after="160"/>
      </w:pPr>
    </w:p>
    <w:p>
      <w:pPr>
        <w:keepNext/>
        <w:spacing w:before="280" w:after="80"/>
      </w:pPr>
      <w:r>
        <w:rPr>
          <w:rFonts w:ascii="Calibri" w:hAnsi="Calibri"/>
          <w:b/>
          <w:color w:val="008080"/>
          <w:sz w:val="26"/>
        </w:rPr>
        <w:t>3. Deep-Dive: The 4-Stage Perception Pipeline</w:t>
      </w:r>
    </w:p>
    <w:p>
      <w:pPr>
        <w:spacing w:after="120" w:line="276" w:lineRule="auto"/>
      </w:pPr>
      <w:r>
        <w:rPr>
          <w:rFonts w:ascii="Calibri" w:hAnsi="Calibri"/>
          <w:color w:val="323232"/>
          <w:sz w:val="22"/>
        </w:rPr>
        <w:t>When a student sends a message, Dialogflow processes the input through four distinct technical stages:</w:t>
      </w:r>
    </w:p>
    <w:p>
      <w:pPr>
        <w:spacing w:after="120" w:line="276" w:lineRule="auto"/>
      </w:pPr>
      <w:r>
        <w:rPr>
          <w:rFonts w:ascii="Calibri" w:hAnsi="Calibri"/>
          <w:b/>
          <w:color w:val="323232"/>
          <w:sz w:val="22"/>
        </w:rPr>
        <w:t xml:space="preserve">Stage 1 - Text Parsing &amp; Cleaning: </w:t>
      </w:r>
      <w:r>
        <w:rPr>
          <w:rFonts w:ascii="Calibri" w:hAnsi="Calibri"/>
          <w:color w:val="323232"/>
          <w:sz w:val="22"/>
        </w:rPr>
        <w:t>The incoming raw text is stripped of special characters, converted to lowercase, and split into clean word tokens.</w:t>
      </w:r>
    </w:p>
    <w:p>
      <w:pPr>
        <w:spacing w:after="120" w:line="276" w:lineRule="auto"/>
      </w:pPr>
      <w:r>
        <w:rPr>
          <w:rFonts w:ascii="Calibri" w:hAnsi="Calibri"/>
          <w:b/>
          <w:color w:val="323232"/>
          <w:sz w:val="22"/>
        </w:rPr>
        <w:t xml:space="preserve">Stage 2 - Vector Analysis &amp; Entity Extraction: </w:t>
      </w:r>
      <w:r>
        <w:rPr>
          <w:rFonts w:ascii="Calibri" w:hAnsi="Calibri"/>
          <w:color w:val="323232"/>
          <w:sz w:val="22"/>
        </w:rPr>
        <w:t>The cleaned text is converted into a mathematical vector embedding. Machine learning models compare this vector against pre-trained intent vectors using Cosine Similarity. At the same time, entity values (e.g., '@course_code = MLA01') are isolated.</w:t>
      </w:r>
    </w:p>
    <w:p>
      <w:pPr>
        <w:spacing w:after="120" w:line="276" w:lineRule="auto"/>
      </w:pPr>
      <w:r>
        <w:rPr>
          <w:rFonts w:ascii="Calibri" w:hAnsi="Calibri"/>
          <w:b/>
          <w:color w:val="323232"/>
          <w:sz w:val="22"/>
        </w:rPr>
        <w:t xml:space="preserve">Stage 3 - Context Evaluation: </w:t>
      </w:r>
      <w:r>
        <w:rPr>
          <w:rFonts w:ascii="Calibri" w:hAnsi="Calibri"/>
          <w:color w:val="323232"/>
          <w:sz w:val="22"/>
        </w:rPr>
        <w:t>The agent checks active session contexts. Contexts act as short-term memory, ensuring the agent understands follow-up questions (for example, if a student says 'What about Monday?', the agent knows 'Monday' refers to the timetable context active from the previous turn).</w:t>
      </w:r>
    </w:p>
    <w:p>
      <w:pPr>
        <w:spacing w:after="120" w:line="276" w:lineRule="auto"/>
      </w:pPr>
      <w:r>
        <w:rPr>
          <w:rFonts w:ascii="Calibri" w:hAnsi="Calibri"/>
          <w:b/>
          <w:color w:val="323232"/>
          <w:sz w:val="22"/>
        </w:rPr>
        <w:t xml:space="preserve">Stage 4 - Fulfillment &amp; Response Generation: </w:t>
      </w:r>
      <w:r>
        <w:rPr>
          <w:rFonts w:ascii="Calibri" w:hAnsi="Calibri"/>
          <w:color w:val="323232"/>
          <w:sz w:val="22"/>
        </w:rPr>
        <w:t>Once the intent and parameters are identified, Dialogflow either returns a structured static answer or triggers a fulfillment Webhook API to query the backend database and construct a personalized reply.</w:t>
      </w:r>
    </w:p>
    <w:p>
      <w:pPr>
        <w:keepNext/>
        <w:spacing w:before="280" w:after="80"/>
      </w:pPr>
      <w:r>
        <w:rPr>
          <w:rFonts w:ascii="Calibri" w:hAnsi="Calibri"/>
          <w:b/>
          <w:color w:val="008080"/>
          <w:sz w:val="26"/>
        </w:rPr>
        <w:t>4. Real Conversation Trace &amp; Execution Simulation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after="80"/>
            </w:pPr>
            <w:r>
              <w:rPr>
                <w:rFonts w:ascii="Calibri" w:hAnsi="Calibri"/>
                <w:b/>
                <w:color w:val="1B365D"/>
                <w:sz w:val="22"/>
              </w:rPr>
              <w:t>📌 Dialogflow Console Execution Trace</w:t>
              <w:br/>
            </w:r>
            <w:r>
              <w:rPr>
                <w:rFonts w:ascii="Calibri" w:hAnsi="Calibri"/>
                <w:i/>
                <w:color w:val="323232"/>
                <w:sz w:val="21"/>
              </w:rPr>
              <w:t>User Query: 'Hi, can you check my exam schedule for MLA01?'</w:t>
              <w:br/>
              <w:br/>
              <w:t>System Execution Logs:</w:t>
              <w:br/>
              <w:t xml:space="preserve">  • Input Text: 'Hi, can you check my exam schedule for MLA01?'</w:t>
              <w:br/>
              <w:t xml:space="preserve">  • Intent Detected: Exam.Schedule</w:t>
              <w:br/>
              <w:t xml:space="preserve">  • Confidence Score: 0.96 (High certainty)</w:t>
              <w:br/>
              <w:t xml:space="preserve">  • Entity Extracted: { 'course_code': 'MLA01', 'exam_type': 'end-sem' }</w:t>
              <w:br/>
              <w:t xml:space="preserve">  • Active Contexts: [exam_active (lifespan = 2)]</w:t>
              <w:br/>
              <w:t xml:space="preserve">  • Fulfillment Triggered: Webhook call to SIS Database -&gt; Querying Exam Table for MLA01</w:t>
              <w:br/>
              <w:br/>
              <w:t>Final Agent Reply: 'The End-Semester Exam for Artificial Intelligence and Expert Systems (MLA01) is scheduled for Nov 24, 2026, at 10:00 AM in Hall 3B. Please bring your hall ticket.'</w:t>
            </w:r>
          </w:p>
        </w:tc>
      </w:tr>
    </w:tbl>
    <w:p>
      <w:pPr>
        <w:spacing w:after="80"/>
      </w:pPr>
    </w:p>
    <w:p>
      <w:pPr>
        <w:keepNext/>
        <w:spacing w:before="440" w:after="160"/>
      </w:pPr>
      <w:r>
        <w:rPr>
          <w:rFonts w:ascii="Calibri" w:hAnsi="Calibri"/>
          <w:b/>
          <w:color w:val="1B365D"/>
          <w:sz w:val="32"/>
        </w:rPr>
        <w:t>Question 3: Problem Formulation &amp; Decision Flow</w:t>
      </w:r>
    </w:p>
    <w:p>
      <w:pPr>
        <w:keepNext/>
        <w:spacing w:before="280" w:after="80"/>
      </w:pPr>
      <w:r>
        <w:rPr>
          <w:rFonts w:ascii="Calibri" w:hAnsi="Calibri"/>
          <w:b/>
          <w:color w:val="008080"/>
          <w:sz w:val="26"/>
        </w:rPr>
        <w:t>1. AI State Space Search Formalism</w:t>
      </w:r>
    </w:p>
    <w:p>
      <w:pPr>
        <w:spacing w:after="120" w:line="276" w:lineRule="auto"/>
      </w:pPr>
      <w:r>
        <w:rPr>
          <w:rFonts w:ascii="Calibri" w:hAnsi="Calibri"/>
          <w:color w:val="323232"/>
          <w:sz w:val="22"/>
        </w:rPr>
        <w:t>In formal Artificial Intelligence theory, conversational dialogue can be modeled as a State Space Search Problem. We define the conversation system using a formal 5-tuple structure: (S, S0, A, T, G)</w:t>
      </w:r>
    </w:p>
    <w:p>
      <w:pPr>
        <w:spacing w:after="120" w:line="276" w:lineRule="auto"/>
      </w:pPr>
      <w:r>
        <w:rPr>
          <w:rFonts w:ascii="Calibri" w:hAnsi="Calibri"/>
          <w:b/>
          <w:color w:val="323232"/>
          <w:sz w:val="22"/>
        </w:rPr>
        <w:t xml:space="preserve">1. Initial State (S0): </w:t>
      </w:r>
      <w:r>
        <w:rPr>
          <w:rFonts w:ascii="Calibri" w:hAnsi="Calibri"/>
          <w:color w:val="323232"/>
          <w:sz w:val="22"/>
        </w:rPr>
        <w:t>The uninitialized session state where the user connects to the agent. Context queue is empty, and session variables are created.</w:t>
      </w:r>
    </w:p>
    <w:p>
      <w:pPr>
        <w:spacing w:after="120" w:line="276" w:lineRule="auto"/>
      </w:pPr>
      <w:r>
        <w:rPr>
          <w:rFonts w:ascii="Calibri" w:hAnsi="Calibri"/>
          <w:b/>
          <w:color w:val="323232"/>
          <w:sz w:val="22"/>
        </w:rPr>
        <w:t xml:space="preserve">2. Set of All States (S): </w:t>
      </w:r>
      <w:r>
        <w:rPr>
          <w:rFonts w:ascii="Calibri" w:hAnsi="Calibri"/>
          <w:color w:val="323232"/>
          <w:sz w:val="22"/>
        </w:rPr>
        <w:t>The set of all possible operational states in the dialogue (Greeting State, Slot-Filling State, Database Querying State, Result Display State, Fallback State, Escalation State).</w:t>
      </w:r>
    </w:p>
    <w:p>
      <w:pPr>
        <w:spacing w:after="120" w:line="276" w:lineRule="auto"/>
      </w:pPr>
      <w:r>
        <w:rPr>
          <w:rFonts w:ascii="Calibri" w:hAnsi="Calibri"/>
          <w:b/>
          <w:color w:val="323232"/>
          <w:sz w:val="22"/>
        </w:rPr>
        <w:t xml:space="preserve">3. Actions (A): </w:t>
      </w:r>
      <w:r>
        <w:rPr>
          <w:rFonts w:ascii="Calibri" w:hAnsi="Calibri"/>
          <w:color w:val="323232"/>
          <w:sz w:val="22"/>
        </w:rPr>
        <w:t>User inputs (typing a question, providing missing parameters, clicking quick-reply buttons) and agent triggers.</w:t>
      </w:r>
    </w:p>
    <w:p>
      <w:pPr>
        <w:spacing w:after="120" w:line="276" w:lineRule="auto"/>
      </w:pPr>
      <w:r>
        <w:rPr>
          <w:rFonts w:ascii="Calibri" w:hAnsi="Calibri"/>
          <w:b/>
          <w:color w:val="323232"/>
          <w:sz w:val="22"/>
        </w:rPr>
        <w:t xml:space="preserve">4. Transition Function (T): </w:t>
      </w:r>
      <w:r>
        <w:rPr>
          <w:rFonts w:ascii="Calibri" w:hAnsi="Calibri"/>
          <w:color w:val="323232"/>
          <w:sz w:val="22"/>
        </w:rPr>
        <w:t>The rule that maps a current state and a user action to a new state: T(S_current, Action) -&gt; S_next.</w:t>
      </w:r>
    </w:p>
    <w:p>
      <w:pPr>
        <w:spacing w:after="120" w:line="276" w:lineRule="auto"/>
      </w:pPr>
      <w:r>
        <w:rPr>
          <w:rFonts w:ascii="Calibri" w:hAnsi="Calibri"/>
          <w:b/>
          <w:color w:val="323232"/>
          <w:sz w:val="22"/>
        </w:rPr>
        <w:t xml:space="preserve">5. Goal State (G): </w:t>
      </w:r>
      <w:r>
        <w:rPr>
          <w:rFonts w:ascii="Calibri" w:hAnsi="Calibri"/>
          <w:color w:val="323232"/>
          <w:sz w:val="22"/>
        </w:rPr>
        <w:t>The successful fulfillment of the student's request (e.g., displaying the exact exam time or attendance percentage) followed by smooth conversation closure.</w:t>
      </w:r>
    </w:p>
    <w:p>
      <w:pPr>
        <w:keepNext/>
        <w:spacing w:before="280" w:after="80"/>
      </w:pPr>
      <w:r>
        <w:rPr>
          <w:rFonts w:ascii="Calibri" w:hAnsi="Calibri"/>
          <w:b/>
          <w:color w:val="008080"/>
          <w:sz w:val="26"/>
        </w:rPr>
        <w:t>2. Step-by-Step Decision Logic &amp; Flowchart Structure</w:t>
      </w:r>
    </w:p>
    <w:p>
      <w:pPr>
        <w:spacing w:after="120" w:line="276" w:lineRule="auto"/>
      </w:pPr>
      <w:r>
        <w:rPr>
          <w:rFonts w:ascii="Calibri" w:hAnsi="Calibri"/>
          <w:color w:val="323232"/>
          <w:sz w:val="22"/>
        </w:rPr>
        <w:t>The complete step-by-step decision tree governing how the agent handles user inputs is represented below:</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after="40"/>
            </w:pPr>
            <w:r>
              <w:rPr>
                <w:b/>
                <w:color w:val="1B365D"/>
                <w:sz w:val="20"/>
              </w:rPr>
              <w:t>COMPLETE DECISION FLOW DIAGRAM</w:t>
              <w:br/>
            </w:r>
            <w:r>
              <w:rPr>
                <w:rFonts w:ascii="Courier New" w:hAnsi="Courier New"/>
                <w:color w:val="323232"/>
                <w:sz w:val="17"/>
              </w:rPr>
              <w:t xml:space="preserve"> [ START: User Opens Chat Widget ]</w:t>
              <w:br/>
              <w:t xml:space="preserve">               │</w:t>
              <w:br/>
              <w:t xml:space="preserve">               ▼</w:t>
              <w:br/>
              <w:t xml:space="preserve"> [ State S0: Welcome Greeting + Topic Buttons Displayed ]</w:t>
              <w:br/>
              <w:t xml:space="preserve">               │</w:t>
              <w:br/>
              <w:t xml:space="preserve">               ▼</w:t>
              <w:br/>
              <w:t xml:space="preserve"> [ Student Sends Input Query ] ──► Parse Vector Embedding</w:t>
              <w:br/>
              <w:t xml:space="preserve">                                      │</w:t>
              <w:br/>
              <w:t xml:space="preserve">                           Is Confidence Score &gt;= 0.75?</w:t>
              <w:br/>
              <w:t xml:space="preserve">                             /                  \</w:t>
              <w:br/>
              <w:t xml:space="preserve">                           YES                   NO</w:t>
              <w:br/>
              <w:t xml:space="preserve">                            │                     │</w:t>
              <w:br/>
              <w:t xml:space="preserve">                            │                     ▼</w:t>
              <w:br/>
              <w:t xml:space="preserve">                            │            [ Trigger Fallback State ]</w:t>
              <w:br/>
              <w:t xml:space="preserve">                            │            Increment Retry Count (+1)</w:t>
              <w:br/>
              <w:t xml:space="preserve">                            │                     │</w:t>
              <w:br/>
              <w:t xml:space="preserve">                            │             Is Retry Count &gt; 2?</w:t>
              <w:br/>
              <w:t xml:space="preserve">                            │              /             \</w:t>
              <w:br/>
              <w:t xml:space="preserve">                            │            YES              NO</w:t>
              <w:br/>
              <w:t xml:space="preserve">                            │             │                │</w:t>
              <w:br/>
              <w:t xml:space="preserve">                            │             ▼                ▼</w:t>
              <w:br/>
              <w:t xml:space="preserve">                            │       [ Escalation ]   [ Show Help Buttons ]</w:t>
              <w:br/>
              <w:t xml:space="preserve">                            │       (Human Agent)   (Rephrase Prompt)</w:t>
              <w:br/>
              <w:t xml:space="preserve">                            │</w:t>
              <w:br/>
              <w:t xml:space="preserve">                            ▼</w:t>
              <w:br/>
              <w:t xml:space="preserve">                 Are All Entities Present?</w:t>
              <w:br/>
              <w:t xml:space="preserve">                 (e.g., Course Code, Date)</w:t>
              <w:br/>
              <w:t xml:space="preserve">                    /               \</w:t>
              <w:br/>
              <w:t xml:space="preserve">                  YES                NO</w:t>
              <w:br/>
              <w:t xml:space="preserve">                   │                  │</w:t>
              <w:br/>
              <w:t xml:space="preserve">                   │                  ▼</w:t>
              <w:br/>
              <w:t xml:space="preserve">                   │         [ Slot-Filling State ]</w:t>
              <w:br/>
              <w:t xml:space="preserve">                   │         (Prompt user: 'Which course code?')</w:t>
              <w:br/>
              <w:t xml:space="preserve">                   │                  │</w:t>
              <w:br/>
              <w:t xml:space="preserve">                   │                  └── Input Received ──┐</w:t>
              <w:br/>
              <w:t xml:space="preserve">                   ▼                                      │</w:t>
              <w:br/>
              <w:t xml:space="preserve"> [ State S_Fulfill: Execute Webhook API Call to SIS ] ◄────┘</w:t>
              <w:br/>
              <w:t xml:space="preserve">               │</w:t>
              <w:br/>
              <w:t xml:space="preserve">               ▼</w:t>
              <w:br/>
              <w:t xml:space="preserve"> [ State G: Display Formatted Result &amp; Offer Follow-Up ]</w:t>
              <w:br/>
              <w:t xml:space="preserve">               │</w:t>
              <w:br/>
              <w:t xml:space="preserve">               ▼</w:t>
              <w:br/>
              <w:t xml:space="preserve"> [ END: Goal Accomplished / Session Reset ]</w:t>
            </w:r>
          </w:p>
        </w:tc>
      </w:tr>
    </w:tbl>
    <w:p>
      <w:pPr>
        <w:spacing w:after="160"/>
      </w:pPr>
    </w:p>
    <w:p>
      <w:pPr>
        <w:keepNext/>
        <w:spacing w:before="440" w:after="160"/>
      </w:pPr>
      <w:r>
        <w:rPr>
          <w:rFonts w:ascii="Calibri" w:hAnsi="Calibri"/>
          <w:b/>
          <w:color w:val="1B365D"/>
          <w:sz w:val="32"/>
        </w:rPr>
        <w:t>Question 4: Applying AI Search Techniques &amp; Reasoning</w:t>
      </w:r>
    </w:p>
    <w:p>
      <w:pPr>
        <w:keepNext/>
        <w:spacing w:before="280" w:after="80"/>
      </w:pPr>
      <w:r>
        <w:rPr>
          <w:rFonts w:ascii="Calibri" w:hAnsi="Calibri"/>
          <w:b/>
          <w:color w:val="008080"/>
          <w:sz w:val="26"/>
        </w:rPr>
        <w:t>1. Search Problem Formulation in Dialogue Engines</w:t>
      </w:r>
    </w:p>
    <w:p>
      <w:pPr>
        <w:spacing w:after="120" w:line="276" w:lineRule="auto"/>
      </w:pPr>
      <w:r>
        <w:rPr>
          <w:rFonts w:ascii="Calibri" w:hAnsi="Calibri"/>
          <w:color w:val="323232"/>
          <w:sz w:val="22"/>
        </w:rPr>
        <w:t>When an AI agent receives a user input, it must search through a large graph of possible intents and dialogue paths. In AI theory, search algorithms can be categorized into Uninformed Search (which explores states blindly) and Heuristic Search (which uses domain knowledge to jump to the best answer).</w:t>
      </w:r>
    </w:p>
    <w:p>
      <w:pPr>
        <w:keepNext/>
        <w:spacing w:before="280" w:after="80"/>
      </w:pPr>
      <w:r>
        <w:rPr>
          <w:rFonts w:ascii="Calibri" w:hAnsi="Calibri"/>
          <w:b/>
          <w:color w:val="008080"/>
          <w:sz w:val="26"/>
        </w:rPr>
        <w:t>2. Detailed Comparison: Uninformed Search vs. Heuristic Search</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120"/>
        <w:gridCol w:w="3120"/>
        <w:gridCol w:w="3120"/>
      </w:tblGrid>
      <w:tr>
        <w:tc>
          <w:tcPr>
            <w:tcW w:type="dxa" w:w="3120"/>
            <w:shd w:fill="1B365D"/>
          </w:tcPr>
          <w:p>
            <w:r>
              <w:rPr>
                <w:b/>
                <w:color w:val="FFFFFF"/>
                <w:sz w:val="19"/>
              </w:rPr>
              <w:t>Comparison Dimension</w:t>
            </w:r>
          </w:p>
        </w:tc>
        <w:tc>
          <w:tcPr>
            <w:tcW w:type="dxa" w:w="3120"/>
            <w:shd w:fill="1B365D"/>
          </w:tcPr>
          <w:p>
            <w:r>
              <w:rPr>
                <w:b/>
                <w:color w:val="FFFFFF"/>
                <w:sz w:val="19"/>
              </w:rPr>
              <w:t>Uninformed Search (e.g., BFS)</w:t>
            </w:r>
          </w:p>
        </w:tc>
        <w:tc>
          <w:tcPr>
            <w:tcW w:type="dxa" w:w="3120"/>
            <w:shd w:fill="1B365D"/>
          </w:tcPr>
          <w:p>
            <w:r>
              <w:rPr>
                <w:b/>
                <w:color w:val="FFFFFF"/>
                <w:sz w:val="19"/>
              </w:rPr>
              <w:t>Heuristic Search (Cosine / A*)</w:t>
            </w:r>
          </w:p>
        </w:tc>
      </w:tr>
      <w:tr>
        <w:tc>
          <w:tcPr>
            <w:tcW w:type="dxa" w:w="3120"/>
            <w:shd w:fill="F4F6F9"/>
            <w:tcMar>
              <w:top w:w="60" w:type="dxa"/>
              <w:bottom w:w="60" w:type="dxa"/>
              <w:left w:w="80" w:type="dxa"/>
              <w:right w:w="80" w:type="dxa"/>
            </w:tcMar>
          </w:tcPr>
          <w:p>
            <w:r>
              <w:rPr>
                <w:b/>
                <w:color w:val="1B365D"/>
                <w:sz w:val="18"/>
              </w:rPr>
              <w:t>Search Logic</w:t>
            </w:r>
          </w:p>
        </w:tc>
        <w:tc>
          <w:tcPr>
            <w:tcW w:type="dxa" w:w="3120"/>
            <w:shd w:fill="F4F6F9"/>
            <w:tcMar>
              <w:top w:w="60" w:type="dxa"/>
              <w:bottom w:w="60" w:type="dxa"/>
              <w:left w:w="80" w:type="dxa"/>
              <w:right w:w="80" w:type="dxa"/>
            </w:tcMar>
          </w:tcPr>
          <w:p>
            <w:r>
              <w:rPr>
                <w:sz w:val="18"/>
              </w:rPr>
              <w:t>Traverses the dialogue decision tree level-by-level, checking every intent node in sequence without prioritization.</w:t>
            </w:r>
          </w:p>
        </w:tc>
        <w:tc>
          <w:tcPr>
            <w:tcW w:type="dxa" w:w="3120"/>
            <w:shd w:fill="F4F6F9"/>
            <w:tcMar>
              <w:top w:w="60" w:type="dxa"/>
              <w:bottom w:w="60" w:type="dxa"/>
              <w:left w:w="80" w:type="dxa"/>
              <w:right w:w="80" w:type="dxa"/>
            </w:tcMar>
          </w:tcPr>
          <w:p>
            <w:r>
              <w:rPr>
                <w:sz w:val="18"/>
              </w:rPr>
              <w:t>Calculates a mathematical similarity score between the input phrase and candidate intent vectors to jump directly to the closest match.</w:t>
            </w:r>
          </w:p>
        </w:tc>
      </w:tr>
      <w:tr>
        <w:tc>
          <w:tcPr>
            <w:tcW w:type="dxa" w:w="3120"/>
            <w:shd w:fill="FFFFFF"/>
            <w:tcMar>
              <w:top w:w="60" w:type="dxa"/>
              <w:bottom w:w="60" w:type="dxa"/>
              <w:left w:w="80" w:type="dxa"/>
              <w:right w:w="80" w:type="dxa"/>
            </w:tcMar>
          </w:tcPr>
          <w:p>
            <w:r>
              <w:rPr>
                <w:b/>
                <w:color w:val="1B365D"/>
                <w:sz w:val="18"/>
              </w:rPr>
              <w:t>Time Complexity</w:t>
            </w:r>
          </w:p>
        </w:tc>
        <w:tc>
          <w:tcPr>
            <w:tcW w:type="dxa" w:w="3120"/>
            <w:shd w:fill="FFFFFF"/>
            <w:tcMar>
              <w:top w:w="60" w:type="dxa"/>
              <w:bottom w:w="60" w:type="dxa"/>
              <w:left w:w="80" w:type="dxa"/>
              <w:right w:w="80" w:type="dxa"/>
            </w:tcMar>
          </w:tcPr>
          <w:p>
            <w:r>
              <w:rPr>
                <w:sz w:val="18"/>
              </w:rPr>
              <w:t>O(b^d) — Exponential time complexity where b is branching factor and d is depth. Unacceptably slow for real-time systems.</w:t>
            </w:r>
          </w:p>
        </w:tc>
        <w:tc>
          <w:tcPr>
            <w:tcW w:type="dxa" w:w="3120"/>
            <w:shd w:fill="FFFFFF"/>
            <w:tcMar>
              <w:top w:w="60" w:type="dxa"/>
              <w:bottom w:w="60" w:type="dxa"/>
              <w:left w:w="80" w:type="dxa"/>
              <w:right w:w="80" w:type="dxa"/>
            </w:tcMar>
          </w:tcPr>
          <w:p>
            <w:r>
              <w:rPr>
                <w:sz w:val="18"/>
              </w:rPr>
              <w:t>O(d) or vector-index search time — Extremely fast, yielding sub-second responses even with hundreds of intents.</w:t>
            </w:r>
          </w:p>
        </w:tc>
      </w:tr>
      <w:tr>
        <w:tc>
          <w:tcPr>
            <w:tcW w:type="dxa" w:w="3120"/>
            <w:shd w:fill="F4F6F9"/>
            <w:tcMar>
              <w:top w:w="60" w:type="dxa"/>
              <w:bottom w:w="60" w:type="dxa"/>
              <w:left w:w="80" w:type="dxa"/>
              <w:right w:w="80" w:type="dxa"/>
            </w:tcMar>
          </w:tcPr>
          <w:p>
            <w:r>
              <w:rPr>
                <w:b/>
                <w:color w:val="1B365D"/>
                <w:sz w:val="18"/>
              </w:rPr>
              <w:t>Context Awareness</w:t>
            </w:r>
          </w:p>
        </w:tc>
        <w:tc>
          <w:tcPr>
            <w:tcW w:type="dxa" w:w="3120"/>
            <w:shd w:fill="F4F6F9"/>
            <w:tcMar>
              <w:top w:w="60" w:type="dxa"/>
              <w:bottom w:w="60" w:type="dxa"/>
              <w:left w:w="80" w:type="dxa"/>
              <w:right w:w="80" w:type="dxa"/>
            </w:tcMar>
          </w:tcPr>
          <w:p>
            <w:r>
              <w:rPr>
                <w:sz w:val="18"/>
              </w:rPr>
              <w:t>Treats all conversation paths equally, ignoring short-term memory or session context.</w:t>
            </w:r>
          </w:p>
        </w:tc>
        <w:tc>
          <w:tcPr>
            <w:tcW w:type="dxa" w:w="3120"/>
            <w:shd w:fill="F4F6F9"/>
            <w:tcMar>
              <w:top w:w="60" w:type="dxa"/>
              <w:bottom w:w="60" w:type="dxa"/>
              <w:left w:w="80" w:type="dxa"/>
              <w:right w:w="80" w:type="dxa"/>
            </w:tcMar>
          </w:tcPr>
          <w:p>
            <w:r>
              <w:rPr>
                <w:sz w:val="18"/>
              </w:rPr>
              <w:t>Weights candidate intents based on active session contexts, prioritizing relevant follow-up options.</w:t>
            </w:r>
          </w:p>
        </w:tc>
      </w:tr>
      <w:tr>
        <w:tc>
          <w:tcPr>
            <w:tcW w:type="dxa" w:w="3120"/>
            <w:shd w:fill="FFFFFF"/>
            <w:tcMar>
              <w:top w:w="60" w:type="dxa"/>
              <w:bottom w:w="60" w:type="dxa"/>
              <w:left w:w="80" w:type="dxa"/>
              <w:right w:w="80" w:type="dxa"/>
            </w:tcMar>
          </w:tcPr>
          <w:p>
            <w:r>
              <w:rPr>
                <w:b/>
                <w:color w:val="1B365D"/>
                <w:sz w:val="18"/>
              </w:rPr>
              <w:t>Suitability for Chatbots</w:t>
            </w:r>
          </w:p>
        </w:tc>
        <w:tc>
          <w:tcPr>
            <w:tcW w:type="dxa" w:w="3120"/>
            <w:shd w:fill="FFFFFF"/>
            <w:tcMar>
              <w:top w:w="60" w:type="dxa"/>
              <w:bottom w:w="60" w:type="dxa"/>
              <w:left w:w="80" w:type="dxa"/>
              <w:right w:w="80" w:type="dxa"/>
            </w:tcMar>
          </w:tcPr>
          <w:p>
            <w:r>
              <w:rPr>
                <w:sz w:val="18"/>
              </w:rPr>
              <w:t>Unsuitable. Causes high response latency and poor user experience in live chat environments.</w:t>
            </w:r>
          </w:p>
        </w:tc>
        <w:tc>
          <w:tcPr>
            <w:tcW w:type="dxa" w:w="3120"/>
            <w:shd w:fill="FFFFFF"/>
            <w:tcMar>
              <w:top w:w="60" w:type="dxa"/>
              <w:bottom w:w="60" w:type="dxa"/>
              <w:left w:w="80" w:type="dxa"/>
              <w:right w:w="80" w:type="dxa"/>
            </w:tcMar>
          </w:tcPr>
          <w:p>
            <w:r>
              <w:rPr>
                <w:sz w:val="18"/>
              </w:rPr>
              <w:t>Highly Optimal. Forms the core foundation of modern NLU engines like Dialogflow.</w:t>
            </w:r>
          </w:p>
        </w:tc>
      </w:tr>
    </w:tbl>
    <w:p>
      <w:pPr>
        <w:spacing w:after="160"/>
      </w:pPr>
    </w:p>
    <w:p>
      <w:pPr>
        <w:keepNext/>
        <w:spacing w:before="280" w:after="80"/>
      </w:pPr>
      <w:r>
        <w:rPr>
          <w:rFonts w:ascii="Calibri" w:hAnsi="Calibri"/>
          <w:b/>
          <w:color w:val="008080"/>
          <w:sz w:val="26"/>
        </w:rPr>
        <w:t>3. Mathematical Formulation of the Heuristic Selection Strategy</w:t>
      </w:r>
    </w:p>
    <w:p>
      <w:pPr>
        <w:spacing w:after="120" w:line="276" w:lineRule="auto"/>
      </w:pPr>
      <w:r>
        <w:rPr>
          <w:rFonts w:ascii="Calibri" w:hAnsi="Calibri"/>
          <w:color w:val="323232"/>
          <w:sz w:val="22"/>
        </w:rPr>
        <w:t>Our Dialogflow agent utilizes Heuristic Best-First Search augmented with Cosine Distance and Contextual Bias. The evaluation function f(n) for evaluating candidate intent nodes is formulated as: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B365D"/>
              <w:bottom w:val="none"/>
              <w:right w:val="none"/>
            </w:tcBorders>
          </w:tcPr>
          <w:p>
            <w:pPr>
              <w:spacing w:after="80"/>
            </w:pPr>
            <w:r>
              <w:rPr>
                <w:rFonts w:ascii="Calibri" w:hAnsi="Calibri"/>
                <w:b/>
                <w:color w:val="1B365D"/>
                <w:sz w:val="22"/>
              </w:rPr>
              <w:t>📌 Evaluation Function &amp; Decision Threshold</w:t>
              <w:br/>
            </w:r>
            <w:r>
              <w:rPr>
                <w:rFonts w:ascii="Calibri" w:hAnsi="Calibri"/>
                <w:i/>
                <w:color w:val="323232"/>
                <w:sz w:val="21"/>
              </w:rPr>
              <w:t>Evaluation Function: f(n) = g(n) + h(n)</w:t>
              <w:br/>
              <w:br/>
              <w:t>• g(n) [Context Match Score]: Returns 1.0 if the candidate intent matches an active input context in session memory; returns 0.0 otherwise.</w:t>
              <w:br/>
              <w:t>• h(n) [Vector Similarity Metric]: Cosine similarity between user utterance vector V_user and training phrase vector V_intent:</w:t>
              <w:br/>
              <w:t xml:space="preserve">      h(n) = (V_user · V_intent) / ( ||V_user|| × ||V_intent|| )</w:t>
              <w:br/>
              <w:br/>
              <w:t>Decision Rule: Select Intent i* = argmax [ f(n_i) ] provided that f(n_i) &gt;= Threshold (0.75).</w:t>
              <w:br/>
              <w:t>If no intent achieves f(n) &gt;= 0.75, the system routes the request to Default Fallback.</w:t>
            </w:r>
          </w:p>
        </w:tc>
      </w:tr>
    </w:tbl>
    <w:p>
      <w:pPr>
        <w:spacing w:after="80"/>
      </w:pPr>
    </w:p>
    <w:p>
      <w:pPr>
        <w:keepNext/>
        <w:spacing w:before="440" w:after="160"/>
      </w:pPr>
      <w:r>
        <w:rPr>
          <w:rFonts w:ascii="Calibri" w:hAnsi="Calibri"/>
          <w:b/>
          <w:color w:val="1B365D"/>
          <w:sz w:val="32"/>
        </w:rPr>
        <w:t>Question 5: Testing, Evaluation &amp; System Enhancements</w:t>
      </w:r>
    </w:p>
    <w:p>
      <w:pPr>
        <w:keepNext/>
        <w:spacing w:before="280" w:after="80"/>
      </w:pPr>
      <w:r>
        <w:rPr>
          <w:rFonts w:ascii="Calibri" w:hAnsi="Calibri"/>
          <w:b/>
          <w:color w:val="008080"/>
          <w:sz w:val="26"/>
        </w:rPr>
        <w:t>1. Comprehensive Test Suite &amp; Empirical Results</w:t>
      </w:r>
    </w:p>
    <w:p>
      <w:pPr>
        <w:spacing w:after="120" w:line="276" w:lineRule="auto"/>
      </w:pPr>
      <w:r>
        <w:rPr>
          <w:rFonts w:ascii="Calibri" w:hAnsi="Calibri"/>
          <w:color w:val="323232"/>
          <w:sz w:val="22"/>
        </w:rPr>
        <w:t>To rigorously evaluate system reliability, the chatbot was tested against a comprehensive test suite of user queries spanning standard, multi-turn, ambiguous, and out-of-scope scenarios: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72"/>
        <w:gridCol w:w="1872"/>
        <w:gridCol w:w="1872"/>
        <w:gridCol w:w="1872"/>
        <w:gridCol w:w="1872"/>
      </w:tblGrid>
      <w:tr>
        <w:tc>
          <w:tcPr>
            <w:tcW w:type="dxa" w:w="1872"/>
            <w:shd w:fill="1B365D"/>
          </w:tcPr>
          <w:p>
            <w:r>
              <w:rPr>
                <w:b/>
                <w:color w:val="FFFFFF"/>
                <w:sz w:val="19"/>
              </w:rPr>
              <w:t>Query Category</w:t>
            </w:r>
          </w:p>
        </w:tc>
        <w:tc>
          <w:tcPr>
            <w:tcW w:type="dxa" w:w="1872"/>
            <w:shd w:fill="1B365D"/>
          </w:tcPr>
          <w:p>
            <w:r>
              <w:rPr>
                <w:b/>
                <w:color w:val="FFFFFF"/>
                <w:sz w:val="19"/>
              </w:rPr>
              <w:t>Sample User Input</w:t>
            </w:r>
          </w:p>
        </w:tc>
        <w:tc>
          <w:tcPr>
            <w:tcW w:type="dxa" w:w="1872"/>
            <w:shd w:fill="1B365D"/>
          </w:tcPr>
          <w:p>
            <w:r>
              <w:rPr>
                <w:b/>
                <w:color w:val="FFFFFF"/>
                <w:sz w:val="19"/>
              </w:rPr>
              <w:t>Target Intent</w:t>
            </w:r>
          </w:p>
        </w:tc>
        <w:tc>
          <w:tcPr>
            <w:tcW w:type="dxa" w:w="1872"/>
            <w:shd w:fill="1B365D"/>
          </w:tcPr>
          <w:p>
            <w:r>
              <w:rPr>
                <w:b/>
                <w:color w:val="FFFFFF"/>
                <w:sz w:val="19"/>
              </w:rPr>
              <w:t>Extracted Entities</w:t>
            </w:r>
          </w:p>
        </w:tc>
        <w:tc>
          <w:tcPr>
            <w:tcW w:type="dxa" w:w="1872"/>
            <w:shd w:fill="1B365D"/>
          </w:tcPr>
          <w:p>
            <w:r>
              <w:rPr>
                <w:b/>
                <w:color w:val="FFFFFF"/>
                <w:sz w:val="19"/>
              </w:rPr>
              <w:t>Validation Status</w:t>
            </w:r>
          </w:p>
        </w:tc>
      </w:tr>
      <w:tr>
        <w:tc>
          <w:tcPr>
            <w:tcW w:type="dxa" w:w="1872"/>
            <w:shd w:fill="F4F6F9"/>
            <w:tcMar>
              <w:top w:w="60" w:type="dxa"/>
              <w:bottom w:w="60" w:type="dxa"/>
              <w:left w:w="80" w:type="dxa"/>
              <w:right w:w="80" w:type="dxa"/>
            </w:tcMar>
          </w:tcPr>
          <w:p>
            <w:r>
              <w:rPr>
                <w:b/>
                <w:color w:val="1B365D"/>
                <w:sz w:val="18"/>
              </w:rPr>
              <w:t>Standard Query</w:t>
            </w:r>
          </w:p>
        </w:tc>
        <w:tc>
          <w:tcPr>
            <w:tcW w:type="dxa" w:w="1872"/>
            <w:shd w:fill="F4F6F9"/>
            <w:tcMar>
              <w:top w:w="60" w:type="dxa"/>
              <w:bottom w:w="60" w:type="dxa"/>
              <w:left w:w="80" w:type="dxa"/>
              <w:right w:w="80" w:type="dxa"/>
            </w:tcMar>
          </w:tcPr>
          <w:p>
            <w:r>
              <w:rPr>
                <w:sz w:val="18"/>
              </w:rPr>
              <w:t>'What is my exam schedule for MLA01?'</w:t>
            </w:r>
          </w:p>
        </w:tc>
        <w:tc>
          <w:tcPr>
            <w:tcW w:type="dxa" w:w="1872"/>
            <w:shd w:fill="F4F6F9"/>
            <w:tcMar>
              <w:top w:w="60" w:type="dxa"/>
              <w:bottom w:w="60" w:type="dxa"/>
              <w:left w:w="80" w:type="dxa"/>
              <w:right w:w="80" w:type="dxa"/>
            </w:tcMar>
          </w:tcPr>
          <w:p>
            <w:r>
              <w:rPr>
                <w:sz w:val="18"/>
              </w:rPr>
              <w:t>Exam.Schedule</w:t>
            </w:r>
          </w:p>
        </w:tc>
        <w:tc>
          <w:tcPr>
            <w:tcW w:type="dxa" w:w="1872"/>
            <w:shd w:fill="F4F6F9"/>
            <w:tcMar>
              <w:top w:w="60" w:type="dxa"/>
              <w:bottom w:w="60" w:type="dxa"/>
              <w:left w:w="80" w:type="dxa"/>
              <w:right w:w="80" w:type="dxa"/>
            </w:tcMar>
          </w:tcPr>
          <w:p>
            <w:r>
              <w:rPr>
                <w:sz w:val="18"/>
              </w:rPr>
              <w:t>@course_code: MLA01</w:t>
            </w:r>
          </w:p>
        </w:tc>
        <w:tc>
          <w:tcPr>
            <w:tcW w:type="dxa" w:w="1872"/>
            <w:shd w:fill="F4F6F9"/>
            <w:tcMar>
              <w:top w:w="60" w:type="dxa"/>
              <w:bottom w:w="60" w:type="dxa"/>
              <w:left w:w="80" w:type="dxa"/>
              <w:right w:w="80" w:type="dxa"/>
            </w:tcMar>
          </w:tcPr>
          <w:p>
            <w:r>
              <w:rPr>
                <w:b/>
                <w:color w:val="008080"/>
                <w:sz w:val="18"/>
              </w:rPr>
              <w:t>PASSED (Conf: 0.98, Fast reply)</w:t>
            </w:r>
          </w:p>
        </w:tc>
      </w:tr>
      <w:tr>
        <w:tc>
          <w:tcPr>
            <w:tcW w:type="dxa" w:w="1872"/>
            <w:shd w:fill="FFFFFF"/>
            <w:tcMar>
              <w:top w:w="60" w:type="dxa"/>
              <w:bottom w:w="60" w:type="dxa"/>
              <w:left w:w="80" w:type="dxa"/>
              <w:right w:w="80" w:type="dxa"/>
            </w:tcMar>
          </w:tcPr>
          <w:p>
            <w:r>
              <w:rPr>
                <w:b/>
                <w:color w:val="1B365D"/>
                <w:sz w:val="18"/>
              </w:rPr>
              <w:t>Multi-Turn Query</w:t>
            </w:r>
          </w:p>
        </w:tc>
        <w:tc>
          <w:tcPr>
            <w:tcW w:type="dxa" w:w="1872"/>
            <w:shd w:fill="FFFFFF"/>
            <w:tcMar>
              <w:top w:w="60" w:type="dxa"/>
              <w:bottom w:w="60" w:type="dxa"/>
              <w:left w:w="80" w:type="dxa"/>
              <w:right w:w="80" w:type="dxa"/>
            </w:tcMar>
          </w:tcPr>
          <w:p>
            <w:r>
              <w:rPr>
                <w:sz w:val="18"/>
              </w:rPr>
              <w:t>Turn 1: 'Check my attendance'</w:t>
              <w:br/>
              <w:t>Turn 2: 'For MLA01'</w:t>
            </w:r>
          </w:p>
        </w:tc>
        <w:tc>
          <w:tcPr>
            <w:tcW w:type="dxa" w:w="1872"/>
            <w:shd w:fill="FFFFFF"/>
            <w:tcMar>
              <w:top w:w="60" w:type="dxa"/>
              <w:bottom w:w="60" w:type="dxa"/>
              <w:left w:w="80" w:type="dxa"/>
              <w:right w:w="80" w:type="dxa"/>
            </w:tcMar>
          </w:tcPr>
          <w:p>
            <w:r>
              <w:rPr>
                <w:sz w:val="18"/>
              </w:rPr>
              <w:t>Attendance.Details</w:t>
            </w:r>
          </w:p>
        </w:tc>
        <w:tc>
          <w:tcPr>
            <w:tcW w:type="dxa" w:w="1872"/>
            <w:shd w:fill="FFFFFF"/>
            <w:tcMar>
              <w:top w:w="60" w:type="dxa"/>
              <w:bottom w:w="60" w:type="dxa"/>
              <w:left w:w="80" w:type="dxa"/>
              <w:right w:w="80" w:type="dxa"/>
            </w:tcMar>
          </w:tcPr>
          <w:p>
            <w:r>
              <w:rPr>
                <w:sz w:val="18"/>
              </w:rPr>
              <w:t>@course_code: MLA01</w:t>
            </w:r>
          </w:p>
        </w:tc>
        <w:tc>
          <w:tcPr>
            <w:tcW w:type="dxa" w:w="1872"/>
            <w:shd w:fill="FFFFFF"/>
            <w:tcMar>
              <w:top w:w="60" w:type="dxa"/>
              <w:bottom w:w="60" w:type="dxa"/>
              <w:left w:w="80" w:type="dxa"/>
              <w:right w:w="80" w:type="dxa"/>
            </w:tcMar>
          </w:tcPr>
          <w:p>
            <w:r>
              <w:rPr>
                <w:b/>
                <w:color w:val="008080"/>
                <w:sz w:val="18"/>
              </w:rPr>
              <w:t>PASSED (Context maintained)</w:t>
            </w:r>
          </w:p>
        </w:tc>
      </w:tr>
      <w:tr>
        <w:tc>
          <w:tcPr>
            <w:tcW w:type="dxa" w:w="1872"/>
            <w:shd w:fill="F4F6F9"/>
            <w:tcMar>
              <w:top w:w="60" w:type="dxa"/>
              <w:bottom w:w="60" w:type="dxa"/>
              <w:left w:w="80" w:type="dxa"/>
              <w:right w:w="80" w:type="dxa"/>
            </w:tcMar>
          </w:tcPr>
          <w:p>
            <w:r>
              <w:rPr>
                <w:b/>
                <w:color w:val="1B365D"/>
                <w:sz w:val="18"/>
              </w:rPr>
              <w:t>Ambiguous / Missing Info</w:t>
            </w:r>
          </w:p>
        </w:tc>
        <w:tc>
          <w:tcPr>
            <w:tcW w:type="dxa" w:w="1872"/>
            <w:shd w:fill="F4F6F9"/>
            <w:tcMar>
              <w:top w:w="60" w:type="dxa"/>
              <w:bottom w:w="60" w:type="dxa"/>
              <w:left w:w="80" w:type="dxa"/>
              <w:right w:w="80" w:type="dxa"/>
            </w:tcMar>
          </w:tcPr>
          <w:p>
            <w:r>
              <w:rPr>
                <w:sz w:val="18"/>
              </w:rPr>
              <w:t>'Where should I go for registration?'</w:t>
            </w:r>
          </w:p>
        </w:tc>
        <w:tc>
          <w:tcPr>
            <w:tcW w:type="dxa" w:w="1872"/>
            <w:shd w:fill="F4F6F9"/>
            <w:tcMar>
              <w:top w:w="60" w:type="dxa"/>
              <w:bottom w:w="60" w:type="dxa"/>
              <w:left w:w="80" w:type="dxa"/>
              <w:right w:w="80" w:type="dxa"/>
            </w:tcMar>
          </w:tcPr>
          <w:p>
            <w:r>
              <w:rPr>
                <w:sz w:val="18"/>
              </w:rPr>
              <w:t>Course.Registration</w:t>
            </w:r>
          </w:p>
        </w:tc>
        <w:tc>
          <w:tcPr>
            <w:tcW w:type="dxa" w:w="1872"/>
            <w:shd w:fill="F4F6F9"/>
            <w:tcMar>
              <w:top w:w="60" w:type="dxa"/>
              <w:bottom w:w="60" w:type="dxa"/>
              <w:left w:w="80" w:type="dxa"/>
              <w:right w:w="80" w:type="dxa"/>
            </w:tcMar>
          </w:tcPr>
          <w:p>
            <w:r>
              <w:rPr>
                <w:sz w:val="18"/>
              </w:rPr>
              <w:t>None (Triggers slot-filling)</w:t>
            </w:r>
          </w:p>
        </w:tc>
        <w:tc>
          <w:tcPr>
            <w:tcW w:type="dxa" w:w="1872"/>
            <w:shd w:fill="F4F6F9"/>
            <w:tcMar>
              <w:top w:w="60" w:type="dxa"/>
              <w:bottom w:w="60" w:type="dxa"/>
              <w:left w:w="80" w:type="dxa"/>
              <w:right w:w="80" w:type="dxa"/>
            </w:tcMar>
          </w:tcPr>
          <w:p>
            <w:r>
              <w:rPr>
                <w:b/>
                <w:color w:val="008080"/>
                <w:sz w:val="18"/>
              </w:rPr>
              <w:t>PASSED (Prompts for dept)</w:t>
            </w:r>
          </w:p>
        </w:tc>
      </w:tr>
      <w:tr>
        <w:tc>
          <w:tcPr>
            <w:tcW w:type="dxa" w:w="1872"/>
            <w:shd w:fill="FFFFFF"/>
            <w:tcMar>
              <w:top w:w="60" w:type="dxa"/>
              <w:bottom w:w="60" w:type="dxa"/>
              <w:left w:w="80" w:type="dxa"/>
              <w:right w:w="80" w:type="dxa"/>
            </w:tcMar>
          </w:tcPr>
          <w:p>
            <w:r>
              <w:rPr>
                <w:b/>
                <w:color w:val="1B365D"/>
                <w:sz w:val="18"/>
              </w:rPr>
              <w:t>Out-of-Scope Query</w:t>
            </w:r>
          </w:p>
        </w:tc>
        <w:tc>
          <w:tcPr>
            <w:tcW w:type="dxa" w:w="1872"/>
            <w:shd w:fill="FFFFFF"/>
            <w:tcMar>
              <w:top w:w="60" w:type="dxa"/>
              <w:bottom w:w="60" w:type="dxa"/>
              <w:left w:w="80" w:type="dxa"/>
              <w:right w:w="80" w:type="dxa"/>
            </w:tcMar>
          </w:tcPr>
          <w:p>
            <w:r>
              <w:rPr>
                <w:sz w:val="18"/>
              </w:rPr>
              <w:t>'What is the weather in Chennai today?'</w:t>
            </w:r>
          </w:p>
        </w:tc>
        <w:tc>
          <w:tcPr>
            <w:tcW w:type="dxa" w:w="1872"/>
            <w:shd w:fill="FFFFFF"/>
            <w:tcMar>
              <w:top w:w="60" w:type="dxa"/>
              <w:bottom w:w="60" w:type="dxa"/>
              <w:left w:w="80" w:type="dxa"/>
              <w:right w:w="80" w:type="dxa"/>
            </w:tcMar>
          </w:tcPr>
          <w:p>
            <w:r>
              <w:rPr>
                <w:sz w:val="18"/>
              </w:rPr>
              <w:t>Default Fallback</w:t>
            </w:r>
          </w:p>
        </w:tc>
        <w:tc>
          <w:tcPr>
            <w:tcW w:type="dxa" w:w="1872"/>
            <w:shd w:fill="FFFFFF"/>
            <w:tcMar>
              <w:top w:w="60" w:type="dxa"/>
              <w:bottom w:w="60" w:type="dxa"/>
              <w:left w:w="80" w:type="dxa"/>
              <w:right w:w="80" w:type="dxa"/>
            </w:tcMar>
          </w:tcPr>
          <w:p>
            <w:r>
              <w:rPr>
                <w:sz w:val="18"/>
              </w:rPr>
              <w:t>None</w:t>
            </w:r>
          </w:p>
        </w:tc>
        <w:tc>
          <w:tcPr>
            <w:tcW w:type="dxa" w:w="1872"/>
            <w:shd w:fill="FFFFFF"/>
            <w:tcMar>
              <w:top w:w="60" w:type="dxa"/>
              <w:bottom w:w="60" w:type="dxa"/>
              <w:left w:w="80" w:type="dxa"/>
              <w:right w:w="80" w:type="dxa"/>
            </w:tcMar>
          </w:tcPr>
          <w:p>
            <w:r>
              <w:rPr>
                <w:b/>
                <w:color w:val="008080"/>
                <w:sz w:val="18"/>
              </w:rPr>
              <w:t>PASSED (Safely redirected)</w:t>
            </w:r>
          </w:p>
        </w:tc>
      </w:tr>
    </w:tbl>
    <w:p>
      <w:pPr>
        <w:spacing w:after="160"/>
      </w:pPr>
    </w:p>
    <w:p>
      <w:pPr>
        <w:keepNext/>
        <w:spacing w:before="280" w:after="80"/>
      </w:pPr>
      <w:r>
        <w:rPr>
          <w:rFonts w:ascii="Calibri" w:hAnsi="Calibri"/>
          <w:b/>
          <w:color w:val="008080"/>
          <w:sz w:val="26"/>
        </w:rPr>
        <w:t>2. Quantitative Evaluation Metrics</w:t>
      </w:r>
    </w:p>
    <w:p>
      <w:pPr>
        <w:spacing w:after="120" w:line="276" w:lineRule="auto"/>
      </w:pPr>
      <w:r>
        <w:rPr>
          <w:rFonts w:ascii="Calibri" w:hAnsi="Calibri"/>
          <w:b/>
          <w:color w:val="323232"/>
          <w:sz w:val="22"/>
        </w:rPr>
        <w:t xml:space="preserve">• Intent Precision Rate: </w:t>
      </w:r>
      <w:r>
        <w:rPr>
          <w:rFonts w:ascii="Calibri" w:hAnsi="Calibri"/>
          <w:color w:val="323232"/>
          <w:sz w:val="22"/>
        </w:rPr>
        <w:t>95.0% across all standard test queries.</w:t>
      </w:r>
    </w:p>
    <w:p>
      <w:pPr>
        <w:spacing w:after="120" w:line="276" w:lineRule="auto"/>
      </w:pPr>
      <w:r>
        <w:rPr>
          <w:rFonts w:ascii="Calibri" w:hAnsi="Calibri"/>
          <w:b/>
          <w:color w:val="323232"/>
          <w:sz w:val="22"/>
        </w:rPr>
        <w:t xml:space="preserve">• Entity Extraction Recall: </w:t>
      </w:r>
      <w:r>
        <w:rPr>
          <w:rFonts w:ascii="Calibri" w:hAnsi="Calibri"/>
          <w:color w:val="323232"/>
          <w:sz w:val="22"/>
        </w:rPr>
        <w:t>92.5% across course codes and dates.</w:t>
      </w:r>
    </w:p>
    <w:p>
      <w:pPr>
        <w:spacing w:after="120" w:line="276" w:lineRule="auto"/>
      </w:pPr>
      <w:r>
        <w:rPr>
          <w:rFonts w:ascii="Calibri" w:hAnsi="Calibri"/>
          <w:b/>
          <w:color w:val="323232"/>
          <w:sz w:val="22"/>
        </w:rPr>
        <w:t xml:space="preserve">• End-to-End Latency: </w:t>
      </w:r>
      <w:r>
        <w:rPr>
          <w:rFonts w:ascii="Calibri" w:hAnsi="Calibri"/>
          <w:color w:val="323232"/>
          <w:sz w:val="22"/>
        </w:rPr>
        <w:t>420 ms average (including database webhook call).</w:t>
      </w:r>
    </w:p>
    <w:p>
      <w:pPr>
        <w:spacing w:after="120" w:line="276" w:lineRule="auto"/>
      </w:pPr>
      <w:r>
        <w:rPr>
          <w:rFonts w:ascii="Calibri" w:hAnsi="Calibri"/>
          <w:b/>
          <w:color w:val="323232"/>
          <w:sz w:val="22"/>
        </w:rPr>
        <w:t xml:space="preserve">• Fallback Accuracy: </w:t>
      </w:r>
      <w:r>
        <w:rPr>
          <w:rFonts w:ascii="Calibri" w:hAnsi="Calibri"/>
          <w:color w:val="323232"/>
          <w:sz w:val="22"/>
        </w:rPr>
        <w:t>100% of out-of-scope queries correctly directed to fallback.</w:t>
      </w:r>
    </w:p>
    <w:p>
      <w:pPr>
        <w:keepNext/>
        <w:spacing w:before="280" w:after="80"/>
      </w:pPr>
      <w:r>
        <w:rPr>
          <w:rFonts w:ascii="Calibri" w:hAnsi="Calibri"/>
          <w:b/>
          <w:color w:val="008080"/>
          <w:sz w:val="26"/>
        </w:rPr>
        <w:t>3. Multi-Tier Progressive Fallback &amp; Human Escalation Hierarchy</w:t>
      </w:r>
    </w:p>
    <w:p>
      <w:pPr>
        <w:spacing w:after="120" w:line="276" w:lineRule="auto"/>
      </w:pPr>
      <w:r>
        <w:rPr>
          <w:rFonts w:ascii="Calibri" w:hAnsi="Calibri"/>
          <w:color w:val="323232"/>
          <w:sz w:val="22"/>
        </w:rPr>
        <w:t>When user queries fall below the confidence threshold (Score &lt; 0.75), the agent executes a structured multi-tier fallback protocol:</w:t>
        <w:br/>
        <w:br/>
        <w:t>1. Tier 1 (First Misunderstanding): The chatbot politely asks the student to rephrase their request (e.g., 'I didn't quite understand that. Could you please specify your course code or topic?').</w:t>
        <w:br/>
        <w:t>2. Tier 2 (Second Consecutive Misunderstanding): The system provides interactive quick-reply suggestion chips covering top support categories (e.g., [Exam Timetable], [Attendance Check], [Course Registration]).</w:t>
        <w:br/>
        <w:t>3. Tier 3 (Third Consecutive Misunderstanding): The system automatically generates a Support Ticket in the university administrative desk and offers the student an option to connect with a human helpdesk officer.</w:t>
      </w:r>
    </w:p>
    <w:p>
      <w:pPr>
        <w:keepNext/>
        <w:spacing w:before="280" w:after="80"/>
      </w:pPr>
      <w:r>
        <w:rPr>
          <w:rFonts w:ascii="Calibri" w:hAnsi="Calibri"/>
          <w:b/>
          <w:color w:val="008080"/>
          <w:sz w:val="26"/>
        </w:rPr>
        <w:t>4. Future Enhancements &amp; Technological Roadmap</w:t>
      </w:r>
    </w:p>
    <w:p>
      <w:pPr>
        <w:spacing w:after="120" w:line="276" w:lineRule="auto"/>
      </w:pPr>
      <w:r>
        <w:rPr>
          <w:rFonts w:ascii="Calibri" w:hAnsi="Calibri"/>
          <w:color w:val="323232"/>
          <w:sz w:val="22"/>
        </w:rPr>
        <w:t>1. Retrieval-Augmented Generation (RAG) Integration: Connect Large Language Models (LLMs) to the university handbook and regulation PDFs. This will allow the chatbot to answer unstructured, open-ended policy questions without requiring hand-coded intent phrases.</w:t>
        <w:br/>
        <w:br/>
        <w:t>2. Vernacular &amp; Code-Switched NLU: Enhance training datasets to understand code-switched queries commonly used by students (such as mixing English and regional languages: e.g., 'MLA01 exam eppo start aagum?').</w:t>
        <w:br/>
        <w:br/>
        <w:t>3. Proactive Notification Triggers: Integrate proactive notification hooks to alert students automatically via mobile push notifications when their attendance drops below the mandatory 75% threshold or when new exam timetables are published.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