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04595">
      <w:pPr>
        <w:tabs>
          <w:tab w:val="left" w:pos="7830"/>
        </w:tabs>
        <w:jc w:val="center"/>
        <w:rPr>
          <w:rFonts w:ascii="Times New Roman" w:hAnsi="Times New Roman" w:cs="Times New Roman"/>
          <w:b/>
          <w:bCs/>
          <w:sz w:val="34"/>
          <w:szCs w:val="34"/>
        </w:rPr>
      </w:pPr>
      <w:r>
        <w:rPr>
          <w:rFonts w:ascii="Times New Roman" w:hAnsi="Times New Roman" w:cs="Times New Roman"/>
          <w:b/>
          <w:bCs/>
          <w:sz w:val="34"/>
          <w:szCs w:val="34"/>
        </w:rPr>
        <w:t>SIMATS ENGINEERING</w:t>
      </w:r>
    </w:p>
    <w:p w14:paraId="507A37D9">
      <w:pPr>
        <w:jc w:val="center"/>
        <w:rPr>
          <w:rFonts w:ascii="Times New Roman" w:hAnsi="Times New Roman" w:cs="Times New Roman"/>
          <w:b/>
          <w:bCs/>
          <w:sz w:val="34"/>
          <w:szCs w:val="34"/>
        </w:rPr>
      </w:pPr>
      <w:r>
        <w:rPr>
          <w:rFonts w:ascii="Times New Roman" w:hAnsi="Times New Roman" w:cs="Times New Roman"/>
          <w:b/>
          <w:bCs/>
          <w:sz w:val="34"/>
          <w:szCs w:val="34"/>
        </w:rPr>
        <w:t>Department of Computer Science &amp; Engineering</w:t>
      </w:r>
    </w:p>
    <w:p w14:paraId="7BBD6E0C">
      <w:pPr>
        <w:jc w:val="center"/>
        <w:rPr>
          <w:rFonts w:ascii="Times New Roman" w:hAnsi="Times New Roman" w:cs="Times New Roman"/>
          <w:b/>
          <w:bCs/>
          <w:sz w:val="24"/>
          <w:szCs w:val="24"/>
        </w:rPr>
      </w:pPr>
      <w:r>
        <w:rPr>
          <w:rFonts w:ascii="Times New Roman" w:hAnsi="Times New Roman" w:cs="Times New Roman"/>
          <w:b/>
          <w:bCs/>
          <w:sz w:val="28"/>
          <w:szCs w:val="28"/>
          <w14:ligatures w14:val="standardContextual"/>
        </w:rPr>
        <mc:AlternateContent>
          <mc:Choice Requires="wps">
            <w:drawing>
              <wp:anchor distT="0" distB="0" distL="114300" distR="114300" simplePos="0" relativeHeight="251659264" behindDoc="0" locked="0" layoutInCell="1" allowOverlap="1">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y;margin-left:7.5pt;margin-top:15.75pt;height:2.1pt;width:470.8pt;mso-position-horizontal-relative:margin;z-index:251659264;mso-width-relative:page;mso-height-relative:page;" filled="f" stroked="t" coordsize="21600,21600" o:gfxdata="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vtfkNYAAAAIAQAADwAAAAAAAAABACAAAAAiAAAAZHJzL2Rvd25yZXYueG1sUEsBAhQA&#10;FAAAAAgAh07iQCF/qlL0AQAA7AMAAA4AAAAAAAAAAQAgAAAAJQEAAGRycy9lMm9Eb2MueG1sUEsF&#10;BgAAAAAGAAYAWQEAAIsFAAAAAA==&#10;">
                <v:fill on="f" focussize="0,0"/>
                <v:stroke color="#000000 [3200]" joinstyle="round"/>
                <v:imagedata o:title=""/>
                <o:lock v:ext="edit" aspectratio="f"/>
              </v:line>
            </w:pict>
          </mc:Fallback>
        </mc:AlternateContent>
      </w:r>
      <w:r>
        <w:rPr>
          <w:rFonts w:ascii="Times New Roman" w:hAnsi="Times New Roman" w:cs="Times New Roman"/>
          <w:b/>
          <w:bCs/>
          <w:sz w:val="28"/>
          <w:szCs w:val="28"/>
        </w:rPr>
        <w:t>ASSESSMENT TOOL 2-</w:t>
      </w:r>
      <w:r>
        <w:rPr>
          <w:rFonts w:ascii="Times New Roman" w:hAnsi="Times New Roman" w:cs="Times New Roman"/>
          <w:b/>
          <w:bCs/>
          <w:sz w:val="24"/>
          <w:szCs w:val="24"/>
        </w:rPr>
        <w:t xml:space="preserve"> </w:t>
      </w:r>
      <w:r>
        <w:rPr>
          <w:rFonts w:ascii="Times New Roman" w:hAnsi="Times New Roman" w:cs="Times New Roman"/>
          <w:b/>
          <w:bCs/>
          <w:sz w:val="28"/>
          <w:szCs w:val="28"/>
        </w:rPr>
        <w:t>COMPARATIVE ANALYSIS</w:t>
      </w:r>
    </w:p>
    <w:p w14:paraId="2D33C9FB">
      <w:pPr>
        <w:jc w:val="center"/>
        <w:rPr>
          <w:rFonts w:ascii="Times New Roman" w:hAnsi="Times New Roman" w:cs="Times New Roman"/>
          <w:b/>
          <w:bCs/>
          <w:sz w:val="34"/>
          <w:szCs w:val="34"/>
        </w:rPr>
      </w:pPr>
    </w:p>
    <w:tbl>
      <w:tblPr>
        <w:tblStyle w:val="35"/>
        <w:tblpPr w:leftFromText="180" w:rightFromText="180" w:vertAnchor="text" w:horzAnchor="margin" w:tblpY="101"/>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3260"/>
        <w:gridCol w:w="1701"/>
        <w:gridCol w:w="3119"/>
      </w:tblGrid>
      <w:tr w14:paraId="13D6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980" w:type="dxa"/>
          </w:tcPr>
          <w:p w14:paraId="36D87355">
            <w:pPr>
              <w:spacing w:after="0" w:line="240" w:lineRule="auto"/>
              <w:rPr>
                <w:rFonts w:ascii="Times New Roman" w:hAnsi="Times New Roman" w:cs="Times New Roman"/>
                <w:b/>
                <w:bCs/>
              </w:rPr>
            </w:pPr>
            <w:r>
              <w:rPr>
                <w:rFonts w:ascii="Times New Roman" w:hAnsi="Times New Roman" w:cs="Times New Roman"/>
                <w:b/>
                <w:bCs/>
              </w:rPr>
              <w:t xml:space="preserve">Course Code: </w:t>
            </w:r>
          </w:p>
        </w:tc>
        <w:tc>
          <w:tcPr>
            <w:tcW w:w="3260" w:type="dxa"/>
          </w:tcPr>
          <w:p w14:paraId="28CD52DB">
            <w:pPr>
              <w:spacing w:after="0" w:line="240" w:lineRule="auto"/>
              <w:jc w:val="center"/>
              <w:rPr>
                <w:rFonts w:ascii="Times New Roman" w:hAnsi="Times New Roman" w:cs="Times New Roman"/>
                <w:b/>
                <w:bCs/>
              </w:rPr>
            </w:pPr>
            <w:r>
              <w:rPr>
                <w:rFonts w:ascii="Times New Roman" w:hAnsi="Times New Roman" w:cs="Times New Roman"/>
                <w:b/>
                <w:bCs/>
              </w:rPr>
              <w:t>CSA12</w:t>
            </w:r>
          </w:p>
        </w:tc>
        <w:tc>
          <w:tcPr>
            <w:tcW w:w="1701" w:type="dxa"/>
          </w:tcPr>
          <w:p w14:paraId="67F06044">
            <w:pPr>
              <w:spacing w:after="0" w:line="240" w:lineRule="auto"/>
              <w:rPr>
                <w:rFonts w:ascii="Times New Roman" w:hAnsi="Times New Roman" w:cs="Times New Roman"/>
                <w:b/>
                <w:bCs/>
              </w:rPr>
            </w:pPr>
            <w:r>
              <w:rPr>
                <w:rFonts w:ascii="Times New Roman" w:hAnsi="Times New Roman" w:cs="Times New Roman"/>
                <w:b/>
                <w:bCs/>
              </w:rPr>
              <w:t>Course Title:</w:t>
            </w:r>
          </w:p>
        </w:tc>
        <w:tc>
          <w:tcPr>
            <w:tcW w:w="3119" w:type="dxa"/>
          </w:tcPr>
          <w:p w14:paraId="0BAA0033">
            <w:pPr>
              <w:spacing w:after="0" w:line="240" w:lineRule="auto"/>
              <w:jc w:val="center"/>
              <w:rPr>
                <w:rFonts w:ascii="Times New Roman" w:hAnsi="Times New Roman" w:cs="Times New Roman"/>
                <w:b/>
                <w:bCs/>
              </w:rPr>
            </w:pPr>
            <w:r>
              <w:rPr>
                <w:rFonts w:ascii="Times New Roman" w:hAnsi="Times New Roman" w:cs="Times New Roman"/>
                <w:b/>
                <w:bCs/>
              </w:rPr>
              <w:t xml:space="preserve">Computer Architecture for Multicore Systems </w:t>
            </w:r>
          </w:p>
        </w:tc>
      </w:tr>
      <w:tr w14:paraId="6E9F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1980" w:type="dxa"/>
          </w:tcPr>
          <w:p w14:paraId="2298DD6A">
            <w:pPr>
              <w:spacing w:after="0" w:line="240" w:lineRule="auto"/>
              <w:rPr>
                <w:rFonts w:ascii="Times New Roman" w:hAnsi="Times New Roman" w:cs="Times New Roman"/>
                <w:b/>
                <w:bCs/>
              </w:rPr>
            </w:pPr>
            <w:r>
              <w:rPr>
                <w:rFonts w:ascii="Times New Roman" w:hAnsi="Times New Roman" w:cs="Times New Roman"/>
                <w:b/>
                <w:bCs/>
              </w:rPr>
              <w:t>CO Assessed:</w:t>
            </w:r>
          </w:p>
        </w:tc>
        <w:tc>
          <w:tcPr>
            <w:tcW w:w="3260" w:type="dxa"/>
          </w:tcPr>
          <w:p w14:paraId="5D72F2EA">
            <w:pPr>
              <w:spacing w:after="0" w:line="240" w:lineRule="auto"/>
              <w:jc w:val="center"/>
              <w:rPr>
                <w:rFonts w:ascii="Times New Roman" w:hAnsi="Times New Roman" w:cs="Times New Roman"/>
                <w:b/>
                <w:bCs/>
              </w:rPr>
            </w:pPr>
            <w:r>
              <w:rPr>
                <w:rFonts w:ascii="Times New Roman" w:hAnsi="Times New Roman" w:cs="Times New Roman"/>
                <w:b/>
                <w:bCs/>
              </w:rPr>
              <w:t>CO4</w:t>
            </w:r>
          </w:p>
        </w:tc>
        <w:tc>
          <w:tcPr>
            <w:tcW w:w="1701" w:type="dxa"/>
          </w:tcPr>
          <w:p w14:paraId="1DDDD8D2">
            <w:pPr>
              <w:spacing w:after="0" w:line="240" w:lineRule="auto"/>
              <w:rPr>
                <w:rFonts w:ascii="Times New Roman" w:hAnsi="Times New Roman" w:cs="Times New Roman"/>
                <w:b/>
                <w:bCs/>
              </w:rPr>
            </w:pPr>
            <w:r>
              <w:rPr>
                <w:rFonts w:ascii="Times New Roman" w:hAnsi="Times New Roman" w:cs="Times New Roman"/>
                <w:b/>
                <w:bCs/>
              </w:rPr>
              <w:t>Assessment:</w:t>
            </w:r>
          </w:p>
        </w:tc>
        <w:tc>
          <w:tcPr>
            <w:tcW w:w="3119" w:type="dxa"/>
          </w:tcPr>
          <w:p w14:paraId="62D3B3A6">
            <w:pPr>
              <w:spacing w:after="0" w:line="240" w:lineRule="auto"/>
              <w:jc w:val="center"/>
              <w:rPr>
                <w:rFonts w:ascii="Times New Roman" w:hAnsi="Times New Roman" w:cs="Times New Roman"/>
                <w:b/>
                <w:bCs/>
              </w:rPr>
            </w:pPr>
            <w:r>
              <w:rPr>
                <w:rFonts w:ascii="Times New Roman" w:hAnsi="Times New Roman" w:cs="Times New Roman"/>
                <w:b/>
                <w:bCs/>
              </w:rPr>
              <w:t>ASSESSMENT TOOL2-</w:t>
            </w:r>
            <w:r>
              <w:rPr>
                <w:rFonts w:ascii="Times New Roman" w:hAnsi="Times New Roman" w:cs="Times New Roman"/>
                <w:b/>
                <w:bCs/>
                <w:sz w:val="28"/>
                <w:szCs w:val="28"/>
              </w:rPr>
              <w:t xml:space="preserve"> </w:t>
            </w:r>
            <w:r>
              <w:rPr>
                <w:rFonts w:ascii="Times New Roman" w:hAnsi="Times New Roman" w:cs="Times New Roman"/>
                <w:b/>
                <w:bCs/>
              </w:rPr>
              <w:t xml:space="preserve">  COMPARATIVE ANALYSIS</w:t>
            </w:r>
          </w:p>
        </w:tc>
      </w:tr>
      <w:tr w14:paraId="7CDC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3738697">
            <w:pPr>
              <w:spacing w:after="0" w:line="240" w:lineRule="auto"/>
              <w:rPr>
                <w:rFonts w:ascii="Times New Roman" w:hAnsi="Times New Roman" w:cs="Times New Roman"/>
                <w:b/>
                <w:bCs/>
              </w:rPr>
            </w:pPr>
            <w:r>
              <w:rPr>
                <w:rFonts w:ascii="Times New Roman" w:hAnsi="Times New Roman" w:cs="Times New Roman"/>
                <w:b/>
                <w:bCs/>
              </w:rPr>
              <w:t>Weightage:</w:t>
            </w:r>
          </w:p>
        </w:tc>
        <w:tc>
          <w:tcPr>
            <w:tcW w:w="3260" w:type="dxa"/>
          </w:tcPr>
          <w:p w14:paraId="01FEF97E">
            <w:pPr>
              <w:spacing w:after="0" w:line="240" w:lineRule="auto"/>
              <w:jc w:val="center"/>
              <w:rPr>
                <w:rFonts w:ascii="Times New Roman" w:hAnsi="Times New Roman" w:cs="Times New Roman"/>
                <w:b/>
                <w:bCs/>
              </w:rPr>
            </w:pPr>
            <w:r>
              <w:rPr>
                <w:rFonts w:ascii="Times New Roman" w:hAnsi="Times New Roman" w:cs="Times New Roman"/>
                <w:b/>
                <w:bCs/>
              </w:rPr>
              <w:t>30%</w:t>
            </w:r>
          </w:p>
        </w:tc>
        <w:tc>
          <w:tcPr>
            <w:tcW w:w="1701" w:type="dxa"/>
          </w:tcPr>
          <w:p w14:paraId="2DB617D0">
            <w:pPr>
              <w:spacing w:after="0" w:line="240" w:lineRule="auto"/>
              <w:rPr>
                <w:rFonts w:ascii="Times New Roman" w:hAnsi="Times New Roman" w:cs="Times New Roman"/>
                <w:b/>
                <w:bCs/>
              </w:rPr>
            </w:pPr>
            <w:r>
              <w:rPr>
                <w:rFonts w:ascii="Times New Roman" w:hAnsi="Times New Roman" w:cs="Times New Roman"/>
                <w:b/>
                <w:bCs/>
              </w:rPr>
              <w:t>Total Marks:</w:t>
            </w:r>
          </w:p>
        </w:tc>
        <w:tc>
          <w:tcPr>
            <w:tcW w:w="3119" w:type="dxa"/>
          </w:tcPr>
          <w:p w14:paraId="3DBC5384">
            <w:pPr>
              <w:spacing w:after="0" w:line="240" w:lineRule="auto"/>
              <w:jc w:val="center"/>
              <w:rPr>
                <w:rFonts w:ascii="Times New Roman" w:hAnsi="Times New Roman" w:cs="Times New Roman"/>
                <w:b/>
                <w:bCs/>
              </w:rPr>
            </w:pPr>
            <w:r>
              <w:rPr>
                <w:rFonts w:ascii="Times New Roman" w:hAnsi="Times New Roman" w:cs="Times New Roman"/>
                <w:b/>
                <w:bCs/>
              </w:rPr>
              <w:t>25</w:t>
            </w:r>
          </w:p>
        </w:tc>
      </w:tr>
      <w:tr w14:paraId="3ABB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1980" w:type="dxa"/>
          </w:tcPr>
          <w:p w14:paraId="3DE49BD9">
            <w:pPr>
              <w:spacing w:after="0" w:line="240" w:lineRule="auto"/>
              <w:rPr>
                <w:rFonts w:ascii="Times New Roman" w:hAnsi="Times New Roman" w:cs="Times New Roman"/>
                <w:b/>
                <w:bCs/>
              </w:rPr>
            </w:pPr>
            <w:r>
              <w:rPr>
                <w:rFonts w:ascii="Times New Roman" w:hAnsi="Times New Roman" w:cs="Times New Roman"/>
                <w:b/>
                <w:bCs/>
              </w:rPr>
              <w:t>CO4 Statement:</w:t>
            </w:r>
          </w:p>
        </w:tc>
        <w:tc>
          <w:tcPr>
            <w:tcW w:w="8080" w:type="dxa"/>
            <w:gridSpan w:val="3"/>
          </w:tcPr>
          <w:p w14:paraId="063BAF2C">
            <w:pPr>
              <w:spacing w:after="0" w:line="240" w:lineRule="auto"/>
              <w:jc w:val="both"/>
              <w:rPr>
                <w:rFonts w:ascii="Times New Roman" w:hAnsi="Times New Roman" w:cs="Times New Roman"/>
                <w:i/>
                <w:iCs/>
              </w:rPr>
            </w:pPr>
            <w:r>
              <w:rPr>
                <w:rFonts w:ascii="Times New Roman" w:hAnsi="Times New Roman" w:cs="Times New Roman"/>
                <w:i/>
                <w:iCs/>
              </w:rPr>
              <w:t>Implement hierarchical memory systems by differentiating cache levels (L1, L2, L3), virtual memory with paging, and advanced memory technologies (DRAM, SRAM, NAND Flash, MRAM, RRAM) based on latency, bandwidth, and throughput characteristics.</w:t>
            </w:r>
          </w:p>
        </w:tc>
      </w:tr>
      <w:tr w14:paraId="2CBD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1980" w:type="dxa"/>
          </w:tcPr>
          <w:p w14:paraId="56BC2ABC">
            <w:pPr>
              <w:spacing w:after="0" w:line="240" w:lineRule="auto"/>
              <w:rPr>
                <w:rFonts w:ascii="Times New Roman" w:hAnsi="Times New Roman" w:cs="Times New Roman"/>
                <w:b/>
                <w:bCs/>
              </w:rPr>
            </w:pPr>
            <w:r>
              <w:rPr>
                <w:rFonts w:ascii="Times New Roman" w:hAnsi="Times New Roman" w:cs="Times New Roman"/>
                <w:b/>
                <w:bCs/>
              </w:rPr>
              <w:t>Student Name:</w:t>
            </w:r>
          </w:p>
        </w:tc>
        <w:tc>
          <w:tcPr>
            <w:tcW w:w="3260" w:type="dxa"/>
          </w:tcPr>
          <w:p w14:paraId="0BC04405">
            <w:pPr>
              <w:spacing w:after="0" w:line="240" w:lineRule="auto"/>
              <w:jc w:val="center"/>
              <w:rPr>
                <w:rFonts w:hint="default" w:ascii="Times New Roman" w:hAnsi="Times New Roman" w:cs="Times New Roman"/>
                <w:b/>
                <w:bCs/>
                <w:lang w:val="en-US"/>
              </w:rPr>
            </w:pPr>
            <w:r>
              <w:rPr>
                <w:rFonts w:hint="default" w:ascii="Times New Roman" w:hAnsi="Times New Roman" w:cs="Times New Roman"/>
                <w:b/>
                <w:bCs/>
                <w:lang w:val="en-US"/>
              </w:rPr>
              <w:t>KAMURI SHARA</w:t>
            </w:r>
          </w:p>
        </w:tc>
        <w:tc>
          <w:tcPr>
            <w:tcW w:w="1701" w:type="dxa"/>
          </w:tcPr>
          <w:p w14:paraId="69FE1F7F">
            <w:pPr>
              <w:spacing w:after="0" w:line="240" w:lineRule="auto"/>
              <w:rPr>
                <w:rFonts w:ascii="Times New Roman" w:hAnsi="Times New Roman" w:cs="Times New Roman"/>
                <w:b/>
                <w:bCs/>
              </w:rPr>
            </w:pPr>
            <w:r>
              <w:rPr>
                <w:rFonts w:ascii="Times New Roman" w:hAnsi="Times New Roman" w:cs="Times New Roman"/>
                <w:b/>
                <w:bCs/>
              </w:rPr>
              <w:t>Reg.No.:</w:t>
            </w:r>
          </w:p>
        </w:tc>
        <w:tc>
          <w:tcPr>
            <w:tcW w:w="3119" w:type="dxa"/>
          </w:tcPr>
          <w:p w14:paraId="550B475E">
            <w:pPr>
              <w:spacing w:after="0" w:line="240" w:lineRule="auto"/>
              <w:jc w:val="center"/>
              <w:rPr>
                <w:rFonts w:hint="default" w:ascii="Times New Roman" w:hAnsi="Times New Roman" w:cs="Times New Roman"/>
                <w:b/>
                <w:bCs/>
                <w:lang w:val="en-US"/>
              </w:rPr>
            </w:pPr>
            <w:r>
              <w:rPr>
                <w:rFonts w:ascii="Times New Roman" w:hAnsi="Times New Roman" w:cs="Times New Roman"/>
                <w:b/>
                <w:bCs/>
              </w:rPr>
              <w:t>192525</w:t>
            </w:r>
            <w:r>
              <w:rPr>
                <w:rFonts w:hint="default" w:ascii="Times New Roman" w:hAnsi="Times New Roman" w:cs="Times New Roman"/>
                <w:b/>
                <w:bCs/>
                <w:lang w:val="en-US"/>
              </w:rPr>
              <w:t>220</w:t>
            </w:r>
          </w:p>
        </w:tc>
      </w:tr>
      <w:tr w14:paraId="240B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980" w:type="dxa"/>
          </w:tcPr>
          <w:p w14:paraId="06A702FB">
            <w:pPr>
              <w:spacing w:after="0" w:line="240" w:lineRule="auto"/>
              <w:rPr>
                <w:rFonts w:ascii="Times New Roman" w:hAnsi="Times New Roman" w:cs="Times New Roman"/>
                <w:b/>
                <w:bCs/>
              </w:rPr>
            </w:pPr>
            <w:r>
              <w:rPr>
                <w:rFonts w:ascii="Times New Roman" w:hAnsi="Times New Roman" w:cs="Times New Roman"/>
                <w:b/>
                <w:bCs/>
              </w:rPr>
              <w:t>Department:</w:t>
            </w:r>
          </w:p>
        </w:tc>
        <w:tc>
          <w:tcPr>
            <w:tcW w:w="3260" w:type="dxa"/>
          </w:tcPr>
          <w:p w14:paraId="502A118D">
            <w:pPr>
              <w:spacing w:after="0" w:line="240" w:lineRule="auto"/>
              <w:jc w:val="center"/>
              <w:rPr>
                <w:rFonts w:ascii="Times New Roman" w:hAnsi="Times New Roman" w:cs="Times New Roman"/>
                <w:b/>
                <w:bCs/>
              </w:rPr>
            </w:pPr>
            <w:r>
              <w:rPr>
                <w:rFonts w:ascii="Times New Roman" w:hAnsi="Times New Roman" w:cs="Times New Roman"/>
                <w:b/>
                <w:bCs/>
              </w:rPr>
              <w:t>BTech AI &amp; ML</w:t>
            </w:r>
          </w:p>
        </w:tc>
        <w:tc>
          <w:tcPr>
            <w:tcW w:w="1701" w:type="dxa"/>
          </w:tcPr>
          <w:p w14:paraId="78F03B2A">
            <w:pPr>
              <w:spacing w:after="0" w:line="240" w:lineRule="auto"/>
              <w:rPr>
                <w:rFonts w:ascii="Times New Roman" w:hAnsi="Times New Roman" w:cs="Times New Roman"/>
                <w:b/>
                <w:bCs/>
              </w:rPr>
            </w:pPr>
            <w:r>
              <w:rPr>
                <w:rFonts w:ascii="Times New Roman" w:hAnsi="Times New Roman" w:cs="Times New Roman"/>
                <w:b/>
                <w:bCs/>
              </w:rPr>
              <w:t>Date:</w:t>
            </w:r>
          </w:p>
        </w:tc>
        <w:tc>
          <w:tcPr>
            <w:tcW w:w="3119" w:type="dxa"/>
          </w:tcPr>
          <w:p w14:paraId="331ABE82">
            <w:pPr>
              <w:spacing w:after="0" w:line="240" w:lineRule="auto"/>
              <w:jc w:val="center"/>
              <w:rPr>
                <w:rFonts w:ascii="Times New Roman" w:hAnsi="Times New Roman" w:cs="Times New Roman"/>
                <w:b/>
                <w:bCs/>
              </w:rPr>
            </w:pPr>
            <w:r>
              <w:rPr>
                <w:rFonts w:ascii="Times New Roman" w:hAnsi="Times New Roman" w:cs="Times New Roman"/>
                <w:b/>
                <w:bCs/>
              </w:rPr>
              <w:t>16/08/2026</w:t>
            </w:r>
          </w:p>
        </w:tc>
      </w:tr>
    </w:tbl>
    <w:p w14:paraId="6061477D">
      <w:pPr>
        <w:rPr>
          <w:rFonts w:ascii="Times New Roman" w:hAnsi="Times New Roman" w:cs="Times New Roman"/>
          <w:sz w:val="24"/>
          <w:szCs w:val="24"/>
        </w:rPr>
      </w:pPr>
    </w:p>
    <w:p w14:paraId="0F0064C0">
      <w:pPr>
        <w:jc w:val="center"/>
        <w:rPr>
          <w:rFonts w:ascii="Times New Roman" w:hAnsi="Times New Roman" w:cs="Times New Roman"/>
          <w:b/>
          <w:bCs/>
          <w:sz w:val="24"/>
          <w:szCs w:val="24"/>
        </w:rPr>
      </w:pPr>
      <w:r>
        <w:rPr>
          <w:rFonts w:ascii="Times New Roman" w:hAnsi="Times New Roman" w:cs="Times New Roman"/>
          <w:b/>
          <w:bCs/>
          <w:sz w:val="24"/>
          <w:szCs w:val="24"/>
        </w:rPr>
        <w:t>ANNEXURE A</w:t>
      </w:r>
    </w:p>
    <w:p w14:paraId="1D25C12A">
      <w:pPr>
        <w:jc w:val="center"/>
        <w:rPr>
          <w:rFonts w:ascii="Times New Roman" w:hAnsi="Times New Roman" w:cs="Times New Roman"/>
          <w:b/>
          <w:bCs/>
          <w:sz w:val="24"/>
          <w:szCs w:val="24"/>
        </w:rPr>
      </w:pPr>
      <w:r>
        <w:rPr>
          <w:rFonts w:ascii="Times New Roman" w:hAnsi="Times New Roman" w:cs="Times New Roman"/>
          <w:b/>
          <w:bCs/>
          <w:sz w:val="24"/>
          <w:szCs w:val="24"/>
        </w:rPr>
        <w:t>COMPARATIVE ANALYSIS</w:t>
      </w:r>
    </w:p>
    <w:p w14:paraId="4C703090">
      <w:pPr>
        <w:jc w:val="right"/>
        <w:rPr>
          <w:rFonts w:ascii="Times New Roman" w:hAnsi="Times New Roman" w:eastAsia="Times New Roman" w:cs="Times New Roman"/>
          <w:sz w:val="24"/>
          <w:szCs w:val="24"/>
        </w:rPr>
      </w:pPr>
    </w:p>
    <w:p w14:paraId="0703E905">
      <w:pPr>
        <w:ind w:right="-705"/>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1.Compare L1, L2, and L3 cache levels in terms of latency, bandwidth, and throughput, and analyze their impact on processor performance.</w:t>
      </w:r>
    </w:p>
    <w:p w14:paraId="3C0F1D17">
      <w:pPr>
        <w:ind w:right="-705"/>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2.Differentiate SRAM and DRAM by evaluating their latency, bandwidth, and throughput characteristics in cache and main memory design.</w:t>
      </w:r>
    </w:p>
    <w:p w14:paraId="2ADBBEA5">
      <w:pPr>
        <w:ind w:right="-705"/>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3.Compare virtual memory with paging and cache memory mechanisms in terms of access latency and system throughput.</w:t>
      </w:r>
    </w:p>
    <w:p w14:paraId="4B2D77C3">
      <w:pPr>
        <w:ind w:right="-705"/>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4.Analyze the differences between NAND Flash and DRAM with respect to latency, bandwidth, and suitability for hierarchical memory systems.</w:t>
      </w:r>
    </w:p>
    <w:p w14:paraId="2A585A0B">
      <w:pPr>
        <w:ind w:right="-705"/>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5.Compare MRAM and RRAM technologies by examining their performance in terms of access time, throughput, and energy efficiency.</w:t>
      </w:r>
    </w:p>
    <w:p w14:paraId="1A83288C">
      <w:pPr>
        <w:jc w:val="both"/>
        <w:rPr>
          <w:rFonts w:ascii="Times New Roman" w:hAnsi="Times New Roman" w:eastAsia="Times New Roman" w:cs="Times New Roman"/>
          <w:sz w:val="24"/>
          <w:szCs w:val="24"/>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34B74074">
      <w:pPr>
        <w:jc w:val="both"/>
        <w:rPr>
          <w:rFonts w:ascii="Times New Roman" w:hAnsi="Times New Roman" w:eastAsia="Times New Roman" w:cs="Times New Roman"/>
          <w:sz w:val="24"/>
          <w:szCs w:val="24"/>
        </w:rPr>
      </w:pPr>
    </w:p>
    <w:p w14:paraId="75306174">
      <w:pPr>
        <w:rPr>
          <w:rFonts w:ascii="Times New Roman" w:hAnsi="Times New Roman" w:cs="Times New Roman"/>
          <w:b/>
          <w:bCs/>
          <w:i/>
          <w:iCs/>
          <w:sz w:val="24"/>
          <w:szCs w:val="24"/>
        </w:rPr>
      </w:pPr>
      <w:r>
        <w:rPr>
          <w:rFonts w:ascii="Times New Roman" w:hAnsi="Times New Roman" w:cs="Times New Roman"/>
          <w:b/>
          <w:bCs/>
          <w:i/>
          <w:iCs/>
          <w:sz w:val="24"/>
          <w:szCs w:val="24"/>
        </w:rPr>
        <w:t>Code of Conduct:</w:t>
      </w:r>
    </w:p>
    <w:p w14:paraId="5C178BA3">
      <w:pPr>
        <w:rPr>
          <w:rFonts w:ascii="Times New Roman" w:hAnsi="Times New Roman" w:cs="Times New Roman"/>
          <w:i/>
          <w:iCs/>
          <w:sz w:val="24"/>
          <w:szCs w:val="24"/>
        </w:rPr>
      </w:pPr>
    </w:p>
    <w:p w14:paraId="0E54C6A8">
      <w:pPr>
        <w:jc w:val="both"/>
        <w:rPr>
          <w:rFonts w:ascii="Times New Roman" w:hAnsi="Times New Roman" w:cs="Times New Roman"/>
          <w:i/>
          <w:iCs/>
          <w:sz w:val="24"/>
          <w:szCs w:val="24"/>
        </w:rPr>
      </w:pPr>
      <w:r>
        <w:rPr>
          <w:rFonts w:ascii="Times New Roman" w:hAnsi="Times New Roman" w:cs="Times New Roman"/>
          <w:i/>
          <w:iCs/>
          <w:sz w:val="24"/>
          <w:szCs w:val="24"/>
        </w:rPr>
        <w:t xml:space="preserve">I </w:t>
      </w:r>
      <w:r>
        <w:rPr>
          <w:rFonts w:hint="default" w:ascii="Times New Roman" w:hAnsi="Times New Roman" w:cs="Times New Roman"/>
          <w:i/>
          <w:iCs/>
          <w:sz w:val="24"/>
          <w:szCs w:val="24"/>
          <w:lang w:val="en-US"/>
        </w:rPr>
        <w:t>KAMURI SHARA</w:t>
      </w:r>
      <w:r>
        <w:rPr>
          <w:rFonts w:ascii="Times New Roman" w:hAnsi="Times New Roman" w:cs="Times New Roman"/>
          <w:b/>
          <w:i/>
          <w:iCs/>
          <w:sz w:val="24"/>
          <w:szCs w:val="24"/>
        </w:rPr>
        <w:t>(19252</w:t>
      </w:r>
      <w:r>
        <w:rPr>
          <w:rFonts w:hint="default" w:ascii="Times New Roman" w:hAnsi="Times New Roman" w:cs="Times New Roman"/>
          <w:b/>
          <w:i/>
          <w:iCs/>
          <w:sz w:val="24"/>
          <w:szCs w:val="24"/>
          <w:lang w:val="en-US"/>
        </w:rPr>
        <w:t>5220</w:t>
      </w:r>
      <w:bookmarkStart w:id="0" w:name="_GoBack"/>
      <w:bookmarkEnd w:id="0"/>
      <w:r>
        <w:rPr>
          <w:rFonts w:ascii="Times New Roman" w:hAnsi="Times New Roman" w:cs="Times New Roman"/>
          <w:b/>
          <w:i/>
          <w:iCs/>
          <w:sz w:val="24"/>
          <w:szCs w:val="24"/>
        </w:rPr>
        <w:t>)</w:t>
      </w:r>
      <w:r>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6555D7B9">
      <w:pPr>
        <w:jc w:val="both"/>
        <w:rPr>
          <w:rFonts w:ascii="Times New Roman" w:hAnsi="Times New Roman" w:cs="Times New Roman"/>
          <w:i/>
          <w:iCs/>
          <w:sz w:val="24"/>
          <w:szCs w:val="24"/>
        </w:rPr>
      </w:pPr>
      <w:r>
        <w:rPr>
          <w:rFonts w:ascii="Times New Roman" w:hAnsi="Times New Roman" w:cs="Times New Roman"/>
          <w:i/>
          <w:iCs/>
          <w:sz w:val="24"/>
          <w:szCs w:val="24"/>
        </w:rPr>
        <w:t>I understand that any violation of academic integrity rules will result in disciplinary action.</w:t>
      </w:r>
    </w:p>
    <w:p w14:paraId="2941B2FE">
      <w:pPr>
        <w:rPr>
          <w:rFonts w:ascii="Times New Roman" w:hAnsi="Times New Roman" w:cs="Times New Roman"/>
          <w:i/>
          <w:iCs/>
          <w:sz w:val="24"/>
          <w:szCs w:val="24"/>
        </w:rPr>
      </w:pPr>
    </w:p>
    <w:p w14:paraId="587C8B7F">
      <w:pPr>
        <w:rPr>
          <w:rFonts w:hint="default" w:ascii="Times New Roman" w:hAnsi="Times New Roman" w:cs="Times New Roman"/>
          <w:bCs/>
          <w:i/>
          <w:iCs/>
          <w:sz w:val="24"/>
          <w:szCs w:val="24"/>
          <w:lang w:val="en-US"/>
        </w:rPr>
      </w:pPr>
      <w:r>
        <w:rPr>
          <w:rFonts w:ascii="Times New Roman" w:hAnsi="Times New Roman" w:cs="Times New Roman"/>
          <w:b/>
          <w:bCs/>
          <w:i/>
          <w:iCs/>
          <w:sz w:val="24"/>
          <w:szCs w:val="24"/>
        </w:rPr>
        <w:t>Signature of the student:</w:t>
      </w:r>
      <w:r>
        <w:rPr>
          <w:rFonts w:hint="default" w:ascii="Times New Roman" w:hAnsi="Times New Roman" w:cs="Times New Roman"/>
          <w:b/>
          <w:bCs/>
          <w:i/>
          <w:iCs/>
          <w:sz w:val="24"/>
          <w:szCs w:val="24"/>
          <w:lang w:val="en-US"/>
        </w:rPr>
        <w:t>KAMURISHARA</w:t>
      </w:r>
    </w:p>
    <w:p w14:paraId="3D005D14">
      <w:pPr>
        <w:rPr>
          <w:rFonts w:ascii="Times New Roman" w:hAnsi="Times New Roman" w:cs="Times New Roman"/>
          <w:b/>
          <w:bCs/>
          <w:i/>
          <w:iCs/>
          <w:sz w:val="24"/>
          <w:szCs w:val="24"/>
        </w:rPr>
      </w:pPr>
    </w:p>
    <w:p w14:paraId="51FFAF37">
      <w:pPr>
        <w:rPr>
          <w:rFonts w:ascii="Times New Roman" w:hAnsi="Times New Roman" w:cs="Times New Roman"/>
          <w:b/>
          <w:bCs/>
          <w:i/>
          <w:iCs/>
          <w:sz w:val="24"/>
          <w:szCs w:val="24"/>
        </w:rPr>
      </w:pPr>
    </w:p>
    <w:p w14:paraId="58F1C0D9">
      <w:pPr>
        <w:spacing w:after="280"/>
        <w:ind w:left="-578" w:right="-61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MARKS ALLOCATION</w:t>
      </w:r>
    </w:p>
    <w:tbl>
      <w:tblPr>
        <w:tblStyle w:val="12"/>
        <w:tblW w:w="9923" w:type="dxa"/>
        <w:tblInd w:w="-147" w:type="dxa"/>
        <w:tblLayout w:type="fixed"/>
        <w:tblCellMar>
          <w:top w:w="0" w:type="dxa"/>
          <w:left w:w="108" w:type="dxa"/>
          <w:bottom w:w="0" w:type="dxa"/>
          <w:right w:w="108" w:type="dxa"/>
        </w:tblCellMar>
      </w:tblPr>
      <w:tblGrid>
        <w:gridCol w:w="1235"/>
        <w:gridCol w:w="1742"/>
        <w:gridCol w:w="1701"/>
        <w:gridCol w:w="1560"/>
        <w:gridCol w:w="1701"/>
        <w:gridCol w:w="1984"/>
      </w:tblGrid>
      <w:tr w14:paraId="787A9606">
        <w:tblPrEx>
          <w:tblCellMar>
            <w:top w:w="0" w:type="dxa"/>
            <w:left w:w="108" w:type="dxa"/>
            <w:bottom w:w="0" w:type="dxa"/>
            <w:right w:w="108" w:type="dxa"/>
          </w:tblCellMar>
        </w:tblPrEx>
        <w:trPr>
          <w:trHeight w:val="600" w:hRule="atLeast"/>
        </w:trPr>
        <w:tc>
          <w:tcPr>
            <w:tcW w:w="1235" w:type="dxa"/>
            <w:tcBorders>
              <w:top w:val="single" w:color="000000" w:sz="4" w:space="0"/>
              <w:left w:val="single" w:color="000000" w:sz="4" w:space="0"/>
              <w:bottom w:val="single" w:color="000000" w:sz="4" w:space="0"/>
              <w:right w:val="single" w:color="000000" w:sz="4" w:space="0"/>
            </w:tcBorders>
            <w:vAlign w:val="center"/>
          </w:tcPr>
          <w:p w14:paraId="4D8025F0">
            <w:pPr>
              <w:spacing w:line="240" w:lineRule="auto"/>
              <w:jc w:val="center"/>
              <w:rPr>
                <w:rFonts w:ascii="Times New Roman" w:hAnsi="Times New Roman" w:eastAsia="Cambria" w:cs="Times New Roman"/>
                <w:b/>
                <w:bCs/>
                <w:color w:val="000000"/>
                <w:sz w:val="20"/>
                <w:szCs w:val="20"/>
              </w:rPr>
            </w:pPr>
          </w:p>
        </w:tc>
        <w:tc>
          <w:tcPr>
            <w:tcW w:w="1742" w:type="dxa"/>
            <w:tcBorders>
              <w:top w:val="single" w:color="000000" w:sz="4" w:space="0"/>
              <w:left w:val="nil"/>
              <w:bottom w:val="single" w:color="000000" w:sz="4" w:space="0"/>
              <w:right w:val="single" w:color="000000" w:sz="4" w:space="0"/>
            </w:tcBorders>
            <w:vAlign w:val="center"/>
          </w:tcPr>
          <w:p w14:paraId="483C519D">
            <w:pPr>
              <w:spacing w:line="240" w:lineRule="auto"/>
              <w:jc w:val="center"/>
              <w:rPr>
                <w:rFonts w:ascii="Times New Roman" w:hAnsi="Times New Roman" w:eastAsia="Cambria" w:cs="Times New Roman"/>
                <w:b/>
                <w:bCs/>
                <w:color w:val="000000"/>
                <w:sz w:val="20"/>
                <w:szCs w:val="20"/>
              </w:rPr>
            </w:pPr>
            <w:r>
              <w:rPr>
                <w:rFonts w:ascii="Times New Roman" w:hAnsi="Times New Roman" w:cs="Times New Roman"/>
                <w:b/>
                <w:bCs/>
                <w:sz w:val="20"/>
                <w:szCs w:val="20"/>
              </w:rPr>
              <w:t>Scope of Items</w:t>
            </w:r>
            <w:r>
              <w:rPr>
                <w:rFonts w:ascii="Times New Roman" w:hAnsi="Times New Roman" w:eastAsia="Cambria" w:cs="Times New Roman"/>
                <w:b/>
                <w:bCs/>
                <w:color w:val="000000"/>
                <w:sz w:val="20"/>
                <w:szCs w:val="20"/>
              </w:rPr>
              <w:t xml:space="preserve"> (20%)</w:t>
            </w:r>
          </w:p>
        </w:tc>
        <w:tc>
          <w:tcPr>
            <w:tcW w:w="1701" w:type="dxa"/>
            <w:tcBorders>
              <w:top w:val="single" w:color="000000" w:sz="4" w:space="0"/>
              <w:left w:val="nil"/>
              <w:bottom w:val="single" w:color="000000" w:sz="4" w:space="0"/>
              <w:right w:val="single" w:color="000000" w:sz="4" w:space="0"/>
            </w:tcBorders>
            <w:vAlign w:val="center"/>
          </w:tcPr>
          <w:p w14:paraId="4D13BD51">
            <w:pPr>
              <w:spacing w:line="240" w:lineRule="auto"/>
              <w:jc w:val="center"/>
              <w:rPr>
                <w:rFonts w:ascii="Times New Roman" w:hAnsi="Times New Roman" w:eastAsia="Cambria" w:cs="Times New Roman"/>
                <w:b/>
                <w:bCs/>
                <w:color w:val="000000"/>
                <w:sz w:val="20"/>
                <w:szCs w:val="20"/>
              </w:rPr>
            </w:pPr>
            <w:r>
              <w:rPr>
                <w:rFonts w:ascii="Times New Roman" w:hAnsi="Times New Roman" w:cs="Times New Roman"/>
                <w:b/>
                <w:bCs/>
                <w:sz w:val="20"/>
                <w:szCs w:val="20"/>
              </w:rPr>
              <w:t>Comparison Depth</w:t>
            </w:r>
            <w:r>
              <w:rPr>
                <w:rFonts w:ascii="Times New Roman" w:hAnsi="Times New Roman" w:eastAsia="Cambria" w:cs="Times New Roman"/>
                <w:b/>
                <w:bCs/>
                <w:color w:val="000000"/>
                <w:sz w:val="20"/>
                <w:szCs w:val="20"/>
              </w:rPr>
              <w:t xml:space="preserve"> (25%)</w:t>
            </w:r>
          </w:p>
        </w:tc>
        <w:tc>
          <w:tcPr>
            <w:tcW w:w="1560" w:type="dxa"/>
            <w:tcBorders>
              <w:top w:val="single" w:color="000000" w:sz="4" w:space="0"/>
              <w:left w:val="nil"/>
              <w:bottom w:val="single" w:color="000000" w:sz="4" w:space="0"/>
              <w:right w:val="single" w:color="000000" w:sz="4" w:space="0"/>
            </w:tcBorders>
            <w:vAlign w:val="center"/>
          </w:tcPr>
          <w:p w14:paraId="095298A2">
            <w:pPr>
              <w:spacing w:line="240" w:lineRule="auto"/>
              <w:jc w:val="center"/>
              <w:rPr>
                <w:rFonts w:ascii="Times New Roman" w:hAnsi="Times New Roman" w:eastAsia="Cambria" w:cs="Times New Roman"/>
                <w:b/>
                <w:bCs/>
                <w:color w:val="000000"/>
                <w:sz w:val="20"/>
                <w:szCs w:val="20"/>
              </w:rPr>
            </w:pPr>
            <w:r>
              <w:rPr>
                <w:rFonts w:ascii="Times New Roman" w:hAnsi="Times New Roman" w:cs="Times New Roman"/>
                <w:b/>
                <w:bCs/>
                <w:sz w:val="20"/>
                <w:szCs w:val="20"/>
              </w:rPr>
              <w:t>Use of Evidence</w:t>
            </w:r>
            <w:r>
              <w:rPr>
                <w:rFonts w:ascii="Times New Roman" w:hAnsi="Times New Roman" w:eastAsia="Cambria" w:cs="Times New Roman"/>
                <w:b/>
                <w:bCs/>
                <w:color w:val="000000"/>
                <w:sz w:val="20"/>
                <w:szCs w:val="20"/>
              </w:rPr>
              <w:t xml:space="preserve"> (20%)</w:t>
            </w:r>
          </w:p>
        </w:tc>
        <w:tc>
          <w:tcPr>
            <w:tcW w:w="1701" w:type="dxa"/>
            <w:tcBorders>
              <w:top w:val="single" w:color="000000" w:sz="4" w:space="0"/>
              <w:left w:val="nil"/>
              <w:bottom w:val="single" w:color="000000" w:sz="4" w:space="0"/>
              <w:right w:val="single" w:color="000000" w:sz="4" w:space="0"/>
            </w:tcBorders>
            <w:vAlign w:val="center"/>
          </w:tcPr>
          <w:p w14:paraId="40B627EA">
            <w:pPr>
              <w:spacing w:line="240" w:lineRule="auto"/>
              <w:jc w:val="center"/>
              <w:rPr>
                <w:rFonts w:ascii="Times New Roman" w:hAnsi="Times New Roman" w:eastAsia="Cambria" w:cs="Times New Roman"/>
                <w:b/>
                <w:bCs/>
                <w:color w:val="000000"/>
                <w:sz w:val="20"/>
                <w:szCs w:val="20"/>
              </w:rPr>
            </w:pPr>
            <w:r>
              <w:rPr>
                <w:rFonts w:ascii="Times New Roman" w:hAnsi="Times New Roman" w:cs="Times New Roman"/>
                <w:b/>
                <w:bCs/>
                <w:sz w:val="20"/>
                <w:szCs w:val="20"/>
              </w:rPr>
              <w:t>Critical Thinking</w:t>
            </w:r>
            <w:r>
              <w:rPr>
                <w:rFonts w:ascii="Times New Roman" w:hAnsi="Times New Roman" w:eastAsia="Cambria" w:cs="Times New Roman"/>
                <w:b/>
                <w:bCs/>
                <w:color w:val="000000"/>
                <w:sz w:val="20"/>
                <w:szCs w:val="20"/>
              </w:rPr>
              <w:t xml:space="preserve"> (20%)</w:t>
            </w:r>
          </w:p>
        </w:tc>
        <w:tc>
          <w:tcPr>
            <w:tcW w:w="1984" w:type="dxa"/>
            <w:tcBorders>
              <w:top w:val="single" w:color="000000" w:sz="4" w:space="0"/>
              <w:left w:val="nil"/>
              <w:bottom w:val="single" w:color="000000" w:sz="4" w:space="0"/>
              <w:right w:val="single" w:color="000000" w:sz="4" w:space="0"/>
            </w:tcBorders>
            <w:vAlign w:val="center"/>
          </w:tcPr>
          <w:p w14:paraId="2726042A">
            <w:pPr>
              <w:spacing w:line="240" w:lineRule="auto"/>
              <w:jc w:val="center"/>
              <w:rPr>
                <w:rFonts w:ascii="Times New Roman" w:hAnsi="Times New Roman" w:eastAsia="Cambria" w:cs="Times New Roman"/>
                <w:b/>
                <w:bCs/>
                <w:color w:val="000000"/>
                <w:sz w:val="20"/>
                <w:szCs w:val="20"/>
              </w:rPr>
            </w:pPr>
            <w:r>
              <w:rPr>
                <w:rFonts w:ascii="Times New Roman" w:hAnsi="Times New Roman" w:cs="Times New Roman"/>
                <w:b/>
                <w:bCs/>
                <w:sz w:val="20"/>
                <w:szCs w:val="20"/>
              </w:rPr>
              <w:t>Clarity of Presentation</w:t>
            </w:r>
            <w:r>
              <w:rPr>
                <w:rFonts w:ascii="Times New Roman" w:hAnsi="Times New Roman" w:eastAsia="Cambria" w:cs="Times New Roman"/>
                <w:b/>
                <w:bCs/>
                <w:color w:val="000000"/>
                <w:sz w:val="20"/>
                <w:szCs w:val="20"/>
              </w:rPr>
              <w:t xml:space="preserve"> (15%)</w:t>
            </w:r>
          </w:p>
        </w:tc>
      </w:tr>
      <w:tr w14:paraId="61A10484">
        <w:tblPrEx>
          <w:tblCellMar>
            <w:top w:w="0" w:type="dxa"/>
            <w:left w:w="108" w:type="dxa"/>
            <w:bottom w:w="0" w:type="dxa"/>
            <w:right w:w="108" w:type="dxa"/>
          </w:tblCellMar>
        </w:tblPrEx>
        <w:trPr>
          <w:trHeight w:val="395" w:hRule="atLeast"/>
        </w:trPr>
        <w:tc>
          <w:tcPr>
            <w:tcW w:w="1235" w:type="dxa"/>
            <w:tcBorders>
              <w:top w:val="nil"/>
              <w:left w:val="single" w:color="000000" w:sz="4" w:space="0"/>
              <w:bottom w:val="single" w:color="000000" w:sz="4" w:space="0"/>
              <w:right w:val="single" w:color="000000" w:sz="4" w:space="0"/>
            </w:tcBorders>
            <w:vAlign w:val="center"/>
          </w:tcPr>
          <w:p w14:paraId="11DA4B0F">
            <w:pPr>
              <w:spacing w:line="240" w:lineRule="auto"/>
              <w:jc w:val="center"/>
              <w:rPr>
                <w:rFonts w:ascii="Times New Roman" w:hAnsi="Times New Roman" w:eastAsia="Cambria" w:cs="Times New Roman"/>
                <w:b/>
                <w:bCs/>
                <w:color w:val="000000"/>
                <w:sz w:val="20"/>
                <w:szCs w:val="20"/>
              </w:rPr>
            </w:pPr>
            <w:r>
              <w:rPr>
                <w:rFonts w:ascii="Times New Roman" w:hAnsi="Times New Roman" w:eastAsia="Cambria" w:cs="Times New Roman"/>
                <w:b/>
                <w:bCs/>
                <w:color w:val="000000"/>
                <w:sz w:val="20"/>
                <w:szCs w:val="20"/>
              </w:rPr>
              <w:t>Q1</w:t>
            </w:r>
          </w:p>
        </w:tc>
        <w:tc>
          <w:tcPr>
            <w:tcW w:w="1742" w:type="dxa"/>
            <w:tcBorders>
              <w:top w:val="nil"/>
              <w:left w:val="nil"/>
              <w:bottom w:val="single" w:color="000000" w:sz="4" w:space="0"/>
              <w:right w:val="single" w:color="000000" w:sz="4" w:space="0"/>
            </w:tcBorders>
            <w:vAlign w:val="center"/>
          </w:tcPr>
          <w:p w14:paraId="7E7E410F">
            <w:pPr>
              <w:spacing w:line="240" w:lineRule="auto"/>
              <w:jc w:val="center"/>
              <w:rPr>
                <w:rFonts w:ascii="Times New Roman" w:hAnsi="Times New Roman" w:eastAsia="Cambria" w:cs="Times New Roman"/>
                <w:color w:val="000000"/>
                <w:sz w:val="20"/>
                <w:szCs w:val="20"/>
              </w:rPr>
            </w:pPr>
          </w:p>
        </w:tc>
        <w:tc>
          <w:tcPr>
            <w:tcW w:w="1701" w:type="dxa"/>
            <w:tcBorders>
              <w:top w:val="nil"/>
              <w:left w:val="nil"/>
              <w:bottom w:val="single" w:color="000000" w:sz="4" w:space="0"/>
              <w:right w:val="single" w:color="000000" w:sz="4" w:space="0"/>
            </w:tcBorders>
            <w:vAlign w:val="center"/>
          </w:tcPr>
          <w:p w14:paraId="4C92C8A5">
            <w:pPr>
              <w:spacing w:line="240" w:lineRule="auto"/>
              <w:jc w:val="center"/>
              <w:rPr>
                <w:rFonts w:ascii="Times New Roman" w:hAnsi="Times New Roman" w:eastAsia="Cambria" w:cs="Times New Roman"/>
                <w:color w:val="000000"/>
                <w:sz w:val="20"/>
                <w:szCs w:val="20"/>
              </w:rPr>
            </w:pPr>
          </w:p>
        </w:tc>
        <w:tc>
          <w:tcPr>
            <w:tcW w:w="1560" w:type="dxa"/>
            <w:tcBorders>
              <w:top w:val="nil"/>
              <w:left w:val="nil"/>
              <w:bottom w:val="single" w:color="000000" w:sz="4" w:space="0"/>
              <w:right w:val="single" w:color="000000" w:sz="4" w:space="0"/>
            </w:tcBorders>
            <w:vAlign w:val="center"/>
          </w:tcPr>
          <w:p w14:paraId="362846DF">
            <w:pPr>
              <w:spacing w:line="240" w:lineRule="auto"/>
              <w:jc w:val="center"/>
              <w:rPr>
                <w:rFonts w:ascii="Times New Roman" w:hAnsi="Times New Roman" w:eastAsia="Cambria" w:cs="Times New Roman"/>
                <w:color w:val="000000"/>
                <w:sz w:val="20"/>
                <w:szCs w:val="20"/>
              </w:rPr>
            </w:pPr>
          </w:p>
        </w:tc>
        <w:tc>
          <w:tcPr>
            <w:tcW w:w="1701" w:type="dxa"/>
            <w:tcBorders>
              <w:top w:val="nil"/>
              <w:left w:val="nil"/>
              <w:bottom w:val="single" w:color="000000" w:sz="4" w:space="0"/>
              <w:right w:val="single" w:color="000000" w:sz="4" w:space="0"/>
            </w:tcBorders>
            <w:vAlign w:val="center"/>
          </w:tcPr>
          <w:p w14:paraId="4233A630">
            <w:pPr>
              <w:spacing w:line="240" w:lineRule="auto"/>
              <w:jc w:val="center"/>
              <w:rPr>
                <w:rFonts w:ascii="Times New Roman" w:hAnsi="Times New Roman" w:eastAsia="Cambria" w:cs="Times New Roman"/>
                <w:color w:val="000000"/>
                <w:sz w:val="20"/>
                <w:szCs w:val="20"/>
              </w:rPr>
            </w:pPr>
          </w:p>
        </w:tc>
        <w:tc>
          <w:tcPr>
            <w:tcW w:w="1984" w:type="dxa"/>
            <w:tcBorders>
              <w:top w:val="nil"/>
              <w:left w:val="nil"/>
              <w:bottom w:val="single" w:color="000000" w:sz="4" w:space="0"/>
              <w:right w:val="single" w:color="000000" w:sz="4" w:space="0"/>
            </w:tcBorders>
            <w:vAlign w:val="center"/>
          </w:tcPr>
          <w:p w14:paraId="527B5CB9">
            <w:pPr>
              <w:spacing w:line="240" w:lineRule="auto"/>
              <w:jc w:val="center"/>
              <w:rPr>
                <w:rFonts w:ascii="Times New Roman" w:hAnsi="Times New Roman" w:eastAsia="Cambria" w:cs="Times New Roman"/>
                <w:color w:val="000000"/>
                <w:sz w:val="20"/>
                <w:szCs w:val="20"/>
              </w:rPr>
            </w:pPr>
          </w:p>
        </w:tc>
      </w:tr>
      <w:tr w14:paraId="7193CB83">
        <w:tblPrEx>
          <w:tblCellMar>
            <w:top w:w="0" w:type="dxa"/>
            <w:left w:w="108" w:type="dxa"/>
            <w:bottom w:w="0" w:type="dxa"/>
            <w:right w:w="108" w:type="dxa"/>
          </w:tblCellMar>
        </w:tblPrEx>
        <w:trPr>
          <w:trHeight w:val="415" w:hRule="atLeast"/>
        </w:trPr>
        <w:tc>
          <w:tcPr>
            <w:tcW w:w="1235" w:type="dxa"/>
            <w:tcBorders>
              <w:top w:val="nil"/>
              <w:left w:val="single" w:color="000000" w:sz="4" w:space="0"/>
              <w:bottom w:val="single" w:color="000000" w:sz="4" w:space="0"/>
              <w:right w:val="single" w:color="000000" w:sz="4" w:space="0"/>
            </w:tcBorders>
            <w:vAlign w:val="center"/>
          </w:tcPr>
          <w:p w14:paraId="79371796">
            <w:pPr>
              <w:spacing w:line="240" w:lineRule="auto"/>
              <w:jc w:val="center"/>
              <w:rPr>
                <w:rFonts w:ascii="Times New Roman" w:hAnsi="Times New Roman" w:eastAsia="Cambria" w:cs="Times New Roman"/>
                <w:b/>
                <w:bCs/>
                <w:color w:val="000000"/>
                <w:sz w:val="20"/>
                <w:szCs w:val="20"/>
              </w:rPr>
            </w:pPr>
            <w:r>
              <w:rPr>
                <w:rFonts w:ascii="Times New Roman" w:hAnsi="Times New Roman" w:eastAsia="Cambria" w:cs="Times New Roman"/>
                <w:b/>
                <w:bCs/>
                <w:color w:val="000000"/>
                <w:sz w:val="20"/>
                <w:szCs w:val="20"/>
              </w:rPr>
              <w:t>Q2</w:t>
            </w:r>
          </w:p>
        </w:tc>
        <w:tc>
          <w:tcPr>
            <w:tcW w:w="1742" w:type="dxa"/>
            <w:tcBorders>
              <w:top w:val="nil"/>
              <w:left w:val="nil"/>
              <w:bottom w:val="single" w:color="000000" w:sz="4" w:space="0"/>
              <w:right w:val="single" w:color="000000" w:sz="4" w:space="0"/>
            </w:tcBorders>
            <w:vAlign w:val="center"/>
          </w:tcPr>
          <w:p w14:paraId="5190DB50">
            <w:pPr>
              <w:spacing w:line="240" w:lineRule="auto"/>
              <w:jc w:val="center"/>
              <w:rPr>
                <w:rFonts w:ascii="Times New Roman" w:hAnsi="Times New Roman" w:eastAsia="Cambria" w:cs="Times New Roman"/>
                <w:color w:val="000000"/>
                <w:sz w:val="20"/>
                <w:szCs w:val="20"/>
              </w:rPr>
            </w:pPr>
          </w:p>
        </w:tc>
        <w:tc>
          <w:tcPr>
            <w:tcW w:w="1701" w:type="dxa"/>
            <w:tcBorders>
              <w:top w:val="nil"/>
              <w:left w:val="nil"/>
              <w:bottom w:val="single" w:color="000000" w:sz="4" w:space="0"/>
              <w:right w:val="single" w:color="000000" w:sz="4" w:space="0"/>
            </w:tcBorders>
            <w:vAlign w:val="center"/>
          </w:tcPr>
          <w:p w14:paraId="3D3A75C9">
            <w:pPr>
              <w:spacing w:line="240" w:lineRule="auto"/>
              <w:jc w:val="center"/>
              <w:rPr>
                <w:rFonts w:ascii="Times New Roman" w:hAnsi="Times New Roman" w:eastAsia="Cambria" w:cs="Times New Roman"/>
                <w:color w:val="000000"/>
                <w:sz w:val="20"/>
                <w:szCs w:val="20"/>
              </w:rPr>
            </w:pPr>
          </w:p>
        </w:tc>
        <w:tc>
          <w:tcPr>
            <w:tcW w:w="1560" w:type="dxa"/>
            <w:tcBorders>
              <w:top w:val="nil"/>
              <w:left w:val="nil"/>
              <w:bottom w:val="single" w:color="000000" w:sz="4" w:space="0"/>
              <w:right w:val="single" w:color="000000" w:sz="4" w:space="0"/>
            </w:tcBorders>
            <w:vAlign w:val="center"/>
          </w:tcPr>
          <w:p w14:paraId="06C5852D">
            <w:pPr>
              <w:spacing w:line="240" w:lineRule="auto"/>
              <w:jc w:val="center"/>
              <w:rPr>
                <w:rFonts w:ascii="Times New Roman" w:hAnsi="Times New Roman" w:eastAsia="Cambria" w:cs="Times New Roman"/>
                <w:color w:val="000000"/>
                <w:sz w:val="20"/>
                <w:szCs w:val="20"/>
              </w:rPr>
            </w:pPr>
          </w:p>
        </w:tc>
        <w:tc>
          <w:tcPr>
            <w:tcW w:w="1701" w:type="dxa"/>
            <w:tcBorders>
              <w:top w:val="nil"/>
              <w:left w:val="nil"/>
              <w:bottom w:val="single" w:color="000000" w:sz="4" w:space="0"/>
              <w:right w:val="single" w:color="000000" w:sz="4" w:space="0"/>
            </w:tcBorders>
            <w:vAlign w:val="center"/>
          </w:tcPr>
          <w:p w14:paraId="6292CB10">
            <w:pPr>
              <w:spacing w:line="240" w:lineRule="auto"/>
              <w:jc w:val="center"/>
              <w:rPr>
                <w:rFonts w:ascii="Times New Roman" w:hAnsi="Times New Roman" w:eastAsia="Cambria" w:cs="Times New Roman"/>
                <w:color w:val="000000"/>
                <w:sz w:val="20"/>
                <w:szCs w:val="20"/>
              </w:rPr>
            </w:pPr>
          </w:p>
        </w:tc>
        <w:tc>
          <w:tcPr>
            <w:tcW w:w="1984" w:type="dxa"/>
            <w:tcBorders>
              <w:top w:val="nil"/>
              <w:left w:val="nil"/>
              <w:bottom w:val="single" w:color="000000" w:sz="4" w:space="0"/>
              <w:right w:val="single" w:color="000000" w:sz="4" w:space="0"/>
            </w:tcBorders>
            <w:vAlign w:val="center"/>
          </w:tcPr>
          <w:p w14:paraId="34851C19">
            <w:pPr>
              <w:spacing w:line="240" w:lineRule="auto"/>
              <w:jc w:val="center"/>
              <w:rPr>
                <w:rFonts w:ascii="Times New Roman" w:hAnsi="Times New Roman" w:eastAsia="Cambria" w:cs="Times New Roman"/>
                <w:color w:val="000000"/>
                <w:sz w:val="20"/>
                <w:szCs w:val="20"/>
              </w:rPr>
            </w:pPr>
          </w:p>
        </w:tc>
      </w:tr>
      <w:tr w14:paraId="66BD5BFF">
        <w:tblPrEx>
          <w:tblCellMar>
            <w:top w:w="0" w:type="dxa"/>
            <w:left w:w="108" w:type="dxa"/>
            <w:bottom w:w="0" w:type="dxa"/>
            <w:right w:w="108" w:type="dxa"/>
          </w:tblCellMar>
        </w:tblPrEx>
        <w:trPr>
          <w:trHeight w:val="420" w:hRule="atLeast"/>
        </w:trPr>
        <w:tc>
          <w:tcPr>
            <w:tcW w:w="1235" w:type="dxa"/>
            <w:tcBorders>
              <w:top w:val="nil"/>
              <w:left w:val="single" w:color="000000" w:sz="4" w:space="0"/>
              <w:bottom w:val="single" w:color="000000" w:sz="4" w:space="0"/>
              <w:right w:val="single" w:color="000000" w:sz="4" w:space="0"/>
            </w:tcBorders>
            <w:vAlign w:val="center"/>
          </w:tcPr>
          <w:p w14:paraId="4DF35806">
            <w:pPr>
              <w:spacing w:line="240" w:lineRule="auto"/>
              <w:jc w:val="center"/>
              <w:rPr>
                <w:rFonts w:ascii="Times New Roman" w:hAnsi="Times New Roman" w:eastAsia="Cambria" w:cs="Times New Roman"/>
                <w:b/>
                <w:bCs/>
                <w:color w:val="000000"/>
                <w:sz w:val="20"/>
                <w:szCs w:val="20"/>
              </w:rPr>
            </w:pPr>
            <w:r>
              <w:rPr>
                <w:rFonts w:ascii="Times New Roman" w:hAnsi="Times New Roman" w:eastAsia="Cambria" w:cs="Times New Roman"/>
                <w:b/>
                <w:bCs/>
                <w:color w:val="000000"/>
                <w:sz w:val="20"/>
                <w:szCs w:val="20"/>
              </w:rPr>
              <w:t>Q3</w:t>
            </w:r>
          </w:p>
        </w:tc>
        <w:tc>
          <w:tcPr>
            <w:tcW w:w="1742" w:type="dxa"/>
            <w:tcBorders>
              <w:top w:val="nil"/>
              <w:left w:val="nil"/>
              <w:bottom w:val="single" w:color="000000" w:sz="4" w:space="0"/>
              <w:right w:val="single" w:color="000000" w:sz="4" w:space="0"/>
            </w:tcBorders>
            <w:vAlign w:val="center"/>
          </w:tcPr>
          <w:p w14:paraId="0B84CCB4">
            <w:pPr>
              <w:spacing w:line="240" w:lineRule="auto"/>
              <w:jc w:val="center"/>
              <w:rPr>
                <w:rFonts w:ascii="Times New Roman" w:hAnsi="Times New Roman" w:eastAsia="Cambria" w:cs="Times New Roman"/>
                <w:color w:val="000000"/>
                <w:sz w:val="20"/>
                <w:szCs w:val="20"/>
              </w:rPr>
            </w:pPr>
          </w:p>
        </w:tc>
        <w:tc>
          <w:tcPr>
            <w:tcW w:w="1701" w:type="dxa"/>
            <w:tcBorders>
              <w:top w:val="nil"/>
              <w:left w:val="nil"/>
              <w:bottom w:val="single" w:color="000000" w:sz="4" w:space="0"/>
              <w:right w:val="single" w:color="000000" w:sz="4" w:space="0"/>
            </w:tcBorders>
            <w:vAlign w:val="center"/>
          </w:tcPr>
          <w:p w14:paraId="00ADC5CC">
            <w:pPr>
              <w:spacing w:line="240" w:lineRule="auto"/>
              <w:jc w:val="center"/>
              <w:rPr>
                <w:rFonts w:ascii="Times New Roman" w:hAnsi="Times New Roman" w:eastAsia="Cambria" w:cs="Times New Roman"/>
                <w:color w:val="000000"/>
                <w:sz w:val="20"/>
                <w:szCs w:val="20"/>
              </w:rPr>
            </w:pPr>
          </w:p>
        </w:tc>
        <w:tc>
          <w:tcPr>
            <w:tcW w:w="1560" w:type="dxa"/>
            <w:tcBorders>
              <w:top w:val="nil"/>
              <w:left w:val="nil"/>
              <w:bottom w:val="single" w:color="000000" w:sz="4" w:space="0"/>
              <w:right w:val="single" w:color="000000" w:sz="4" w:space="0"/>
            </w:tcBorders>
            <w:vAlign w:val="center"/>
          </w:tcPr>
          <w:p w14:paraId="2589E3A0">
            <w:pPr>
              <w:spacing w:line="240" w:lineRule="auto"/>
              <w:jc w:val="center"/>
              <w:rPr>
                <w:rFonts w:ascii="Times New Roman" w:hAnsi="Times New Roman" w:eastAsia="Cambria" w:cs="Times New Roman"/>
                <w:color w:val="000000"/>
                <w:sz w:val="20"/>
                <w:szCs w:val="20"/>
              </w:rPr>
            </w:pPr>
          </w:p>
        </w:tc>
        <w:tc>
          <w:tcPr>
            <w:tcW w:w="1701" w:type="dxa"/>
            <w:tcBorders>
              <w:top w:val="nil"/>
              <w:left w:val="nil"/>
              <w:bottom w:val="single" w:color="000000" w:sz="4" w:space="0"/>
              <w:right w:val="single" w:color="000000" w:sz="4" w:space="0"/>
            </w:tcBorders>
            <w:vAlign w:val="center"/>
          </w:tcPr>
          <w:p w14:paraId="35EE33AA">
            <w:pPr>
              <w:spacing w:line="240" w:lineRule="auto"/>
              <w:jc w:val="center"/>
              <w:rPr>
                <w:rFonts w:ascii="Times New Roman" w:hAnsi="Times New Roman" w:eastAsia="Cambria" w:cs="Times New Roman"/>
                <w:color w:val="000000"/>
                <w:sz w:val="20"/>
                <w:szCs w:val="20"/>
              </w:rPr>
            </w:pPr>
          </w:p>
        </w:tc>
        <w:tc>
          <w:tcPr>
            <w:tcW w:w="1984" w:type="dxa"/>
            <w:tcBorders>
              <w:top w:val="nil"/>
              <w:left w:val="nil"/>
              <w:bottom w:val="single" w:color="000000" w:sz="4" w:space="0"/>
              <w:right w:val="single" w:color="000000" w:sz="4" w:space="0"/>
            </w:tcBorders>
            <w:vAlign w:val="center"/>
          </w:tcPr>
          <w:p w14:paraId="0E40CB21">
            <w:pPr>
              <w:spacing w:line="240" w:lineRule="auto"/>
              <w:jc w:val="center"/>
              <w:rPr>
                <w:rFonts w:ascii="Times New Roman" w:hAnsi="Times New Roman" w:eastAsia="Cambria" w:cs="Times New Roman"/>
                <w:color w:val="000000"/>
                <w:sz w:val="20"/>
                <w:szCs w:val="20"/>
              </w:rPr>
            </w:pPr>
          </w:p>
        </w:tc>
      </w:tr>
      <w:tr w14:paraId="655B200F">
        <w:tblPrEx>
          <w:tblCellMar>
            <w:top w:w="0" w:type="dxa"/>
            <w:left w:w="108" w:type="dxa"/>
            <w:bottom w:w="0" w:type="dxa"/>
            <w:right w:w="108" w:type="dxa"/>
          </w:tblCellMar>
        </w:tblPrEx>
        <w:trPr>
          <w:trHeight w:val="413" w:hRule="atLeast"/>
        </w:trPr>
        <w:tc>
          <w:tcPr>
            <w:tcW w:w="1235" w:type="dxa"/>
            <w:tcBorders>
              <w:top w:val="nil"/>
              <w:left w:val="single" w:color="000000" w:sz="4" w:space="0"/>
              <w:bottom w:val="single" w:color="000000" w:sz="4" w:space="0"/>
              <w:right w:val="single" w:color="000000" w:sz="4" w:space="0"/>
            </w:tcBorders>
            <w:vAlign w:val="center"/>
          </w:tcPr>
          <w:p w14:paraId="097F2985">
            <w:pPr>
              <w:spacing w:line="240" w:lineRule="auto"/>
              <w:jc w:val="center"/>
              <w:rPr>
                <w:rFonts w:ascii="Times New Roman" w:hAnsi="Times New Roman" w:eastAsia="Cambria" w:cs="Times New Roman"/>
                <w:b/>
                <w:bCs/>
                <w:color w:val="000000"/>
                <w:sz w:val="20"/>
                <w:szCs w:val="20"/>
              </w:rPr>
            </w:pPr>
            <w:r>
              <w:rPr>
                <w:rFonts w:ascii="Times New Roman" w:hAnsi="Times New Roman" w:eastAsia="Cambria" w:cs="Times New Roman"/>
                <w:b/>
                <w:bCs/>
                <w:color w:val="000000"/>
                <w:sz w:val="20"/>
                <w:szCs w:val="20"/>
              </w:rPr>
              <w:t>Q4</w:t>
            </w:r>
          </w:p>
        </w:tc>
        <w:tc>
          <w:tcPr>
            <w:tcW w:w="1742" w:type="dxa"/>
            <w:tcBorders>
              <w:top w:val="nil"/>
              <w:left w:val="nil"/>
              <w:bottom w:val="single" w:color="000000" w:sz="4" w:space="0"/>
              <w:right w:val="single" w:color="000000" w:sz="4" w:space="0"/>
            </w:tcBorders>
            <w:vAlign w:val="center"/>
          </w:tcPr>
          <w:p w14:paraId="6E688BA9">
            <w:pPr>
              <w:spacing w:line="240" w:lineRule="auto"/>
              <w:jc w:val="center"/>
              <w:rPr>
                <w:rFonts w:ascii="Times New Roman" w:hAnsi="Times New Roman" w:eastAsia="Cambria" w:cs="Times New Roman"/>
                <w:color w:val="000000"/>
                <w:sz w:val="20"/>
                <w:szCs w:val="20"/>
              </w:rPr>
            </w:pPr>
          </w:p>
        </w:tc>
        <w:tc>
          <w:tcPr>
            <w:tcW w:w="1701" w:type="dxa"/>
            <w:tcBorders>
              <w:top w:val="nil"/>
              <w:left w:val="nil"/>
              <w:bottom w:val="single" w:color="000000" w:sz="4" w:space="0"/>
              <w:right w:val="single" w:color="000000" w:sz="4" w:space="0"/>
            </w:tcBorders>
            <w:vAlign w:val="center"/>
          </w:tcPr>
          <w:p w14:paraId="3BC2C303">
            <w:pPr>
              <w:spacing w:line="240" w:lineRule="auto"/>
              <w:jc w:val="center"/>
              <w:rPr>
                <w:rFonts w:ascii="Times New Roman" w:hAnsi="Times New Roman" w:eastAsia="Cambria" w:cs="Times New Roman"/>
                <w:color w:val="000000"/>
                <w:sz w:val="20"/>
                <w:szCs w:val="20"/>
              </w:rPr>
            </w:pPr>
          </w:p>
        </w:tc>
        <w:tc>
          <w:tcPr>
            <w:tcW w:w="1560" w:type="dxa"/>
            <w:tcBorders>
              <w:top w:val="nil"/>
              <w:left w:val="nil"/>
              <w:bottom w:val="single" w:color="000000" w:sz="4" w:space="0"/>
              <w:right w:val="single" w:color="000000" w:sz="4" w:space="0"/>
            </w:tcBorders>
            <w:vAlign w:val="center"/>
          </w:tcPr>
          <w:p w14:paraId="39C0243B">
            <w:pPr>
              <w:spacing w:line="240" w:lineRule="auto"/>
              <w:jc w:val="center"/>
              <w:rPr>
                <w:rFonts w:ascii="Times New Roman" w:hAnsi="Times New Roman" w:eastAsia="Cambria" w:cs="Times New Roman"/>
                <w:color w:val="000000"/>
                <w:sz w:val="20"/>
                <w:szCs w:val="20"/>
              </w:rPr>
            </w:pPr>
          </w:p>
        </w:tc>
        <w:tc>
          <w:tcPr>
            <w:tcW w:w="1701" w:type="dxa"/>
            <w:tcBorders>
              <w:top w:val="nil"/>
              <w:left w:val="nil"/>
              <w:bottom w:val="single" w:color="000000" w:sz="4" w:space="0"/>
              <w:right w:val="single" w:color="000000" w:sz="4" w:space="0"/>
            </w:tcBorders>
            <w:vAlign w:val="center"/>
          </w:tcPr>
          <w:p w14:paraId="1B3AB29E">
            <w:pPr>
              <w:spacing w:line="240" w:lineRule="auto"/>
              <w:jc w:val="center"/>
              <w:rPr>
                <w:rFonts w:ascii="Times New Roman" w:hAnsi="Times New Roman" w:eastAsia="Cambria" w:cs="Times New Roman"/>
                <w:color w:val="000000"/>
                <w:sz w:val="20"/>
                <w:szCs w:val="20"/>
              </w:rPr>
            </w:pPr>
          </w:p>
        </w:tc>
        <w:tc>
          <w:tcPr>
            <w:tcW w:w="1984" w:type="dxa"/>
            <w:tcBorders>
              <w:top w:val="nil"/>
              <w:left w:val="nil"/>
              <w:bottom w:val="single" w:color="000000" w:sz="4" w:space="0"/>
              <w:right w:val="single" w:color="000000" w:sz="4" w:space="0"/>
            </w:tcBorders>
            <w:vAlign w:val="center"/>
          </w:tcPr>
          <w:p w14:paraId="35E3204E">
            <w:pPr>
              <w:spacing w:line="240" w:lineRule="auto"/>
              <w:jc w:val="center"/>
              <w:rPr>
                <w:rFonts w:ascii="Times New Roman" w:hAnsi="Times New Roman" w:eastAsia="Cambria" w:cs="Times New Roman"/>
                <w:color w:val="000000"/>
                <w:sz w:val="20"/>
                <w:szCs w:val="20"/>
              </w:rPr>
            </w:pPr>
          </w:p>
        </w:tc>
      </w:tr>
      <w:tr w14:paraId="0FEC0438">
        <w:tblPrEx>
          <w:tblCellMar>
            <w:top w:w="0" w:type="dxa"/>
            <w:left w:w="108" w:type="dxa"/>
            <w:bottom w:w="0" w:type="dxa"/>
            <w:right w:w="108" w:type="dxa"/>
          </w:tblCellMar>
        </w:tblPrEx>
        <w:trPr>
          <w:trHeight w:val="405" w:hRule="atLeast"/>
        </w:trPr>
        <w:tc>
          <w:tcPr>
            <w:tcW w:w="1235" w:type="dxa"/>
            <w:tcBorders>
              <w:top w:val="nil"/>
              <w:left w:val="single" w:color="000000" w:sz="4" w:space="0"/>
              <w:bottom w:val="single" w:color="000000" w:sz="4" w:space="0"/>
              <w:right w:val="single" w:color="000000" w:sz="4" w:space="0"/>
            </w:tcBorders>
            <w:vAlign w:val="center"/>
          </w:tcPr>
          <w:p w14:paraId="73E9C37A">
            <w:pPr>
              <w:spacing w:line="240" w:lineRule="auto"/>
              <w:jc w:val="center"/>
              <w:rPr>
                <w:rFonts w:ascii="Times New Roman" w:hAnsi="Times New Roman" w:eastAsia="Cambria" w:cs="Times New Roman"/>
                <w:b/>
                <w:bCs/>
                <w:color w:val="000000"/>
                <w:sz w:val="20"/>
                <w:szCs w:val="20"/>
              </w:rPr>
            </w:pPr>
            <w:r>
              <w:rPr>
                <w:rFonts w:ascii="Times New Roman" w:hAnsi="Times New Roman" w:eastAsia="Cambria" w:cs="Times New Roman"/>
                <w:b/>
                <w:bCs/>
                <w:color w:val="000000"/>
                <w:sz w:val="20"/>
                <w:szCs w:val="20"/>
              </w:rPr>
              <w:t>Q5</w:t>
            </w:r>
          </w:p>
        </w:tc>
        <w:tc>
          <w:tcPr>
            <w:tcW w:w="1742" w:type="dxa"/>
            <w:tcBorders>
              <w:top w:val="nil"/>
              <w:left w:val="nil"/>
              <w:bottom w:val="single" w:color="000000" w:sz="4" w:space="0"/>
              <w:right w:val="single" w:color="000000" w:sz="4" w:space="0"/>
            </w:tcBorders>
            <w:vAlign w:val="center"/>
          </w:tcPr>
          <w:p w14:paraId="69FD0BF7">
            <w:pPr>
              <w:spacing w:line="240" w:lineRule="auto"/>
              <w:jc w:val="center"/>
              <w:rPr>
                <w:rFonts w:ascii="Times New Roman" w:hAnsi="Times New Roman" w:eastAsia="Cambria" w:cs="Times New Roman"/>
                <w:color w:val="000000"/>
                <w:sz w:val="20"/>
                <w:szCs w:val="20"/>
              </w:rPr>
            </w:pPr>
          </w:p>
        </w:tc>
        <w:tc>
          <w:tcPr>
            <w:tcW w:w="1701" w:type="dxa"/>
            <w:tcBorders>
              <w:top w:val="nil"/>
              <w:left w:val="nil"/>
              <w:bottom w:val="single" w:color="000000" w:sz="4" w:space="0"/>
              <w:right w:val="single" w:color="000000" w:sz="4" w:space="0"/>
            </w:tcBorders>
            <w:vAlign w:val="center"/>
          </w:tcPr>
          <w:p w14:paraId="2BC0EB42">
            <w:pPr>
              <w:spacing w:line="240" w:lineRule="auto"/>
              <w:jc w:val="center"/>
              <w:rPr>
                <w:rFonts w:ascii="Times New Roman" w:hAnsi="Times New Roman" w:eastAsia="Cambria" w:cs="Times New Roman"/>
                <w:color w:val="000000"/>
                <w:sz w:val="20"/>
                <w:szCs w:val="20"/>
              </w:rPr>
            </w:pPr>
          </w:p>
        </w:tc>
        <w:tc>
          <w:tcPr>
            <w:tcW w:w="1560" w:type="dxa"/>
            <w:tcBorders>
              <w:top w:val="nil"/>
              <w:left w:val="nil"/>
              <w:bottom w:val="single" w:color="000000" w:sz="4" w:space="0"/>
              <w:right w:val="single" w:color="000000" w:sz="4" w:space="0"/>
            </w:tcBorders>
            <w:vAlign w:val="center"/>
          </w:tcPr>
          <w:p w14:paraId="230E055D">
            <w:pPr>
              <w:spacing w:line="240" w:lineRule="auto"/>
              <w:jc w:val="center"/>
              <w:rPr>
                <w:rFonts w:ascii="Times New Roman" w:hAnsi="Times New Roman" w:eastAsia="Cambria" w:cs="Times New Roman"/>
                <w:color w:val="000000"/>
                <w:sz w:val="20"/>
                <w:szCs w:val="20"/>
              </w:rPr>
            </w:pPr>
          </w:p>
        </w:tc>
        <w:tc>
          <w:tcPr>
            <w:tcW w:w="1701" w:type="dxa"/>
            <w:tcBorders>
              <w:top w:val="nil"/>
              <w:left w:val="nil"/>
              <w:bottom w:val="single" w:color="000000" w:sz="4" w:space="0"/>
              <w:right w:val="single" w:color="000000" w:sz="4" w:space="0"/>
            </w:tcBorders>
            <w:vAlign w:val="center"/>
          </w:tcPr>
          <w:p w14:paraId="6BF09813">
            <w:pPr>
              <w:spacing w:line="240" w:lineRule="auto"/>
              <w:jc w:val="center"/>
              <w:rPr>
                <w:rFonts w:ascii="Times New Roman" w:hAnsi="Times New Roman" w:eastAsia="Cambria" w:cs="Times New Roman"/>
                <w:color w:val="000000"/>
                <w:sz w:val="20"/>
                <w:szCs w:val="20"/>
              </w:rPr>
            </w:pPr>
          </w:p>
        </w:tc>
        <w:tc>
          <w:tcPr>
            <w:tcW w:w="1984" w:type="dxa"/>
            <w:tcBorders>
              <w:top w:val="nil"/>
              <w:left w:val="nil"/>
              <w:bottom w:val="single" w:color="000000" w:sz="4" w:space="0"/>
              <w:right w:val="single" w:color="000000" w:sz="4" w:space="0"/>
            </w:tcBorders>
            <w:vAlign w:val="center"/>
          </w:tcPr>
          <w:p w14:paraId="08070233">
            <w:pPr>
              <w:spacing w:line="240" w:lineRule="auto"/>
              <w:jc w:val="center"/>
              <w:rPr>
                <w:rFonts w:ascii="Times New Roman" w:hAnsi="Times New Roman" w:eastAsia="Cambria" w:cs="Times New Roman"/>
                <w:color w:val="000000"/>
                <w:sz w:val="20"/>
                <w:szCs w:val="20"/>
              </w:rPr>
            </w:pPr>
          </w:p>
        </w:tc>
      </w:tr>
    </w:tbl>
    <w:p w14:paraId="6C6A99D4">
      <w:pPr>
        <w:jc w:val="both"/>
        <w:rPr>
          <w:rFonts w:ascii="Times New Roman" w:hAnsi="Times New Roman" w:cs="Times New Roman"/>
          <w:i/>
          <w:iCs/>
          <w:sz w:val="24"/>
          <w:szCs w:val="24"/>
        </w:rPr>
      </w:pPr>
    </w:p>
    <w:p w14:paraId="509C50C7">
      <w:pPr>
        <w:rPr>
          <w:rFonts w:ascii="Times New Roman" w:hAnsi="Times New Roman" w:cs="Times New Roman"/>
          <w:b/>
          <w:bCs/>
          <w:i/>
          <w:iCs/>
          <w:sz w:val="24"/>
          <w:szCs w:val="24"/>
        </w:rPr>
      </w:pPr>
    </w:p>
    <w:p w14:paraId="17D3B863">
      <w:pPr>
        <w:rPr>
          <w:rFonts w:ascii="Times New Roman" w:hAnsi="Times New Roman" w:cs="Times New Roman"/>
          <w:b/>
          <w:bCs/>
          <w:i/>
          <w:iCs/>
          <w:sz w:val="24"/>
          <w:szCs w:val="24"/>
        </w:rPr>
      </w:pPr>
    </w:p>
    <w:p w14:paraId="30557C7E">
      <w:pPr>
        <w:jc w:val="both"/>
        <w:rPr>
          <w:rFonts w:ascii="Times New Roman" w:hAnsi="Times New Roman" w:cs="Times New Roman"/>
          <w:b/>
          <w:bCs/>
          <w:sz w:val="24"/>
          <w:szCs w:val="24"/>
        </w:rPr>
      </w:pPr>
      <w:r>
        <w:rPr>
          <w:rFonts w:ascii="Times New Roman" w:hAnsi="Times New Roman" w:cs="Times New Roman"/>
          <w:b/>
          <w:bCs/>
          <w:sz w:val="24"/>
          <w:szCs w:val="24"/>
        </w:rPr>
        <w:t>RUBRICS FOR CALCULATION:</w:t>
      </w:r>
    </w:p>
    <w:p w14:paraId="5A95AF09">
      <w:pPr>
        <w:rPr>
          <w:rFonts w:ascii="Times New Roman" w:hAnsi="Times New Roman" w:cs="Times New Roman"/>
          <w:sz w:val="24"/>
          <w:szCs w:val="24"/>
        </w:rPr>
      </w:pPr>
    </w:p>
    <w:p w14:paraId="3B68CE20">
      <w:pPr>
        <w:rPr>
          <w:rFonts w:ascii="Times New Roman" w:hAnsi="Times New Roman" w:cs="Times New Roman"/>
          <w:sz w:val="24"/>
          <w:szCs w:val="24"/>
        </w:rPr>
      </w:pPr>
    </w:p>
    <w:tbl>
      <w:tblPr>
        <w:tblStyle w:val="12"/>
        <w:tblW w:w="10632" w:type="dxa"/>
        <w:tblInd w:w="-714" w:type="dxa"/>
        <w:tblLayout w:type="fixed"/>
        <w:tblCellMar>
          <w:top w:w="0" w:type="dxa"/>
          <w:left w:w="108" w:type="dxa"/>
          <w:bottom w:w="0" w:type="dxa"/>
          <w:right w:w="108" w:type="dxa"/>
        </w:tblCellMar>
      </w:tblPr>
      <w:tblGrid>
        <w:gridCol w:w="1703"/>
        <w:gridCol w:w="1386"/>
        <w:gridCol w:w="2336"/>
        <w:gridCol w:w="1731"/>
        <w:gridCol w:w="1732"/>
        <w:gridCol w:w="1744"/>
      </w:tblGrid>
      <w:tr w14:paraId="783B3858">
        <w:tblPrEx>
          <w:tblCellMar>
            <w:top w:w="0" w:type="dxa"/>
            <w:left w:w="108" w:type="dxa"/>
            <w:bottom w:w="0" w:type="dxa"/>
            <w:right w:w="108" w:type="dxa"/>
          </w:tblCellMar>
        </w:tblPrEx>
        <w:trPr>
          <w:trHeight w:val="600" w:hRule="atLeast"/>
        </w:trPr>
        <w:tc>
          <w:tcPr>
            <w:tcW w:w="1703" w:type="dxa"/>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3EB88402">
            <w:pPr>
              <w:spacing w:before="240"/>
              <w:jc w:val="center"/>
              <w:rPr>
                <w:rFonts w:ascii="Times New Roman" w:hAnsi="Times New Roman" w:eastAsia="Cambria" w:cs="Times New Roman"/>
                <w:b/>
                <w:bCs/>
                <w:sz w:val="20"/>
                <w:szCs w:val="20"/>
              </w:rPr>
            </w:pPr>
            <w:r>
              <w:rPr>
                <w:rFonts w:ascii="Times New Roman" w:hAnsi="Times New Roman" w:eastAsia="Cambria" w:cs="Times New Roman"/>
                <w:b/>
                <w:bCs/>
                <w:sz w:val="20"/>
                <w:szCs w:val="20"/>
              </w:rPr>
              <w:t>Criteria</w:t>
            </w:r>
          </w:p>
        </w:tc>
        <w:tc>
          <w:tcPr>
            <w:tcW w:w="1386" w:type="dxa"/>
            <w:tcBorders>
              <w:top w:val="single" w:color="000000" w:sz="6" w:space="0"/>
              <w:left w:val="nil"/>
              <w:bottom w:val="single" w:color="000000" w:sz="6" w:space="0"/>
              <w:right w:val="single" w:color="000000" w:sz="6" w:space="0"/>
            </w:tcBorders>
            <w:tcMar>
              <w:top w:w="0" w:type="dxa"/>
              <w:left w:w="120" w:type="dxa"/>
              <w:bottom w:w="0" w:type="dxa"/>
              <w:right w:w="120" w:type="dxa"/>
            </w:tcMar>
          </w:tcPr>
          <w:p w14:paraId="47AD0729">
            <w:pPr>
              <w:spacing w:before="240"/>
              <w:jc w:val="center"/>
              <w:rPr>
                <w:rFonts w:ascii="Times New Roman" w:hAnsi="Times New Roman" w:eastAsia="Cambria" w:cs="Times New Roman"/>
                <w:b/>
                <w:bCs/>
                <w:sz w:val="20"/>
                <w:szCs w:val="20"/>
              </w:rPr>
            </w:pPr>
            <w:r>
              <w:rPr>
                <w:rFonts w:ascii="Times New Roman" w:hAnsi="Times New Roman" w:eastAsia="Cambria" w:cs="Times New Roman"/>
                <w:b/>
                <w:bCs/>
                <w:sz w:val="20"/>
                <w:szCs w:val="20"/>
              </w:rPr>
              <w:t>Weightage</w:t>
            </w:r>
          </w:p>
        </w:tc>
        <w:tc>
          <w:tcPr>
            <w:tcW w:w="2336" w:type="dxa"/>
            <w:tcBorders>
              <w:top w:val="single" w:color="000000" w:sz="6" w:space="0"/>
              <w:left w:val="nil"/>
              <w:bottom w:val="single" w:color="000000" w:sz="6" w:space="0"/>
              <w:right w:val="single" w:color="000000" w:sz="6" w:space="0"/>
            </w:tcBorders>
            <w:tcMar>
              <w:top w:w="0" w:type="dxa"/>
              <w:left w:w="120" w:type="dxa"/>
              <w:bottom w:w="0" w:type="dxa"/>
              <w:right w:w="120" w:type="dxa"/>
            </w:tcMar>
          </w:tcPr>
          <w:p w14:paraId="53F87FD8">
            <w:pPr>
              <w:spacing w:before="240"/>
              <w:jc w:val="center"/>
              <w:rPr>
                <w:rFonts w:ascii="Times New Roman" w:hAnsi="Times New Roman" w:eastAsia="Cambria" w:cs="Times New Roman"/>
                <w:b/>
                <w:bCs/>
                <w:sz w:val="20"/>
                <w:szCs w:val="20"/>
              </w:rPr>
            </w:pPr>
            <w:r>
              <w:rPr>
                <w:rFonts w:ascii="Times New Roman" w:hAnsi="Times New Roman" w:eastAsia="Cambria" w:cs="Times New Roman"/>
                <w:b/>
                <w:bCs/>
                <w:sz w:val="20"/>
                <w:szCs w:val="20"/>
              </w:rPr>
              <w:t>Level 4 – Exemplary</w:t>
            </w:r>
          </w:p>
        </w:tc>
        <w:tc>
          <w:tcPr>
            <w:tcW w:w="1731" w:type="dxa"/>
            <w:tcBorders>
              <w:top w:val="single" w:color="000000" w:sz="6" w:space="0"/>
              <w:left w:val="nil"/>
              <w:bottom w:val="single" w:color="000000" w:sz="6" w:space="0"/>
              <w:right w:val="single" w:color="000000" w:sz="6" w:space="0"/>
            </w:tcBorders>
            <w:tcMar>
              <w:top w:w="0" w:type="dxa"/>
              <w:left w:w="120" w:type="dxa"/>
              <w:bottom w:w="0" w:type="dxa"/>
              <w:right w:w="120" w:type="dxa"/>
            </w:tcMar>
          </w:tcPr>
          <w:p w14:paraId="7F4D5409">
            <w:pPr>
              <w:spacing w:before="240"/>
              <w:jc w:val="center"/>
              <w:rPr>
                <w:rFonts w:ascii="Times New Roman" w:hAnsi="Times New Roman" w:eastAsia="Cambria" w:cs="Times New Roman"/>
                <w:b/>
                <w:bCs/>
                <w:sz w:val="20"/>
                <w:szCs w:val="20"/>
              </w:rPr>
            </w:pPr>
            <w:r>
              <w:rPr>
                <w:rFonts w:ascii="Times New Roman" w:hAnsi="Times New Roman" w:eastAsia="Cambria" w:cs="Times New Roman"/>
                <w:b/>
                <w:bCs/>
                <w:sz w:val="20"/>
                <w:szCs w:val="20"/>
              </w:rPr>
              <w:t>Level 3 – Proficient</w:t>
            </w:r>
          </w:p>
        </w:tc>
        <w:tc>
          <w:tcPr>
            <w:tcW w:w="1732" w:type="dxa"/>
            <w:tcBorders>
              <w:top w:val="single" w:color="000000" w:sz="6" w:space="0"/>
              <w:left w:val="nil"/>
              <w:bottom w:val="single" w:color="000000" w:sz="6" w:space="0"/>
              <w:right w:val="single" w:color="000000" w:sz="6" w:space="0"/>
            </w:tcBorders>
            <w:tcMar>
              <w:top w:w="0" w:type="dxa"/>
              <w:left w:w="120" w:type="dxa"/>
              <w:bottom w:w="0" w:type="dxa"/>
              <w:right w:w="120" w:type="dxa"/>
            </w:tcMar>
          </w:tcPr>
          <w:p w14:paraId="549DE3EA">
            <w:pPr>
              <w:spacing w:before="240"/>
              <w:jc w:val="center"/>
              <w:rPr>
                <w:rFonts w:ascii="Times New Roman" w:hAnsi="Times New Roman" w:eastAsia="Cambria" w:cs="Times New Roman"/>
                <w:b/>
                <w:bCs/>
                <w:sz w:val="20"/>
                <w:szCs w:val="20"/>
              </w:rPr>
            </w:pPr>
            <w:r>
              <w:rPr>
                <w:rFonts w:ascii="Times New Roman" w:hAnsi="Times New Roman" w:eastAsia="Cambria" w:cs="Times New Roman"/>
                <w:b/>
                <w:bCs/>
                <w:sz w:val="20"/>
                <w:szCs w:val="20"/>
              </w:rPr>
              <w:t>Level 2 – Developing</w:t>
            </w:r>
          </w:p>
        </w:tc>
        <w:tc>
          <w:tcPr>
            <w:tcW w:w="1744" w:type="dxa"/>
            <w:tcBorders>
              <w:top w:val="single" w:color="000000" w:sz="6" w:space="0"/>
              <w:left w:val="nil"/>
              <w:bottom w:val="single" w:color="000000" w:sz="6" w:space="0"/>
              <w:right w:val="single" w:color="000000" w:sz="6" w:space="0"/>
            </w:tcBorders>
            <w:tcMar>
              <w:top w:w="0" w:type="dxa"/>
              <w:left w:w="120" w:type="dxa"/>
              <w:bottom w:w="0" w:type="dxa"/>
              <w:right w:w="120" w:type="dxa"/>
            </w:tcMar>
          </w:tcPr>
          <w:p w14:paraId="483D7195">
            <w:pPr>
              <w:spacing w:before="240"/>
              <w:jc w:val="center"/>
              <w:rPr>
                <w:rFonts w:ascii="Times New Roman" w:hAnsi="Times New Roman" w:eastAsia="Cambria" w:cs="Times New Roman"/>
                <w:b/>
                <w:bCs/>
                <w:sz w:val="20"/>
                <w:szCs w:val="20"/>
              </w:rPr>
            </w:pPr>
            <w:r>
              <w:rPr>
                <w:rFonts w:ascii="Times New Roman" w:hAnsi="Times New Roman" w:eastAsia="Cambria" w:cs="Times New Roman"/>
                <w:b/>
                <w:bCs/>
                <w:sz w:val="20"/>
                <w:szCs w:val="20"/>
              </w:rPr>
              <w:t>Level 1 – Beginning</w:t>
            </w:r>
          </w:p>
        </w:tc>
      </w:tr>
      <w:tr w14:paraId="37402A59">
        <w:tblPrEx>
          <w:tblCellMar>
            <w:top w:w="0" w:type="dxa"/>
            <w:left w:w="108" w:type="dxa"/>
            <w:bottom w:w="0" w:type="dxa"/>
            <w:right w:w="108" w:type="dxa"/>
          </w:tblCellMar>
        </w:tblPrEx>
        <w:trPr>
          <w:trHeight w:val="657" w:hRule="atLeast"/>
        </w:trPr>
        <w:tc>
          <w:tcPr>
            <w:tcW w:w="1703" w:type="dxa"/>
            <w:tcBorders>
              <w:top w:val="nil"/>
              <w:left w:val="single" w:color="000000" w:sz="6" w:space="0"/>
              <w:bottom w:val="single" w:color="000000" w:sz="6" w:space="0"/>
              <w:right w:val="single" w:color="000000" w:sz="6" w:space="0"/>
            </w:tcBorders>
            <w:tcMar>
              <w:top w:w="0" w:type="dxa"/>
              <w:left w:w="120" w:type="dxa"/>
              <w:bottom w:w="0" w:type="dxa"/>
              <w:right w:w="120" w:type="dxa"/>
            </w:tcMar>
            <w:vAlign w:val="bottom"/>
          </w:tcPr>
          <w:p w14:paraId="12ED724C">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Scope of Items</w:t>
            </w:r>
          </w:p>
        </w:tc>
        <w:tc>
          <w:tcPr>
            <w:tcW w:w="1386"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3A46777F">
            <w:pPr>
              <w:spacing w:before="240" w:after="240" w:line="240" w:lineRule="auto"/>
              <w:jc w:val="right"/>
              <w:rPr>
                <w:rFonts w:ascii="Times New Roman" w:hAnsi="Times New Roman" w:cs="Times New Roman"/>
                <w:sz w:val="20"/>
                <w:szCs w:val="20"/>
              </w:rPr>
            </w:pPr>
            <w:r>
              <w:rPr>
                <w:rFonts w:ascii="Times New Roman" w:hAnsi="Times New Roman" w:cs="Times New Roman"/>
                <w:sz w:val="20"/>
                <w:szCs w:val="20"/>
              </w:rPr>
              <w:t>20%</w:t>
            </w:r>
          </w:p>
        </w:tc>
        <w:tc>
          <w:tcPr>
            <w:tcW w:w="2336"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3C630B38">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Selects highly relevant items with clear scope and justification</w:t>
            </w:r>
          </w:p>
        </w:tc>
        <w:tc>
          <w:tcPr>
            <w:tcW w:w="1731"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3EB23325">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Selects appropriate items with minor gaps</w:t>
            </w:r>
          </w:p>
        </w:tc>
        <w:tc>
          <w:tcPr>
            <w:tcW w:w="1732"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5560D713">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Selection is limited or partially relevant</w:t>
            </w:r>
          </w:p>
        </w:tc>
        <w:tc>
          <w:tcPr>
            <w:tcW w:w="1744"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7F27DC6C">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Items are unclear or not relevant</w:t>
            </w:r>
          </w:p>
        </w:tc>
      </w:tr>
      <w:tr w14:paraId="254F39CF">
        <w:tblPrEx>
          <w:tblCellMar>
            <w:top w:w="0" w:type="dxa"/>
            <w:left w:w="108" w:type="dxa"/>
            <w:bottom w:w="0" w:type="dxa"/>
            <w:right w:w="108" w:type="dxa"/>
          </w:tblCellMar>
        </w:tblPrEx>
        <w:trPr>
          <w:trHeight w:val="1170" w:hRule="atLeast"/>
        </w:trPr>
        <w:tc>
          <w:tcPr>
            <w:tcW w:w="1703" w:type="dxa"/>
            <w:tcBorders>
              <w:top w:val="nil"/>
              <w:left w:val="single" w:color="000000" w:sz="6" w:space="0"/>
              <w:bottom w:val="single" w:color="000000" w:sz="6" w:space="0"/>
              <w:right w:val="single" w:color="000000" w:sz="6" w:space="0"/>
            </w:tcBorders>
            <w:tcMar>
              <w:top w:w="0" w:type="dxa"/>
              <w:left w:w="120" w:type="dxa"/>
              <w:bottom w:w="0" w:type="dxa"/>
              <w:right w:w="120" w:type="dxa"/>
            </w:tcMar>
            <w:vAlign w:val="bottom"/>
          </w:tcPr>
          <w:p w14:paraId="33A56FC6">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Comparison Depth</w:t>
            </w:r>
          </w:p>
        </w:tc>
        <w:tc>
          <w:tcPr>
            <w:tcW w:w="1386"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6CBDD7CB">
            <w:pPr>
              <w:spacing w:before="240" w:after="240" w:line="240" w:lineRule="auto"/>
              <w:jc w:val="right"/>
              <w:rPr>
                <w:rFonts w:ascii="Times New Roman" w:hAnsi="Times New Roman" w:cs="Times New Roman"/>
                <w:sz w:val="20"/>
                <w:szCs w:val="20"/>
              </w:rPr>
            </w:pPr>
            <w:r>
              <w:rPr>
                <w:rFonts w:ascii="Times New Roman" w:hAnsi="Times New Roman" w:cs="Times New Roman"/>
                <w:sz w:val="20"/>
                <w:szCs w:val="20"/>
              </w:rPr>
              <w:t>25%</w:t>
            </w:r>
          </w:p>
        </w:tc>
        <w:tc>
          <w:tcPr>
            <w:tcW w:w="2336"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4A0C70EB">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Provides detailed and comprehensive comparison across multiple aspects</w:t>
            </w:r>
          </w:p>
        </w:tc>
        <w:tc>
          <w:tcPr>
            <w:tcW w:w="1731"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5A54D00B">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Provides adequate comparison with some depth</w:t>
            </w:r>
          </w:p>
        </w:tc>
        <w:tc>
          <w:tcPr>
            <w:tcW w:w="1732"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02BE2CB0">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Limited comparison with few aspects</w:t>
            </w:r>
          </w:p>
        </w:tc>
        <w:tc>
          <w:tcPr>
            <w:tcW w:w="1744"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54C5049F">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Very minimal or no comparison</w:t>
            </w:r>
          </w:p>
        </w:tc>
      </w:tr>
      <w:tr w14:paraId="2116E9FE">
        <w:tblPrEx>
          <w:tblCellMar>
            <w:top w:w="0" w:type="dxa"/>
            <w:left w:w="108" w:type="dxa"/>
            <w:bottom w:w="0" w:type="dxa"/>
            <w:right w:w="108" w:type="dxa"/>
          </w:tblCellMar>
        </w:tblPrEx>
        <w:trPr>
          <w:trHeight w:val="1120" w:hRule="atLeast"/>
        </w:trPr>
        <w:tc>
          <w:tcPr>
            <w:tcW w:w="1703" w:type="dxa"/>
            <w:tcBorders>
              <w:top w:val="nil"/>
              <w:left w:val="single" w:color="000000" w:sz="6" w:space="0"/>
              <w:bottom w:val="single" w:color="000000" w:sz="6" w:space="0"/>
              <w:right w:val="single" w:color="000000" w:sz="6" w:space="0"/>
            </w:tcBorders>
            <w:tcMar>
              <w:top w:w="0" w:type="dxa"/>
              <w:left w:w="120" w:type="dxa"/>
              <w:bottom w:w="0" w:type="dxa"/>
              <w:right w:w="120" w:type="dxa"/>
            </w:tcMar>
            <w:vAlign w:val="bottom"/>
          </w:tcPr>
          <w:p w14:paraId="6B696FD8">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Use of Evidence</w:t>
            </w:r>
          </w:p>
        </w:tc>
        <w:tc>
          <w:tcPr>
            <w:tcW w:w="1386"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46F4B3C5">
            <w:pPr>
              <w:spacing w:before="240" w:after="240" w:line="240" w:lineRule="auto"/>
              <w:jc w:val="right"/>
              <w:rPr>
                <w:rFonts w:ascii="Times New Roman" w:hAnsi="Times New Roman" w:cs="Times New Roman"/>
                <w:sz w:val="20"/>
                <w:szCs w:val="20"/>
              </w:rPr>
            </w:pPr>
            <w:r>
              <w:rPr>
                <w:rFonts w:ascii="Times New Roman" w:hAnsi="Times New Roman" w:cs="Times New Roman"/>
                <w:sz w:val="20"/>
                <w:szCs w:val="20"/>
              </w:rPr>
              <w:t>20%</w:t>
            </w:r>
          </w:p>
        </w:tc>
        <w:tc>
          <w:tcPr>
            <w:tcW w:w="2336"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34A1619C">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Supports comparison with accurate data, examples, or references</w:t>
            </w:r>
          </w:p>
        </w:tc>
        <w:tc>
          <w:tcPr>
            <w:tcW w:w="1731"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2E2A7DBB">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Uses some supporting evidence with minor gaps</w:t>
            </w:r>
          </w:p>
        </w:tc>
        <w:tc>
          <w:tcPr>
            <w:tcW w:w="1732"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2F264387">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Limited or weak supporting evidence</w:t>
            </w:r>
          </w:p>
        </w:tc>
        <w:tc>
          <w:tcPr>
            <w:tcW w:w="1744"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69F96EA7">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No supporting evidence provided</w:t>
            </w:r>
          </w:p>
        </w:tc>
      </w:tr>
      <w:tr w14:paraId="6BED8413">
        <w:tblPrEx>
          <w:tblCellMar>
            <w:top w:w="0" w:type="dxa"/>
            <w:left w:w="108" w:type="dxa"/>
            <w:bottom w:w="0" w:type="dxa"/>
            <w:right w:w="108" w:type="dxa"/>
          </w:tblCellMar>
        </w:tblPrEx>
        <w:trPr>
          <w:trHeight w:val="1140" w:hRule="atLeast"/>
        </w:trPr>
        <w:tc>
          <w:tcPr>
            <w:tcW w:w="1703" w:type="dxa"/>
            <w:tcBorders>
              <w:top w:val="nil"/>
              <w:left w:val="single" w:color="000000" w:sz="6" w:space="0"/>
              <w:bottom w:val="single" w:color="000000" w:sz="6" w:space="0"/>
              <w:right w:val="single" w:color="000000" w:sz="6" w:space="0"/>
            </w:tcBorders>
            <w:tcMar>
              <w:top w:w="0" w:type="dxa"/>
              <w:left w:w="120" w:type="dxa"/>
              <w:bottom w:w="0" w:type="dxa"/>
              <w:right w:w="120" w:type="dxa"/>
            </w:tcMar>
            <w:vAlign w:val="bottom"/>
          </w:tcPr>
          <w:p w14:paraId="071B6947">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Critical Thinking</w:t>
            </w:r>
          </w:p>
        </w:tc>
        <w:tc>
          <w:tcPr>
            <w:tcW w:w="1386"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41A27E84">
            <w:pPr>
              <w:spacing w:before="240" w:after="240" w:line="240" w:lineRule="auto"/>
              <w:jc w:val="right"/>
              <w:rPr>
                <w:rFonts w:ascii="Times New Roman" w:hAnsi="Times New Roman" w:cs="Times New Roman"/>
                <w:sz w:val="20"/>
                <w:szCs w:val="20"/>
              </w:rPr>
            </w:pPr>
            <w:r>
              <w:rPr>
                <w:rFonts w:ascii="Times New Roman" w:hAnsi="Times New Roman" w:cs="Times New Roman"/>
                <w:sz w:val="20"/>
                <w:szCs w:val="20"/>
              </w:rPr>
              <w:t>20%</w:t>
            </w:r>
          </w:p>
        </w:tc>
        <w:tc>
          <w:tcPr>
            <w:tcW w:w="2336"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11DC70DD">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Demonstrates strong critical thinking with clear interpretation and reasoning</w:t>
            </w:r>
          </w:p>
        </w:tc>
        <w:tc>
          <w:tcPr>
            <w:tcW w:w="1731"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50E278C5">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Shows reasonable interpretation with minor gaps</w:t>
            </w:r>
          </w:p>
        </w:tc>
        <w:tc>
          <w:tcPr>
            <w:tcW w:w="1732"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1B3FF709">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Basic interpretation; lacks depth</w:t>
            </w:r>
          </w:p>
        </w:tc>
        <w:tc>
          <w:tcPr>
            <w:tcW w:w="1744"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7FF4C319">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No meaningful interpretation</w:t>
            </w:r>
          </w:p>
        </w:tc>
      </w:tr>
      <w:tr w14:paraId="63D326FC">
        <w:tblPrEx>
          <w:tblCellMar>
            <w:top w:w="0" w:type="dxa"/>
            <w:left w:w="108" w:type="dxa"/>
            <w:bottom w:w="0" w:type="dxa"/>
            <w:right w:w="108" w:type="dxa"/>
          </w:tblCellMar>
        </w:tblPrEx>
        <w:trPr>
          <w:trHeight w:val="1220" w:hRule="atLeast"/>
        </w:trPr>
        <w:tc>
          <w:tcPr>
            <w:tcW w:w="1703" w:type="dxa"/>
            <w:tcBorders>
              <w:top w:val="nil"/>
              <w:left w:val="single" w:color="000000" w:sz="6" w:space="0"/>
              <w:bottom w:val="single" w:color="000000" w:sz="6" w:space="0"/>
              <w:right w:val="single" w:color="000000" w:sz="6" w:space="0"/>
            </w:tcBorders>
            <w:tcMar>
              <w:top w:w="0" w:type="dxa"/>
              <w:left w:w="120" w:type="dxa"/>
              <w:bottom w:w="0" w:type="dxa"/>
              <w:right w:w="120" w:type="dxa"/>
            </w:tcMar>
            <w:vAlign w:val="bottom"/>
          </w:tcPr>
          <w:p w14:paraId="11F0BF9F">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Clarity of Presentation</w:t>
            </w:r>
          </w:p>
        </w:tc>
        <w:tc>
          <w:tcPr>
            <w:tcW w:w="1386"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5BF3EDD5">
            <w:pPr>
              <w:spacing w:before="240" w:after="240" w:line="240" w:lineRule="auto"/>
              <w:jc w:val="right"/>
              <w:rPr>
                <w:rFonts w:ascii="Times New Roman" w:hAnsi="Times New Roman" w:cs="Times New Roman"/>
                <w:sz w:val="20"/>
                <w:szCs w:val="20"/>
              </w:rPr>
            </w:pPr>
            <w:r>
              <w:rPr>
                <w:rFonts w:ascii="Times New Roman" w:hAnsi="Times New Roman" w:cs="Times New Roman"/>
                <w:sz w:val="20"/>
                <w:szCs w:val="20"/>
              </w:rPr>
              <w:t>15%</w:t>
            </w:r>
          </w:p>
        </w:tc>
        <w:tc>
          <w:tcPr>
            <w:tcW w:w="2336"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37F7F1A0">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Well-organized, clear, and logically structured presentation</w:t>
            </w:r>
          </w:p>
        </w:tc>
        <w:tc>
          <w:tcPr>
            <w:tcW w:w="1731"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3DFD5A85">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Generally clear with minor issues</w:t>
            </w:r>
          </w:p>
        </w:tc>
        <w:tc>
          <w:tcPr>
            <w:tcW w:w="1732"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3B868086">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Somewhat unclear or poorly structured</w:t>
            </w:r>
          </w:p>
        </w:tc>
        <w:tc>
          <w:tcPr>
            <w:tcW w:w="1744" w:type="dxa"/>
            <w:tcBorders>
              <w:top w:val="nil"/>
              <w:left w:val="nil"/>
              <w:bottom w:val="single" w:color="000000" w:sz="6" w:space="0"/>
              <w:right w:val="single" w:color="000000" w:sz="6" w:space="0"/>
            </w:tcBorders>
            <w:tcMar>
              <w:top w:w="0" w:type="dxa"/>
              <w:left w:w="120" w:type="dxa"/>
              <w:bottom w:w="0" w:type="dxa"/>
              <w:right w:w="120" w:type="dxa"/>
            </w:tcMar>
            <w:vAlign w:val="bottom"/>
          </w:tcPr>
          <w:p w14:paraId="31FD7736">
            <w:pPr>
              <w:spacing w:before="240" w:after="240" w:line="240" w:lineRule="auto"/>
              <w:jc w:val="center"/>
              <w:rPr>
                <w:rFonts w:ascii="Times New Roman" w:hAnsi="Times New Roman" w:cs="Times New Roman"/>
                <w:sz w:val="20"/>
                <w:szCs w:val="20"/>
              </w:rPr>
            </w:pPr>
            <w:r>
              <w:rPr>
                <w:rFonts w:ascii="Times New Roman" w:hAnsi="Times New Roman" w:cs="Times New Roman"/>
                <w:sz w:val="20"/>
                <w:szCs w:val="20"/>
              </w:rPr>
              <w:t>Disorganized and difficult to understand</w:t>
            </w:r>
          </w:p>
        </w:tc>
      </w:tr>
    </w:tbl>
    <w:p w14:paraId="368B7F9E">
      <w:pPr>
        <w:ind w:left="-709"/>
        <w:rPr>
          <w:rFonts w:ascii="Times New Roman" w:hAnsi="Times New Roman" w:cs="Times New Roman"/>
          <w:sz w:val="24"/>
          <w:szCs w:val="24"/>
        </w:rPr>
      </w:pPr>
    </w:p>
    <w:p w14:paraId="20ABA3B9">
      <w:pPr>
        <w:rPr>
          <w:rFonts w:ascii="Times New Roman" w:hAnsi="Times New Roman" w:cs="Times New Roman"/>
        </w:rPr>
      </w:pPr>
    </w:p>
    <w:p w14:paraId="73B4A315">
      <w:pPr>
        <w:rPr>
          <w:rFonts w:ascii="Times New Roman" w:hAnsi="Times New Roman" w:cs="Times New Roman" w:eastAsiaTheme="majorEastAsia"/>
          <w:b/>
          <w:bCs/>
          <w:sz w:val="24"/>
          <w:szCs w:val="24"/>
        </w:rPr>
      </w:pPr>
      <w:r>
        <w:rPr>
          <w:rFonts w:ascii="Times New Roman" w:hAnsi="Times New Roman" w:cs="Times New Roman"/>
          <w:sz w:val="24"/>
          <w:szCs w:val="24"/>
        </w:rPr>
        <w:br w:type="page"/>
      </w:r>
    </w:p>
    <w:p w14:paraId="73E14347">
      <w:pPr>
        <w:pStyle w:val="2"/>
        <w:jc w:val="both"/>
        <w:rPr>
          <w:rFonts w:ascii="Times New Roman" w:hAnsi="Times New Roman" w:cs="Times New Roman"/>
          <w:color w:val="auto"/>
          <w:sz w:val="24"/>
          <w:szCs w:val="24"/>
        </w:rPr>
      </w:pPr>
      <w:r>
        <w:rPr>
          <w:rFonts w:ascii="Times New Roman" w:hAnsi="Times New Roman" w:cs="Times New Roman"/>
          <w:color w:val="auto"/>
          <w:sz w:val="24"/>
          <w:szCs w:val="24"/>
        </w:rPr>
        <w:t>ANNEXURE A</w:t>
      </w:r>
    </w:p>
    <w:p w14:paraId="23DEF54E">
      <w:pPr>
        <w:pStyle w:val="3"/>
        <w:jc w:val="both"/>
        <w:rPr>
          <w:rFonts w:ascii="Times New Roman" w:hAnsi="Times New Roman" w:cs="Times New Roman"/>
          <w:color w:val="auto"/>
          <w:sz w:val="24"/>
          <w:szCs w:val="24"/>
        </w:rPr>
      </w:pPr>
      <w:r>
        <w:rPr>
          <w:rFonts w:ascii="Times New Roman" w:hAnsi="Times New Roman" w:cs="Times New Roman"/>
          <w:color w:val="auto"/>
          <w:sz w:val="24"/>
          <w:szCs w:val="24"/>
        </w:rPr>
        <w:t>Comparative Analysis</w:t>
      </w:r>
    </w:p>
    <w:p w14:paraId="3B756436">
      <w:pPr>
        <w:jc w:val="both"/>
        <w:rPr>
          <w:rFonts w:ascii="Times New Roman" w:hAnsi="Times New Roman" w:cs="Times New Roman"/>
          <w:sz w:val="24"/>
          <w:szCs w:val="24"/>
        </w:rPr>
      </w:pPr>
    </w:p>
    <w:p w14:paraId="21925245">
      <w:pPr>
        <w:pStyle w:val="3"/>
        <w:jc w:val="both"/>
        <w:rPr>
          <w:rFonts w:ascii="Times New Roman" w:hAnsi="Times New Roman" w:cs="Times New Roman"/>
          <w:color w:val="auto"/>
          <w:sz w:val="24"/>
          <w:szCs w:val="24"/>
        </w:rPr>
      </w:pPr>
      <w:r>
        <w:rPr>
          <w:rFonts w:ascii="Times New Roman" w:hAnsi="Times New Roman" w:cs="Times New Roman"/>
          <w:color w:val="auto"/>
          <w:sz w:val="24"/>
          <w:szCs w:val="24"/>
        </w:rPr>
        <w:t>Q1. Compare L1, L2, and L3 Cache Levels</w:t>
      </w:r>
    </w:p>
    <w:p w14:paraId="056AF511">
      <w:pPr>
        <w:jc w:val="both"/>
        <w:rPr>
          <w:rFonts w:ascii="Times New Roman" w:hAnsi="Times New Roman" w:cs="Times New Roman"/>
          <w:sz w:val="24"/>
          <w:szCs w:val="24"/>
        </w:rPr>
      </w:pPr>
      <w:r>
        <w:rPr>
          <w:rFonts w:ascii="Times New Roman" w:hAnsi="Times New Roman" w:cs="Times New Roman"/>
          <w:sz w:val="24"/>
          <w:szCs w:val="24"/>
        </w:rPr>
        <w:t>Scope: L1, L2 and L3 caches form the on-chip levels of the memory hierarchy that sit between the CPU core and main memory (DRAM). Each level trades capacity for speed.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276A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348320A">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Parameter</w:t>
            </w:r>
          </w:p>
        </w:tc>
        <w:tc>
          <w:tcPr>
            <w:tcW w:w="2160" w:type="dxa"/>
          </w:tcPr>
          <w:p w14:paraId="33B4918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L1 Cache</w:t>
            </w:r>
          </w:p>
        </w:tc>
        <w:tc>
          <w:tcPr>
            <w:tcW w:w="2160" w:type="dxa"/>
          </w:tcPr>
          <w:p w14:paraId="3140F264">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L2 Cache</w:t>
            </w:r>
          </w:p>
        </w:tc>
        <w:tc>
          <w:tcPr>
            <w:tcW w:w="2160" w:type="dxa"/>
          </w:tcPr>
          <w:p w14:paraId="239FBF32">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L3 Cache</w:t>
            </w:r>
          </w:p>
        </w:tc>
      </w:tr>
      <w:tr w14:paraId="4CD8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CA3CD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Typical Size</w:t>
            </w:r>
          </w:p>
        </w:tc>
        <w:tc>
          <w:tcPr>
            <w:tcW w:w="2160" w:type="dxa"/>
          </w:tcPr>
          <w:p w14:paraId="12FE81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16–64 KB (per core)</w:t>
            </w:r>
          </w:p>
        </w:tc>
        <w:tc>
          <w:tcPr>
            <w:tcW w:w="2160" w:type="dxa"/>
          </w:tcPr>
          <w:p w14:paraId="48C68F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256 KB–1 MB (per core)</w:t>
            </w:r>
          </w:p>
        </w:tc>
        <w:tc>
          <w:tcPr>
            <w:tcW w:w="2160" w:type="dxa"/>
          </w:tcPr>
          <w:p w14:paraId="04690B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4–64 MB (shared)</w:t>
            </w:r>
          </w:p>
        </w:tc>
      </w:tr>
      <w:tr w14:paraId="0D77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B0C6D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Location</w:t>
            </w:r>
          </w:p>
        </w:tc>
        <w:tc>
          <w:tcPr>
            <w:tcW w:w="2160" w:type="dxa"/>
          </w:tcPr>
          <w:p w14:paraId="66E23C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Inside the core, split I/D</w:t>
            </w:r>
          </w:p>
        </w:tc>
        <w:tc>
          <w:tcPr>
            <w:tcW w:w="2160" w:type="dxa"/>
          </w:tcPr>
          <w:p w14:paraId="10284F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Per-core or per-cluster</w:t>
            </w:r>
          </w:p>
        </w:tc>
        <w:tc>
          <w:tcPr>
            <w:tcW w:w="2160" w:type="dxa"/>
          </w:tcPr>
          <w:p w14:paraId="757E68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Shared across all cores</w:t>
            </w:r>
          </w:p>
        </w:tc>
      </w:tr>
      <w:tr w14:paraId="1182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511FA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Latency</w:t>
            </w:r>
          </w:p>
        </w:tc>
        <w:tc>
          <w:tcPr>
            <w:tcW w:w="2160" w:type="dxa"/>
          </w:tcPr>
          <w:p w14:paraId="5DBBEB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~1–4 CPU cycles (fastest)</w:t>
            </w:r>
          </w:p>
        </w:tc>
        <w:tc>
          <w:tcPr>
            <w:tcW w:w="2160" w:type="dxa"/>
          </w:tcPr>
          <w:p w14:paraId="0D4E5E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~10–20 cycles</w:t>
            </w:r>
          </w:p>
        </w:tc>
        <w:tc>
          <w:tcPr>
            <w:tcW w:w="2160" w:type="dxa"/>
          </w:tcPr>
          <w:p w14:paraId="127E47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~30–60 cycles</w:t>
            </w:r>
          </w:p>
        </w:tc>
      </w:tr>
      <w:tr w14:paraId="753C5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742E5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Bandwidth</w:t>
            </w:r>
          </w:p>
        </w:tc>
        <w:tc>
          <w:tcPr>
            <w:tcW w:w="2160" w:type="dxa"/>
          </w:tcPr>
          <w:p w14:paraId="0C6E0C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Highest (multiple ports, wide bus)</w:t>
            </w:r>
          </w:p>
        </w:tc>
        <w:tc>
          <w:tcPr>
            <w:tcW w:w="2160" w:type="dxa"/>
          </w:tcPr>
          <w:p w14:paraId="74D2F0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narrower than L1</w:t>
            </w:r>
          </w:p>
        </w:tc>
        <w:tc>
          <w:tcPr>
            <w:tcW w:w="2160" w:type="dxa"/>
          </w:tcPr>
          <w:p w14:paraId="5B6CBA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Moderate; shared, contention across cores</w:t>
            </w:r>
          </w:p>
        </w:tc>
      </w:tr>
      <w:tr w14:paraId="7973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6C608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Throughput</w:t>
            </w:r>
          </w:p>
        </w:tc>
        <w:tc>
          <w:tcPr>
            <w:tcW w:w="2160" w:type="dxa"/>
          </w:tcPr>
          <w:p w14:paraId="16515C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Very high per-core; serves almost every instruction/data fetch</w:t>
            </w:r>
          </w:p>
        </w:tc>
        <w:tc>
          <w:tcPr>
            <w:tcW w:w="2160" w:type="dxa"/>
          </w:tcPr>
          <w:p w14:paraId="4A47B3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absorbs most L1 misses</w:t>
            </w:r>
          </w:p>
        </w:tc>
        <w:tc>
          <w:tcPr>
            <w:tcW w:w="2160" w:type="dxa"/>
          </w:tcPr>
          <w:p w14:paraId="3BC115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Lower per-core but large enough to avoid most main-memory trips</w:t>
            </w:r>
          </w:p>
        </w:tc>
      </w:tr>
      <w:tr w14:paraId="0796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BCAFC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Hit Rate Role</w:t>
            </w:r>
          </w:p>
        </w:tc>
        <w:tc>
          <w:tcPr>
            <w:tcW w:w="2160" w:type="dxa"/>
          </w:tcPr>
          <w:p w14:paraId="655350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Captures very short-term temporal/spatial locality</w:t>
            </w:r>
          </w:p>
        </w:tc>
        <w:tc>
          <w:tcPr>
            <w:tcW w:w="2160" w:type="dxa"/>
          </w:tcPr>
          <w:p w14:paraId="4846EA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Captures medium-range reuse</w:t>
            </w:r>
          </w:p>
        </w:tc>
        <w:tc>
          <w:tcPr>
            <w:tcW w:w="2160" w:type="dxa"/>
          </w:tcPr>
          <w:p w14:paraId="639935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Captures cross-core sharing and larger working sets</w:t>
            </w:r>
          </w:p>
        </w:tc>
      </w:tr>
      <w:tr w14:paraId="3F91F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AB58F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Cost per Bit</w:t>
            </w:r>
          </w:p>
        </w:tc>
        <w:tc>
          <w:tcPr>
            <w:tcW w:w="2160" w:type="dxa"/>
          </w:tcPr>
          <w:p w14:paraId="6241CE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Highest</w:t>
            </w:r>
          </w:p>
        </w:tc>
        <w:tc>
          <w:tcPr>
            <w:tcW w:w="2160" w:type="dxa"/>
          </w:tcPr>
          <w:p w14:paraId="1196C8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Medium</w:t>
            </w:r>
          </w:p>
        </w:tc>
        <w:tc>
          <w:tcPr>
            <w:tcW w:w="2160" w:type="dxa"/>
          </w:tcPr>
          <w:p w14:paraId="6083E9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Lowest of the three (still costlier than DRAM)</w:t>
            </w:r>
          </w:p>
        </w:tc>
      </w:tr>
    </w:tbl>
    <w:p w14:paraId="5D603704">
      <w:pPr>
        <w:jc w:val="both"/>
        <w:rPr>
          <w:rFonts w:ascii="Times New Roman" w:hAnsi="Times New Roman" w:cs="Times New Roman"/>
          <w:sz w:val="24"/>
          <w:szCs w:val="24"/>
        </w:rPr>
      </w:pPr>
    </w:p>
    <w:p w14:paraId="4F2B7436">
      <w:pPr>
        <w:jc w:val="both"/>
        <w:rPr>
          <w:rFonts w:ascii="Times New Roman" w:hAnsi="Times New Roman" w:cs="Times New Roman"/>
          <w:sz w:val="24"/>
          <w:szCs w:val="24"/>
        </w:rPr>
      </w:pPr>
      <w:r>
        <w:rPr>
          <w:rFonts w:ascii="Times New Roman" w:hAnsi="Times New Roman" w:cs="Times New Roman"/>
          <w:b/>
          <w:sz w:val="24"/>
          <w:szCs w:val="24"/>
        </w:rPr>
        <w:t>Impact on Processor Performance:</w:t>
      </w:r>
    </w:p>
    <w:p w14:paraId="51161AB3">
      <w:pPr>
        <w:jc w:val="both"/>
        <w:rPr>
          <w:rFonts w:ascii="Times New Roman" w:hAnsi="Times New Roman" w:cs="Times New Roman"/>
          <w:sz w:val="24"/>
          <w:szCs w:val="24"/>
        </w:rPr>
      </w:pPr>
      <w:r>
        <w:rPr>
          <w:rFonts w:ascii="Times New Roman" w:hAnsi="Times New Roman" w:cs="Times New Roman"/>
          <w:sz w:val="24"/>
          <w:szCs w:val="24"/>
        </w:rPr>
        <w:t>• L1 is on the critical path of every load/store; its sub-nanosecond latency is what allows single-cycle-class execution of dependent instructions. Even a small increase in L1 latency stalls the pipeline directly.</w:t>
      </w:r>
    </w:p>
    <w:p w14:paraId="580B321F">
      <w:pPr>
        <w:jc w:val="both"/>
        <w:rPr>
          <w:rFonts w:ascii="Times New Roman" w:hAnsi="Times New Roman" w:cs="Times New Roman"/>
          <w:sz w:val="24"/>
          <w:szCs w:val="24"/>
        </w:rPr>
      </w:pPr>
      <w:r>
        <w:rPr>
          <w:rFonts w:ascii="Times New Roman" w:hAnsi="Times New Roman" w:cs="Times New Roman"/>
          <w:sz w:val="24"/>
          <w:szCs w:val="24"/>
        </w:rPr>
        <w:t>• L2 acts as a buffer that keeps the average memory access time low despite L1 misses — its larger size reduces L1-miss traffic from reaching the much slower main memory.</w:t>
      </w:r>
    </w:p>
    <w:p w14:paraId="408EBB15">
      <w:pPr>
        <w:jc w:val="both"/>
        <w:rPr>
          <w:rFonts w:ascii="Times New Roman" w:hAnsi="Times New Roman" w:cs="Times New Roman"/>
          <w:sz w:val="24"/>
          <w:szCs w:val="24"/>
        </w:rPr>
      </w:pPr>
      <w:r>
        <w:rPr>
          <w:rFonts w:ascii="Times New Roman" w:hAnsi="Times New Roman" w:cs="Times New Roman"/>
          <w:sz w:val="24"/>
          <w:szCs w:val="24"/>
        </w:rPr>
        <w:t>• L3, being shared, allows cores to exchange data without going off-chip, which lowers coherence latency in multicore systems and improves aggregate throughput under parallel workloads.</w:t>
      </w:r>
    </w:p>
    <w:p w14:paraId="3EABFD14">
      <w:pPr>
        <w:jc w:val="both"/>
        <w:rPr>
          <w:rFonts w:ascii="Times New Roman" w:hAnsi="Times New Roman" w:cs="Times New Roman"/>
          <w:sz w:val="24"/>
          <w:szCs w:val="24"/>
        </w:rPr>
      </w:pPr>
      <w:r>
        <w:rPr>
          <w:rFonts w:ascii="Times New Roman" w:hAnsi="Times New Roman" w:cs="Times New Roman"/>
          <w:sz w:val="24"/>
          <w:szCs w:val="24"/>
        </w:rPr>
        <w:t>• Because each miss that escapes to the next level costs roughly 5–10x more cycles than the previous level, the three-level hierarchy is what keeps the average memory access time (AMAT) close to the L1 latency rather than the ~200+ cycle DRAM latency, directly improving IPC (instructions per cycle).</w:t>
      </w:r>
    </w:p>
    <w:p w14:paraId="6718CA0C">
      <w:pPr>
        <w:jc w:val="both"/>
        <w:rPr>
          <w:rFonts w:ascii="Times New Roman" w:hAnsi="Times New Roman" w:cs="Times New Roman"/>
          <w:sz w:val="24"/>
          <w:szCs w:val="24"/>
        </w:rPr>
      </w:pPr>
    </w:p>
    <w:p w14:paraId="3D0C09C6">
      <w:pPr>
        <w:pStyle w:val="3"/>
        <w:jc w:val="both"/>
        <w:rPr>
          <w:rFonts w:ascii="Times New Roman" w:hAnsi="Times New Roman" w:cs="Times New Roman"/>
          <w:color w:val="auto"/>
          <w:sz w:val="24"/>
          <w:szCs w:val="24"/>
        </w:rPr>
      </w:pPr>
      <w:r>
        <w:rPr>
          <w:rFonts w:ascii="Times New Roman" w:hAnsi="Times New Roman" w:cs="Times New Roman"/>
          <w:color w:val="auto"/>
          <w:sz w:val="24"/>
          <w:szCs w:val="24"/>
        </w:rPr>
        <w:t>Q2. Differentiate SRAM and DRAM</w:t>
      </w:r>
    </w:p>
    <w:p w14:paraId="11DFBB7D">
      <w:pPr>
        <w:jc w:val="both"/>
        <w:rPr>
          <w:rFonts w:ascii="Times New Roman" w:hAnsi="Times New Roman" w:cs="Times New Roman"/>
          <w:sz w:val="24"/>
          <w:szCs w:val="24"/>
        </w:rPr>
      </w:pPr>
      <w:r>
        <w:rPr>
          <w:rFonts w:ascii="Times New Roman" w:hAnsi="Times New Roman" w:cs="Times New Roman"/>
          <w:sz w:val="24"/>
          <w:szCs w:val="24"/>
        </w:rPr>
        <w:t>Scope: SRAM and DRAM are the two dominant semiconductor memory technologies used respectively for cache (SRAM) and main memory (DRAM).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D927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28539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Parameter</w:t>
            </w:r>
          </w:p>
        </w:tc>
        <w:tc>
          <w:tcPr>
            <w:tcW w:w="2880" w:type="dxa"/>
          </w:tcPr>
          <w:p w14:paraId="591CD0DA">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SRAM</w:t>
            </w:r>
          </w:p>
        </w:tc>
        <w:tc>
          <w:tcPr>
            <w:tcW w:w="2880" w:type="dxa"/>
          </w:tcPr>
          <w:p w14:paraId="41853015">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DRAM</w:t>
            </w:r>
          </w:p>
        </w:tc>
      </w:tr>
      <w:tr w14:paraId="6E556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DC08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Cell Structure</w:t>
            </w:r>
          </w:p>
        </w:tc>
        <w:tc>
          <w:tcPr>
            <w:tcW w:w="2880" w:type="dxa"/>
          </w:tcPr>
          <w:p w14:paraId="7F3DC5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6 transistors (bistable flip-flop)</w:t>
            </w:r>
          </w:p>
        </w:tc>
        <w:tc>
          <w:tcPr>
            <w:tcW w:w="2880" w:type="dxa"/>
          </w:tcPr>
          <w:p w14:paraId="7FE0CE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 transistor + 1 capacitor</w:t>
            </w:r>
          </w:p>
        </w:tc>
      </w:tr>
      <w:tr w14:paraId="6240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CD95D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Latency</w:t>
            </w:r>
          </w:p>
        </w:tc>
        <w:tc>
          <w:tcPr>
            <w:tcW w:w="2880" w:type="dxa"/>
          </w:tcPr>
          <w:p w14:paraId="19F667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Very low (~1–2 ns)</w:t>
            </w:r>
          </w:p>
        </w:tc>
        <w:tc>
          <w:tcPr>
            <w:tcW w:w="2880" w:type="dxa"/>
          </w:tcPr>
          <w:p w14:paraId="1CE6ED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Higher (~50–100 ns)</w:t>
            </w:r>
          </w:p>
        </w:tc>
      </w:tr>
      <w:tr w14:paraId="35B0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DE21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Bandwidth</w:t>
            </w:r>
          </w:p>
        </w:tc>
        <w:tc>
          <w:tcPr>
            <w:tcW w:w="2880" w:type="dxa"/>
          </w:tcPr>
          <w:p w14:paraId="00B0FE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 parallel access, no refresh overhead</w:t>
            </w:r>
          </w:p>
        </w:tc>
        <w:tc>
          <w:tcPr>
            <w:tcW w:w="2880" w:type="dxa"/>
          </w:tcPr>
          <w:p w14:paraId="211ECD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Lower — shared with periodic refresh cycles</w:t>
            </w:r>
          </w:p>
        </w:tc>
      </w:tr>
      <w:tr w14:paraId="2D6F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BE4D5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Throughput</w:t>
            </w:r>
          </w:p>
        </w:tc>
        <w:tc>
          <w:tcPr>
            <w:tcW w:w="2880" w:type="dxa"/>
          </w:tcPr>
          <w:p w14:paraId="24EA54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sustained throughput; ideal for cache</w:t>
            </w:r>
          </w:p>
        </w:tc>
        <w:tc>
          <w:tcPr>
            <w:tcW w:w="2880" w:type="dxa"/>
          </w:tcPr>
          <w:p w14:paraId="4CCB47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Moderate; refresh and row-activation reduce effective throughput</w:t>
            </w:r>
          </w:p>
        </w:tc>
      </w:tr>
      <w:tr w14:paraId="6EBFC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E87F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Refresh Requirement</w:t>
            </w:r>
          </w:p>
        </w:tc>
        <w:tc>
          <w:tcPr>
            <w:tcW w:w="2880" w:type="dxa"/>
          </w:tcPr>
          <w:p w14:paraId="287880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None — holds state as long as powered</w:t>
            </w:r>
          </w:p>
        </w:tc>
        <w:tc>
          <w:tcPr>
            <w:tcW w:w="2880" w:type="dxa"/>
          </w:tcPr>
          <w:p w14:paraId="31DFB8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Needs periodic refresh (capacitor leaks charge)</w:t>
            </w:r>
          </w:p>
        </w:tc>
      </w:tr>
      <w:tr w14:paraId="0CEA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E988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Density / Cost per Bit</w:t>
            </w:r>
          </w:p>
        </w:tc>
        <w:tc>
          <w:tcPr>
            <w:tcW w:w="2880" w:type="dxa"/>
          </w:tcPr>
          <w:p w14:paraId="13248F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Low density, expensive per bit</w:t>
            </w:r>
          </w:p>
        </w:tc>
        <w:tc>
          <w:tcPr>
            <w:tcW w:w="2880" w:type="dxa"/>
          </w:tcPr>
          <w:p w14:paraId="7C8ECA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density, cheap per bit</w:t>
            </w:r>
          </w:p>
        </w:tc>
      </w:tr>
      <w:tr w14:paraId="69A42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669CE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Power</w:t>
            </w:r>
          </w:p>
        </w:tc>
        <w:tc>
          <w:tcPr>
            <w:tcW w:w="2880" w:type="dxa"/>
          </w:tcPr>
          <w:p w14:paraId="442F7C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Higher static power, no refresh power</w:t>
            </w:r>
          </w:p>
        </w:tc>
        <w:tc>
          <w:tcPr>
            <w:tcW w:w="2880" w:type="dxa"/>
          </w:tcPr>
          <w:p w14:paraId="6CBB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Lower static power, but refresh adds dynamic power</w:t>
            </w:r>
          </w:p>
        </w:tc>
      </w:tr>
      <w:tr w14:paraId="39D8C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87CB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Typical Use</w:t>
            </w:r>
          </w:p>
        </w:tc>
        <w:tc>
          <w:tcPr>
            <w:tcW w:w="2880" w:type="dxa"/>
          </w:tcPr>
          <w:p w14:paraId="6C8558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L1/L2/L3 cache, registers</w:t>
            </w:r>
          </w:p>
        </w:tc>
        <w:tc>
          <w:tcPr>
            <w:tcW w:w="2880" w:type="dxa"/>
          </w:tcPr>
          <w:p w14:paraId="52A25D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Main memory (system RAM)</w:t>
            </w:r>
          </w:p>
        </w:tc>
      </w:tr>
    </w:tbl>
    <w:p w14:paraId="4B82FB33">
      <w:pPr>
        <w:jc w:val="both"/>
        <w:rPr>
          <w:rFonts w:ascii="Times New Roman" w:hAnsi="Times New Roman" w:cs="Times New Roman"/>
          <w:sz w:val="24"/>
          <w:szCs w:val="24"/>
        </w:rPr>
      </w:pPr>
    </w:p>
    <w:p w14:paraId="7AEBAEDD">
      <w:pPr>
        <w:jc w:val="both"/>
        <w:rPr>
          <w:rFonts w:ascii="Times New Roman" w:hAnsi="Times New Roman" w:cs="Times New Roman"/>
          <w:sz w:val="24"/>
          <w:szCs w:val="24"/>
        </w:rPr>
      </w:pPr>
      <w:r>
        <w:rPr>
          <w:rFonts w:ascii="Times New Roman" w:hAnsi="Times New Roman" w:cs="Times New Roman"/>
          <w:sz w:val="24"/>
          <w:szCs w:val="24"/>
        </w:rPr>
        <w:t>Critical Analysis: SRAM's speed advantage comes directly from its transistor-based bistable cell, which needs no sense-amplifier-driven refresh; this makes it the only viable choice for cache, where the CPU is on the latency-critical path. DRAM's single-transistor cell gives ~4–6x higher density, so it is economically necessary for gigabyte-scale main memory, but the refresh and row-activation delay make it unsuitable to sit directly next to the ALU. The two technologies are therefore complementary, not competing — the memory hierarchy exists precisely because no single technology optimizes both latency and density.</w:t>
      </w:r>
    </w:p>
    <w:p w14:paraId="3EA03E3C">
      <w:pPr>
        <w:jc w:val="both"/>
        <w:rPr>
          <w:rFonts w:ascii="Times New Roman" w:hAnsi="Times New Roman" w:cs="Times New Roman"/>
          <w:sz w:val="24"/>
          <w:szCs w:val="24"/>
        </w:rPr>
      </w:pPr>
    </w:p>
    <w:p w14:paraId="248057A5">
      <w:pPr>
        <w:pStyle w:val="3"/>
        <w:jc w:val="both"/>
        <w:rPr>
          <w:rFonts w:ascii="Times New Roman" w:hAnsi="Times New Roman" w:cs="Times New Roman"/>
          <w:color w:val="auto"/>
          <w:sz w:val="24"/>
          <w:szCs w:val="24"/>
        </w:rPr>
      </w:pPr>
      <w:r>
        <w:rPr>
          <w:rFonts w:ascii="Times New Roman" w:hAnsi="Times New Roman" w:cs="Times New Roman"/>
          <w:color w:val="auto"/>
          <w:sz w:val="24"/>
          <w:szCs w:val="24"/>
        </w:rPr>
        <w:t>Q3. Virtual Memory (Paging) vs. Cache Memory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E6A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AAF123B">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Parameter</w:t>
            </w:r>
          </w:p>
        </w:tc>
        <w:tc>
          <w:tcPr>
            <w:tcW w:w="2880" w:type="dxa"/>
          </w:tcPr>
          <w:p w14:paraId="595B519A">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Virtual Memory (Paging)</w:t>
            </w:r>
          </w:p>
        </w:tc>
        <w:tc>
          <w:tcPr>
            <w:tcW w:w="2880" w:type="dxa"/>
          </w:tcPr>
          <w:p w14:paraId="1F565791">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Cache Memory</w:t>
            </w:r>
          </w:p>
        </w:tc>
      </w:tr>
      <w:tr w14:paraId="5F6A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CB70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Purpose</w:t>
            </w:r>
          </w:p>
        </w:tc>
        <w:tc>
          <w:tcPr>
            <w:tcW w:w="2880" w:type="dxa"/>
          </w:tcPr>
          <w:p w14:paraId="1BA390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Extends addressable memory beyond physical RAM; provides process isolation</w:t>
            </w:r>
          </w:p>
        </w:tc>
        <w:tc>
          <w:tcPr>
            <w:tcW w:w="2880" w:type="dxa"/>
          </w:tcPr>
          <w:p w14:paraId="6CF71E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Reduces average access latency to frequently used data</w:t>
            </w:r>
          </w:p>
        </w:tc>
      </w:tr>
      <w:tr w14:paraId="7CF3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F5EF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Managed By</w:t>
            </w:r>
          </w:p>
        </w:tc>
        <w:tc>
          <w:tcPr>
            <w:tcW w:w="2880" w:type="dxa"/>
          </w:tcPr>
          <w:p w14:paraId="0BEA7B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OS + MMU/TLB (software-assisted, hardware-accelerated)</w:t>
            </w:r>
          </w:p>
        </w:tc>
        <w:tc>
          <w:tcPr>
            <w:tcW w:w="2880" w:type="dxa"/>
          </w:tcPr>
          <w:p w14:paraId="3D8045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Fully hardware-managed (cache controller)</w:t>
            </w:r>
          </w:p>
        </w:tc>
      </w:tr>
      <w:tr w14:paraId="4969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9436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Unit of Transfer</w:t>
            </w:r>
          </w:p>
        </w:tc>
        <w:tc>
          <w:tcPr>
            <w:tcW w:w="2880" w:type="dxa"/>
          </w:tcPr>
          <w:p w14:paraId="6EF727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Pages (typically 4 KB or larger)</w:t>
            </w:r>
          </w:p>
        </w:tc>
        <w:tc>
          <w:tcPr>
            <w:tcW w:w="2880" w:type="dxa"/>
          </w:tcPr>
          <w:p w14:paraId="1ABC6B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Cache lines (typically 32–128 bytes)</w:t>
            </w:r>
          </w:p>
        </w:tc>
      </w:tr>
      <w:tr w14:paraId="554E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2B49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Access Latency (hit)</w:t>
            </w:r>
          </w:p>
        </w:tc>
        <w:tc>
          <w:tcPr>
            <w:tcW w:w="2880" w:type="dxa"/>
          </w:tcPr>
          <w:p w14:paraId="5EAA2A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TLB hit: ~1 cycle; page-table walk on TLB miss: tens of cycles</w:t>
            </w:r>
          </w:p>
        </w:tc>
        <w:tc>
          <w:tcPr>
            <w:tcW w:w="2880" w:type="dxa"/>
          </w:tcPr>
          <w:p w14:paraId="412220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L1 hit: 1–4 cycles; scales up through L2/L3</w:t>
            </w:r>
          </w:p>
        </w:tc>
      </w:tr>
      <w:tr w14:paraId="4278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33EC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Access Latency (miss)</w:t>
            </w:r>
          </w:p>
        </w:tc>
        <w:tc>
          <w:tcPr>
            <w:tcW w:w="2880" w:type="dxa"/>
          </w:tcPr>
          <w:p w14:paraId="00F452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Page fault: disk/SSD access — milliseconds (orders of magnitude slower)</w:t>
            </w:r>
          </w:p>
        </w:tc>
        <w:tc>
          <w:tcPr>
            <w:tcW w:w="2880" w:type="dxa"/>
          </w:tcPr>
          <w:p w14:paraId="380211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Cache miss: goes to next level or DRAM — tens to a few hundred cycles</w:t>
            </w:r>
          </w:p>
        </w:tc>
      </w:tr>
      <w:tr w14:paraId="191C2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7E83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Throughput Impact</w:t>
            </w:r>
          </w:p>
        </w:tc>
        <w:tc>
          <w:tcPr>
            <w:tcW w:w="2880" w:type="dxa"/>
          </w:tcPr>
          <w:p w14:paraId="6B886E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Excessive page faults ('thrashing') can collapse system throughput</w:t>
            </w:r>
          </w:p>
        </w:tc>
        <w:tc>
          <w:tcPr>
            <w:tcW w:w="2880" w:type="dxa"/>
          </w:tcPr>
          <w:p w14:paraId="6C01B8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Poor cache locality lowers IPC but rarely stalls the whole system</w:t>
            </w:r>
          </w:p>
        </w:tc>
      </w:tr>
      <w:tr w14:paraId="6E53F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FC00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Backing Store</w:t>
            </w:r>
          </w:p>
        </w:tc>
        <w:tc>
          <w:tcPr>
            <w:tcW w:w="2880" w:type="dxa"/>
          </w:tcPr>
          <w:p w14:paraId="26AE69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Secondary storage (SSD/HDD)</w:t>
            </w:r>
          </w:p>
        </w:tc>
        <w:tc>
          <w:tcPr>
            <w:tcW w:w="2880" w:type="dxa"/>
          </w:tcPr>
          <w:p w14:paraId="0C09C8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Next memory level (L2, L3, or DRAM)</w:t>
            </w:r>
          </w:p>
        </w:tc>
      </w:tr>
    </w:tbl>
    <w:p w14:paraId="25687D2F">
      <w:pPr>
        <w:jc w:val="both"/>
        <w:rPr>
          <w:rFonts w:ascii="Times New Roman" w:hAnsi="Times New Roman" w:cs="Times New Roman"/>
          <w:sz w:val="24"/>
          <w:szCs w:val="24"/>
        </w:rPr>
      </w:pPr>
    </w:p>
    <w:p w14:paraId="34973EA1">
      <w:pPr>
        <w:jc w:val="both"/>
        <w:rPr>
          <w:rFonts w:ascii="Times New Roman" w:hAnsi="Times New Roman" w:cs="Times New Roman"/>
          <w:sz w:val="24"/>
          <w:szCs w:val="24"/>
        </w:rPr>
      </w:pPr>
      <w:r>
        <w:rPr>
          <w:rFonts w:ascii="Times New Roman" w:hAnsi="Times New Roman" w:cs="Times New Roman"/>
          <w:sz w:val="24"/>
          <w:szCs w:val="24"/>
        </w:rPr>
        <w:t>Critical Analysis: Both mechanisms exploit locality of reference, but at very different granularities and penalties. Cache misses are recoverable within the processor's pipeline timescale, whereas page faults involve I/O and can be 10^4–10^5 times slower than a cache miss. This is why paging systems invest heavily in the TLB (a cache for page-table entries) — it brings the common case of address translation down to cache-like speed, while the rare page fault is absorbed by the OS's much slower fault-handling path.</w:t>
      </w:r>
    </w:p>
    <w:p w14:paraId="294A7610">
      <w:pPr>
        <w:jc w:val="both"/>
        <w:rPr>
          <w:rFonts w:ascii="Times New Roman" w:hAnsi="Times New Roman" w:cs="Times New Roman"/>
          <w:sz w:val="24"/>
          <w:szCs w:val="24"/>
        </w:rPr>
      </w:pPr>
    </w:p>
    <w:p w14:paraId="28A019E8">
      <w:pPr>
        <w:pStyle w:val="3"/>
        <w:jc w:val="both"/>
        <w:rPr>
          <w:rFonts w:ascii="Times New Roman" w:hAnsi="Times New Roman" w:cs="Times New Roman"/>
          <w:color w:val="auto"/>
          <w:sz w:val="24"/>
          <w:szCs w:val="24"/>
        </w:rPr>
      </w:pPr>
      <w:r>
        <w:rPr>
          <w:rFonts w:ascii="Times New Roman" w:hAnsi="Times New Roman" w:cs="Times New Roman"/>
          <w:color w:val="auto"/>
          <w:sz w:val="24"/>
          <w:szCs w:val="24"/>
        </w:rPr>
        <w:t>Q4. NAND Flash vs. DRAM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BF0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10EA7C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Parameter</w:t>
            </w:r>
          </w:p>
        </w:tc>
        <w:tc>
          <w:tcPr>
            <w:tcW w:w="2880" w:type="dxa"/>
          </w:tcPr>
          <w:p w14:paraId="4A487176">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NAND Flash</w:t>
            </w:r>
          </w:p>
        </w:tc>
        <w:tc>
          <w:tcPr>
            <w:tcW w:w="2880" w:type="dxa"/>
          </w:tcPr>
          <w:p w14:paraId="58359DB9">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DRAM</w:t>
            </w:r>
          </w:p>
        </w:tc>
      </w:tr>
      <w:tr w14:paraId="59AF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9E6FB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Volatility</w:t>
            </w:r>
          </w:p>
        </w:tc>
        <w:tc>
          <w:tcPr>
            <w:tcW w:w="2880" w:type="dxa"/>
          </w:tcPr>
          <w:p w14:paraId="2D4315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Non-volatile — retains data without power</w:t>
            </w:r>
          </w:p>
        </w:tc>
        <w:tc>
          <w:tcPr>
            <w:tcW w:w="2880" w:type="dxa"/>
          </w:tcPr>
          <w:p w14:paraId="01A95F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Volatile — loses data without power/refresh</w:t>
            </w:r>
          </w:p>
        </w:tc>
      </w:tr>
      <w:tr w14:paraId="420CE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5AD71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Latency</w:t>
            </w:r>
          </w:p>
        </w:tc>
        <w:tc>
          <w:tcPr>
            <w:tcW w:w="2880" w:type="dxa"/>
          </w:tcPr>
          <w:p w14:paraId="59E1F2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Read: ~25–100 µs; Write/Erase: much slower (ms range)</w:t>
            </w:r>
          </w:p>
        </w:tc>
        <w:tc>
          <w:tcPr>
            <w:tcW w:w="2880" w:type="dxa"/>
          </w:tcPr>
          <w:p w14:paraId="4C2853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Read/Write: ~50–100 ns (100–1000x faster than NAND)</w:t>
            </w:r>
          </w:p>
        </w:tc>
      </w:tr>
      <w:tr w14:paraId="35E8A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5763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Bandwidth</w:t>
            </w:r>
          </w:p>
        </w:tc>
        <w:tc>
          <w:tcPr>
            <w:tcW w:w="2880" w:type="dxa"/>
          </w:tcPr>
          <w:p w14:paraId="27A0B6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Sequential: high (hundreds of MB/s–few GB/s); random access far lower</w:t>
            </w:r>
          </w:p>
        </w:tc>
        <w:tc>
          <w:tcPr>
            <w:tcW w:w="2880" w:type="dxa"/>
          </w:tcPr>
          <w:p w14:paraId="5B931D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Very high, symmetric random/sequential (tens of GB/s)</w:t>
            </w:r>
          </w:p>
        </w:tc>
      </w:tr>
      <w:tr w14:paraId="0B3F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98258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Endurance</w:t>
            </w:r>
          </w:p>
        </w:tc>
        <w:tc>
          <w:tcPr>
            <w:tcW w:w="2880" w:type="dxa"/>
          </w:tcPr>
          <w:p w14:paraId="58881A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Limited program/erase cycles (wear leveling required)</w:t>
            </w:r>
          </w:p>
        </w:tc>
        <w:tc>
          <w:tcPr>
            <w:tcW w:w="2880" w:type="dxa"/>
          </w:tcPr>
          <w:p w14:paraId="785C62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Effectively unlimited write endurance</w:t>
            </w:r>
          </w:p>
        </w:tc>
      </w:tr>
      <w:tr w14:paraId="2A03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02EF1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Density / Cost per bit</w:t>
            </w:r>
          </w:p>
        </w:tc>
        <w:tc>
          <w:tcPr>
            <w:tcW w:w="2880" w:type="dxa"/>
          </w:tcPr>
          <w:p w14:paraId="43F085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Very high density, lowest cost per bit</w:t>
            </w:r>
          </w:p>
        </w:tc>
        <w:tc>
          <w:tcPr>
            <w:tcW w:w="2880" w:type="dxa"/>
          </w:tcPr>
          <w:p w14:paraId="7D4A64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Lower density than NAND, higher cost per bit</w:t>
            </w:r>
          </w:p>
        </w:tc>
      </w:tr>
      <w:tr w14:paraId="0F89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91805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Access Granularity</w:t>
            </w:r>
          </w:p>
        </w:tc>
        <w:tc>
          <w:tcPr>
            <w:tcW w:w="2880" w:type="dxa"/>
          </w:tcPr>
          <w:p w14:paraId="59A9EA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Page/block based; erase-before-write</w:t>
            </w:r>
          </w:p>
        </w:tc>
        <w:tc>
          <w:tcPr>
            <w:tcW w:w="2880" w:type="dxa"/>
          </w:tcPr>
          <w:p w14:paraId="668821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Byte/word addressable</w:t>
            </w:r>
          </w:p>
        </w:tc>
      </w:tr>
      <w:tr w14:paraId="0E86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32C5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Position in Hierarchy</w:t>
            </w:r>
          </w:p>
        </w:tc>
        <w:tc>
          <w:tcPr>
            <w:tcW w:w="2880" w:type="dxa"/>
          </w:tcPr>
          <w:p w14:paraId="79D564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Secondary storage / SSD tier</w:t>
            </w:r>
          </w:p>
        </w:tc>
        <w:tc>
          <w:tcPr>
            <w:tcW w:w="2880" w:type="dxa"/>
          </w:tcPr>
          <w:p w14:paraId="0A7390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Main memory tier</w:t>
            </w:r>
          </w:p>
        </w:tc>
      </w:tr>
    </w:tbl>
    <w:p w14:paraId="566B6F1F">
      <w:pPr>
        <w:jc w:val="both"/>
        <w:rPr>
          <w:rFonts w:ascii="Times New Roman" w:hAnsi="Times New Roman" w:cs="Times New Roman"/>
          <w:sz w:val="24"/>
          <w:szCs w:val="24"/>
        </w:rPr>
      </w:pPr>
    </w:p>
    <w:p w14:paraId="7292C968">
      <w:pPr>
        <w:jc w:val="both"/>
        <w:rPr>
          <w:rFonts w:ascii="Times New Roman" w:hAnsi="Times New Roman" w:cs="Times New Roman"/>
          <w:sz w:val="24"/>
          <w:szCs w:val="24"/>
        </w:rPr>
      </w:pPr>
      <w:r>
        <w:rPr>
          <w:rFonts w:ascii="Times New Roman" w:hAnsi="Times New Roman" w:cs="Times New Roman"/>
          <w:sz w:val="24"/>
          <w:szCs w:val="24"/>
        </w:rPr>
        <w:t>Suitability for Hierarchical Memory Systems: DRAM's byte-addressability and near-symmetric nanosecond latency make it the natural main-memory tier directly serving the CPU's cache misses. NAND Flash's non-volatility and high density make it ideal as persistent storage below DRAM, but its erase-before-write behaviour and microsecond-to-millisecond latency rule it out as a direct DRAM replacement. In modern hierarchies, NAND typically appears as SSD storage or, in emerging designs, as a 'storage-class memory' tier bridging DRAM and traditional storage — never as a substitute for the CPU-adjacent working memory.</w:t>
      </w:r>
    </w:p>
    <w:p w14:paraId="0445901F">
      <w:pPr>
        <w:jc w:val="both"/>
        <w:rPr>
          <w:rFonts w:ascii="Times New Roman" w:hAnsi="Times New Roman" w:cs="Times New Roman"/>
          <w:sz w:val="24"/>
          <w:szCs w:val="24"/>
        </w:rPr>
      </w:pPr>
    </w:p>
    <w:p w14:paraId="7BB6BA1E">
      <w:pPr>
        <w:pStyle w:val="3"/>
        <w:jc w:val="both"/>
        <w:rPr>
          <w:rFonts w:ascii="Times New Roman" w:hAnsi="Times New Roman" w:cs="Times New Roman"/>
          <w:color w:val="auto"/>
          <w:sz w:val="24"/>
          <w:szCs w:val="24"/>
        </w:rPr>
      </w:pPr>
      <w:r>
        <w:rPr>
          <w:rFonts w:ascii="Times New Roman" w:hAnsi="Times New Roman" w:cs="Times New Roman"/>
          <w:color w:val="auto"/>
          <w:sz w:val="24"/>
          <w:szCs w:val="24"/>
        </w:rPr>
        <w:t>Q5. MRAM vs. RRAM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AC81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0F0E54">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Parameter</w:t>
            </w:r>
          </w:p>
        </w:tc>
        <w:tc>
          <w:tcPr>
            <w:tcW w:w="2880" w:type="dxa"/>
          </w:tcPr>
          <w:p w14:paraId="58A5890D">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MRAM (Magnetoresistive RAM)</w:t>
            </w:r>
          </w:p>
        </w:tc>
        <w:tc>
          <w:tcPr>
            <w:tcW w:w="2880" w:type="dxa"/>
          </w:tcPr>
          <w:p w14:paraId="61879E13">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RRAM (Resistive RAM)</w:t>
            </w:r>
          </w:p>
        </w:tc>
      </w:tr>
      <w:tr w14:paraId="71591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1C3A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 Mechanism</w:t>
            </w:r>
          </w:p>
        </w:tc>
        <w:tc>
          <w:tcPr>
            <w:tcW w:w="2880" w:type="dxa"/>
          </w:tcPr>
          <w:p w14:paraId="0803E5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Magnetic tunnel junction — resistance set by spin orientation</w:t>
            </w:r>
          </w:p>
        </w:tc>
        <w:tc>
          <w:tcPr>
            <w:tcW w:w="2880" w:type="dxa"/>
          </w:tcPr>
          <w:p w14:paraId="187F93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Resistance change via formation/rupture of a conductive filament in an oxide layer</w:t>
            </w:r>
          </w:p>
        </w:tc>
      </w:tr>
      <w:tr w14:paraId="2D50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2AE99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Access Time</w:t>
            </w:r>
          </w:p>
        </w:tc>
        <w:tc>
          <w:tcPr>
            <w:tcW w:w="2880" w:type="dxa"/>
          </w:tcPr>
          <w:p w14:paraId="7F345C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Very fast (~ns range), close to SRAM/DRAM speed</w:t>
            </w:r>
          </w:p>
        </w:tc>
        <w:tc>
          <w:tcPr>
            <w:tcW w:w="2880" w:type="dxa"/>
          </w:tcPr>
          <w:p w14:paraId="16C8B8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Fast (~ns–tens of ns), slightly slower/variable vs. MRAM</w:t>
            </w:r>
          </w:p>
        </w:tc>
      </w:tr>
      <w:tr w14:paraId="789E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DE17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Throughput</w:t>
            </w:r>
          </w:p>
        </w:tc>
        <w:tc>
          <w:tcPr>
            <w:tcW w:w="2880" w:type="dxa"/>
          </w:tcPr>
          <w:p w14:paraId="0628BF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and symmetric for read/write</w:t>
            </w:r>
          </w:p>
        </w:tc>
        <w:tc>
          <w:tcPr>
            <w:tcW w:w="2880" w:type="dxa"/>
          </w:tcPr>
          <w:p w14:paraId="644651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but write variability can reduce effective throughput</w:t>
            </w:r>
          </w:p>
        </w:tc>
      </w:tr>
      <w:tr w14:paraId="7F90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8A97B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Endurance</w:t>
            </w:r>
          </w:p>
        </w:tc>
        <w:tc>
          <w:tcPr>
            <w:tcW w:w="2880" w:type="dxa"/>
          </w:tcPr>
          <w:p w14:paraId="18E6D0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Very high (10^12–10^15 cycles) — near-DRAM endurance</w:t>
            </w:r>
          </w:p>
        </w:tc>
        <w:tc>
          <w:tcPr>
            <w:tcW w:w="2880" w:type="dxa"/>
          </w:tcPr>
          <w:p w14:paraId="69D3DB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Moderate–high (10^6–10^12 cycles), generally lower than MRAM</w:t>
            </w:r>
          </w:p>
        </w:tc>
      </w:tr>
      <w:tr w14:paraId="70511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E5CA7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Energy Efficiency</w:t>
            </w:r>
          </w:p>
        </w:tc>
        <w:tc>
          <w:tcPr>
            <w:tcW w:w="2880" w:type="dxa"/>
          </w:tcPr>
          <w:p w14:paraId="739FC5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Low read energy; write energy moderate (current-driven switching)</w:t>
            </w:r>
          </w:p>
        </w:tc>
        <w:tc>
          <w:tcPr>
            <w:tcW w:w="2880" w:type="dxa"/>
          </w:tcPr>
          <w:p w14:paraId="537952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Very low write energy per bit, but sneak-current leakage can hurt efficiency at array level</w:t>
            </w:r>
          </w:p>
        </w:tc>
      </w:tr>
      <w:tr w14:paraId="1EFB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6DDE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Non-volatility</w:t>
            </w:r>
          </w:p>
        </w:tc>
        <w:tc>
          <w:tcPr>
            <w:tcW w:w="2880" w:type="dxa"/>
          </w:tcPr>
          <w:p w14:paraId="1EFA9C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2880" w:type="dxa"/>
          </w:tcPr>
          <w:p w14:paraId="0F5DDD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r w14:paraId="720B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0C77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Scalability / Maturity</w:t>
            </w:r>
          </w:p>
        </w:tc>
        <w:tc>
          <w:tcPr>
            <w:tcW w:w="2880" w:type="dxa"/>
          </w:tcPr>
          <w:p w14:paraId="2D4CEC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More mature, already in niche commercial use (e.g., embedded MRAM)</w:t>
            </w:r>
          </w:p>
        </w:tc>
        <w:tc>
          <w:tcPr>
            <w:tcW w:w="2880" w:type="dxa"/>
          </w:tcPr>
          <w:p w14:paraId="7B150F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Higher theoretical density/scalability, still maturing for mass production</w:t>
            </w:r>
          </w:p>
        </w:tc>
      </w:tr>
    </w:tbl>
    <w:p w14:paraId="452B5608">
      <w:pPr>
        <w:jc w:val="both"/>
        <w:rPr>
          <w:rFonts w:ascii="Times New Roman" w:hAnsi="Times New Roman" w:cs="Times New Roman"/>
          <w:sz w:val="24"/>
          <w:szCs w:val="24"/>
        </w:rPr>
      </w:pPr>
    </w:p>
    <w:p w14:paraId="2A904D72">
      <w:pPr>
        <w:jc w:val="both"/>
        <w:rPr>
          <w:rFonts w:ascii="Times New Roman" w:hAnsi="Times New Roman" w:cs="Times New Roman"/>
          <w:sz w:val="24"/>
          <w:szCs w:val="24"/>
        </w:rPr>
      </w:pPr>
      <w:r>
        <w:rPr>
          <w:rFonts w:ascii="Times New Roman" w:hAnsi="Times New Roman" w:cs="Times New Roman"/>
          <w:sz w:val="24"/>
          <w:szCs w:val="24"/>
        </w:rPr>
        <w:t>Critical Analysis: MRAM currently offers the better balance of speed and endurance, making it attractive for replacing SRAM/DRAM in embedded and cache-adjacent non-volatile roles. RRAM's simpler two-terminal structure gives it a density and cost advantage that suits large-scale storage-class memory, but sneak-path leakage and endurance variability currently limit its reliability compared to MRAM. Both are considered candidates for a future 'universal memory' that merges the non-volatility of Flash with the speed of DRAM, but neither has yet displaced existing technologies at scale.</w:t>
      </w:r>
    </w:p>
    <w:p w14:paraId="7CF7CE66">
      <w:pPr>
        <w:jc w:val="both"/>
        <w:rPr>
          <w:rFonts w:ascii="Times New Roman" w:hAnsi="Times New Roman" w:cs="Times New Roman"/>
          <w:sz w:val="24"/>
          <w:szCs w:val="24"/>
        </w:rPr>
      </w:pPr>
    </w:p>
    <w:p w14:paraId="49B623E7">
      <w:pPr>
        <w:jc w:val="both"/>
        <w:rPr>
          <w:rFonts w:ascii="Times New Roman" w:hAnsi="Times New Roman" w:cs="Times New Roman"/>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B6448"/>
    <w:rsid w:val="00AA1D8D"/>
    <w:rsid w:val="00B47730"/>
    <w:rsid w:val="00CB0664"/>
    <w:rsid w:val="00EF3224"/>
    <w:rsid w:val="00FC693F"/>
    <w:rsid w:val="574C404D"/>
    <w:rsid w:val="630E6F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Grid Table 1 Light Accent 1"/>
    <w:basedOn w:val="12"/>
    <w:uiPriority w:val="46"/>
    <w:pPr>
      <w:spacing w:after="0" w:line="240" w:lineRule="auto"/>
    </w:p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1E0334-A4B2-4061-B5CE-2B25D8BEADFA}">
  <ds:schemaRefs/>
</ds:datastoreItem>
</file>

<file path=docProps/app.xml><?xml version="1.0" encoding="utf-8"?>
<Properties xmlns="http://schemas.openxmlformats.org/officeDocument/2006/extended-properties" xmlns:vt="http://schemas.openxmlformats.org/officeDocument/2006/docPropsVTypes">
  <Template>Normal</Template>
  <Pages>8</Pages>
  <Words>799</Words>
  <Characters>4658</Characters>
  <Lines>76</Lines>
  <Paragraphs>21</Paragraphs>
  <TotalTime>4</TotalTime>
  <ScaleCrop>false</ScaleCrop>
  <LinksUpToDate>false</LinksUpToDate>
  <CharactersWithSpaces>5316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2026-08-22T16:34:00Z</dcterms:created>
  <dc:creator>python-docx</dc:creator>
  <dc:description>generated by python-docx</dc:description>
  <cp:lastModifiedBy>Saveri Manne</cp:lastModifiedBy>
  <dcterms:modified xsi:type="dcterms:W3CDTF">2026-09-01T04:40:16Z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eyJoZGlkIjoiOTBiYWJiNmVmZjA4NmYxOTkwNTY0NjU3YzAyNjgxZWEiLCJ1c2VySWQiOiI1Njc0OTMzMzk4OTEifQ==</vt:lpwstr>
  </property>
  <property fmtid="{D5CDD505-2E9C-101B-9397-08002B2CF9AE}" pid="3" name="KSOProductBuildVer">
    <vt:lpwstr>1033-12.1.0.26880</vt:lpwstr>
  </property>
  <property fmtid="{D5CDD505-2E9C-101B-9397-08002B2CF9AE}" pid="4" name="ICV">
    <vt:lpwstr>694FFEA34E5F47BD99E4500C8836BD3C_13</vt:lpwstr>
  </property>
</Properties>
</file>