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73E8"/>
          <w:sz w:val="36"/>
        </w:rPr>
        <w:t>Design and Analysis of an OS Resource Orchestration System for a Smart University (UniCore)</w:t>
      </w:r>
    </w:p>
    <w:p>
      <w:pPr>
        <w:spacing w:after="280"/>
        <w:jc w:val="center"/>
      </w:pPr>
      <w:r>
        <w:rPr>
          <w:b/>
          <w:color w:val="5F6368"/>
          <w:sz w:val="22"/>
        </w:rPr>
        <w:t>CSA04 – Operating Systems Comprehensive Assignment Report | Academic Year 2026–2027</w:t>
      </w:r>
    </w:p>
    <w:p>
      <w:pPr>
        <w:keepNext/>
        <w:spacing w:before="280" w:after="80"/>
      </w:pPr>
      <w:r>
        <w:rPr>
          <w:rFonts w:ascii="Calibri" w:hAnsi="Calibri"/>
          <w:b/>
          <w:color w:val="1A73E8"/>
          <w:sz w:val="28"/>
        </w:rPr>
        <w:t>1. Problem Understanding and Formulation</w:t>
      </w:r>
    </w:p>
    <w:p>
      <w:pPr>
        <w:spacing w:after="100" w:line="276" w:lineRule="auto"/>
      </w:pPr>
      <w:r>
        <w:t>Modern smart university infrastructures rely on complex, heterogeneous software services operating simultaneously across distributed campus networks. The 'UniCore' operating system resource orchestration system is designed to govern and manage the physical and logical hardware resources supporting academic workflows. The system must seamlessly handle two primary operating regimes: a baseline operational load representing typical university activities (~500 concurrent sessions) and high-stakes examination spikes (800+ concurrent students) requiring sub-millisecond coordination, bounded latency, and strict data consistency.</w:t>
      </w:r>
    </w:p>
    <w:p>
      <w:pPr>
        <w:keepNext/>
        <w:spacing w:before="280" w:after="80"/>
      </w:pPr>
      <w:r>
        <w:rPr>
          <w:rFonts w:ascii="Calibri" w:hAnsi="Calibri"/>
          <w:b/>
          <w:color w:val="1A73E8"/>
          <w:sz w:val="28"/>
        </w:rPr>
        <w:t>2. Challenges in Smart University Resource Management</w:t>
      </w:r>
    </w:p>
    <w:p>
      <w:pPr>
        <w:spacing w:after="100" w:line="276" w:lineRule="auto"/>
      </w:pPr>
      <w:r>
        <w:t>Designing an integrated OS kernel orchestration framework for UniCore involves four critical engineering challenges:</w:t>
        <w:br/>
        <w:t>1. Concurrency and Data Race Hazards: Hundreds of concurrent student proctoring sessions and grading threads access shared database records, creating severe race conditions without rigorous mutual exclusion.</w:t>
        <w:br/>
        <w:t>2. Deadlock Vulnerability: Intensive multi-resource requests (database connection pools, exam record file locks, GPU compute cores, and disk I/O channels) can easily result in circular wait conditions.</w:t>
        <w:br/>
        <w:t>3. Memory Virtualization &amp; Thrashing: Large concurrent memory footprints under 800+ active examination containers risk page-fault storms and system-wide thrashing.</w:t>
        <w:br/>
        <w:t>4. Storage Bottlenecks &amp; Seek Oscillation: Random I/O accesses across small student records, medium lecture slides, and massive multi-gigabyte video streams can cause extreme disk head thrashing and track starvation.</w:t>
      </w:r>
    </w:p>
    <w:p>
      <w:pPr>
        <w:keepNext/>
        <w:spacing w:before="280" w:after="80"/>
      </w:pPr>
      <w:r>
        <w:rPr>
          <w:rFonts w:ascii="Calibri" w:hAnsi="Calibri"/>
          <w:b/>
          <w:color w:val="1A73E8"/>
          <w:sz w:val="28"/>
        </w:rPr>
        <w:t>3. Workload Specification</w:t>
      </w:r>
    </w:p>
    <w:p>
      <w:pPr>
        <w:spacing w:after="100" w:line="276" w:lineRule="auto"/>
      </w:pPr>
      <w:r>
        <w:t>To rigorously evaluate UniCore, an eight-process representative workload model is established, spanning interactive, batch, and real-time campus tasks with diverse CPU bursts, arrival times, and priorities: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vAlign w:val="center"/>
            <w:tcMar>
              <w:top w:w="80" w:type="dxa"/>
              <w:bottom w:w="80" w:type="dxa"/>
              <w:left w:w="100" w:type="dxa"/>
              <w:right w:w="100" w:type="dxa"/>
            </w:tcMar>
            <w:shd w:fill="1A73E8"/>
          </w:tcPr>
          <w:p>
            <w:pPr>
              <w:jc w:val="left"/>
            </w:pPr>
            <w:r>
              <w:rPr>
                <w:rFonts w:ascii="Calibri" w:hAnsi="Calibri"/>
                <w:b/>
                <w:color w:val="FFFFFF"/>
                <w:sz w:val="19"/>
              </w:rPr>
              <w:t>Process ID</w:t>
            </w:r>
          </w:p>
        </w:tc>
        <w:tc>
          <w:tcPr>
            <w:tcW w:type="dxa" w:w="3312"/>
            <w:vAlign w:val="center"/>
            <w:tcMar>
              <w:top w:w="80" w:type="dxa"/>
              <w:bottom w:w="80" w:type="dxa"/>
              <w:left w:w="100" w:type="dxa"/>
              <w:right w:w="100" w:type="dxa"/>
            </w:tcMar>
            <w:shd w:fill="1A73E8"/>
          </w:tcPr>
          <w:p>
            <w:pPr>
              <w:jc w:val="left"/>
            </w:pPr>
            <w:r>
              <w:rPr>
                <w:rFonts w:ascii="Calibri" w:hAnsi="Calibri"/>
                <w:b/>
                <w:color w:val="FFFFFF"/>
                <w:sz w:val="19"/>
              </w:rPr>
              <w:t>UniCore Application Service</w:t>
            </w:r>
          </w:p>
        </w:tc>
        <w:tc>
          <w:tcPr>
            <w:tcW w:type="dxa" w:w="1584"/>
            <w:vAlign w:val="center"/>
            <w:tcMar>
              <w:top w:w="80" w:type="dxa"/>
              <w:bottom w:w="80" w:type="dxa"/>
              <w:left w:w="100" w:type="dxa"/>
              <w:right w:w="100" w:type="dxa"/>
            </w:tcMar>
            <w:shd w:fill="1A73E8"/>
          </w:tcPr>
          <w:p>
            <w:pPr>
              <w:jc w:val="left"/>
            </w:pPr>
            <w:r>
              <w:rPr>
                <w:rFonts w:ascii="Calibri" w:hAnsi="Calibri"/>
                <w:b/>
                <w:color w:val="FFFFFF"/>
                <w:sz w:val="19"/>
              </w:rPr>
              <w:t>Arrival Time (ms)</w:t>
            </w:r>
          </w:p>
        </w:tc>
        <w:tc>
          <w:tcPr>
            <w:tcW w:type="dxa" w:w="1584"/>
            <w:vAlign w:val="center"/>
            <w:tcMar>
              <w:top w:w="80" w:type="dxa"/>
              <w:bottom w:w="80" w:type="dxa"/>
              <w:left w:w="100" w:type="dxa"/>
              <w:right w:w="100" w:type="dxa"/>
            </w:tcMar>
            <w:shd w:fill="1A73E8"/>
          </w:tcPr>
          <w:p>
            <w:pPr>
              <w:jc w:val="left"/>
            </w:pPr>
            <w:r>
              <w:rPr>
                <w:rFonts w:ascii="Calibri" w:hAnsi="Calibri"/>
                <w:b/>
                <w:color w:val="FFFFFF"/>
                <w:sz w:val="19"/>
              </w:rPr>
              <w:t>Burst Time (ms)</w:t>
            </w:r>
          </w:p>
        </w:tc>
        <w:tc>
          <w:tcPr>
            <w:tcW w:type="dxa" w:w="1440"/>
            <w:vAlign w:val="center"/>
            <w:tcMar>
              <w:top w:w="80" w:type="dxa"/>
              <w:bottom w:w="80" w:type="dxa"/>
              <w:left w:w="100" w:type="dxa"/>
              <w:right w:w="100" w:type="dxa"/>
            </w:tcMar>
            <w:shd w:fill="1A73E8"/>
          </w:tcPr>
          <w:p>
            <w:pPr>
              <w:jc w:val="left"/>
            </w:pPr>
            <w:r>
              <w:rPr>
                <w:rFonts w:ascii="Calibri" w:hAnsi="Calibri"/>
                <w:b/>
                <w:color w:val="FFFFFF"/>
                <w:sz w:val="19"/>
              </w:rPr>
              <w:t>Priority (1=Top)</w:t>
            </w:r>
          </w:p>
        </w:tc>
      </w:tr>
      <w:tr>
        <w:tc>
          <w:tcPr>
            <w:tcW w:type="dxa" w:w="1440"/>
            <w:vAlign w:val="center"/>
            <w:tcMar>
              <w:top w:w="80" w:type="dxa"/>
              <w:bottom w:w="80" w:type="dxa"/>
              <w:left w:w="100" w:type="dxa"/>
              <w:right w:w="100" w:type="dxa"/>
            </w:tcMar>
            <w:shd w:fill="FFFFFF"/>
          </w:tcPr>
          <w:p>
            <w:r>
              <w:rPr>
                <w:rFonts w:ascii="Calibri" w:hAnsi="Calibri"/>
                <w:color w:val="202124"/>
                <w:sz w:val="18"/>
              </w:rPr>
              <w:t>P0</w:t>
            </w:r>
          </w:p>
        </w:tc>
        <w:tc>
          <w:tcPr>
            <w:tcW w:type="dxa" w:w="3312"/>
            <w:vAlign w:val="center"/>
            <w:tcMar>
              <w:top w:w="80" w:type="dxa"/>
              <w:bottom w:w="80" w:type="dxa"/>
              <w:left w:w="100" w:type="dxa"/>
              <w:right w:w="100" w:type="dxa"/>
            </w:tcMar>
            <w:shd w:fill="FFFFFF"/>
          </w:tcPr>
          <w:p>
            <w:r>
              <w:rPr>
                <w:rFonts w:ascii="Calibri" w:hAnsi="Calibri"/>
                <w:color w:val="202124"/>
                <w:sz w:val="18"/>
              </w:rPr>
              <w:t>Online Examination Portal</w:t>
            </w:r>
          </w:p>
        </w:tc>
        <w:tc>
          <w:tcPr>
            <w:tcW w:type="dxa" w:w="1584"/>
            <w:vAlign w:val="center"/>
            <w:tcMar>
              <w:top w:w="80" w:type="dxa"/>
              <w:bottom w:w="80" w:type="dxa"/>
              <w:left w:w="100" w:type="dxa"/>
              <w:right w:w="100" w:type="dxa"/>
            </w:tcMar>
            <w:shd w:fill="FFFFFF"/>
          </w:tcPr>
          <w:p>
            <w:r>
              <w:rPr>
                <w:rFonts w:ascii="Calibri" w:hAnsi="Calibri"/>
                <w:color w:val="202124"/>
                <w:sz w:val="18"/>
              </w:rPr>
              <w:t>0</w:t>
            </w:r>
          </w:p>
        </w:tc>
        <w:tc>
          <w:tcPr>
            <w:tcW w:type="dxa" w:w="1584"/>
            <w:vAlign w:val="center"/>
            <w:tcMar>
              <w:top w:w="80" w:type="dxa"/>
              <w:bottom w:w="80" w:type="dxa"/>
              <w:left w:w="100" w:type="dxa"/>
              <w:right w:w="100" w:type="dxa"/>
            </w:tcMar>
            <w:shd w:fill="FFFFFF"/>
          </w:tcPr>
          <w:p>
            <w:r>
              <w:rPr>
                <w:rFonts w:ascii="Calibri" w:hAnsi="Calibri"/>
                <w:color w:val="202124"/>
                <w:sz w:val="18"/>
              </w:rPr>
              <w:t>8</w:t>
            </w:r>
          </w:p>
        </w:tc>
        <w:tc>
          <w:tcPr>
            <w:tcW w:type="dxa" w:w="1440"/>
            <w:vAlign w:val="center"/>
            <w:tcMar>
              <w:top w:w="80" w:type="dxa"/>
              <w:bottom w:w="80" w:type="dxa"/>
              <w:left w:w="100" w:type="dxa"/>
              <w:right w:w="100" w:type="dxa"/>
            </w:tcMar>
            <w:shd w:fill="FFFFFF"/>
          </w:tcPr>
          <w:p>
            <w:r>
              <w:rPr>
                <w:rFonts w:ascii="Calibri" w:hAnsi="Calibri"/>
                <w:color w:val="202124"/>
                <w:sz w:val="18"/>
              </w:rPr>
              <w:t>1 (Highest)</w:t>
            </w:r>
          </w:p>
        </w:tc>
      </w:tr>
      <w:tr>
        <w:tc>
          <w:tcPr>
            <w:tcW w:type="dxa" w:w="1440"/>
            <w:vAlign w:val="center"/>
            <w:tcMar>
              <w:top w:w="80" w:type="dxa"/>
              <w:bottom w:w="80" w:type="dxa"/>
              <w:left w:w="100" w:type="dxa"/>
              <w:right w:w="100" w:type="dxa"/>
            </w:tcMar>
            <w:shd w:fill="F8F9FA"/>
          </w:tcPr>
          <w:p>
            <w:r>
              <w:rPr>
                <w:rFonts w:ascii="Calibri" w:hAnsi="Calibri"/>
                <w:color w:val="202124"/>
                <w:sz w:val="18"/>
              </w:rPr>
              <w:t>P1</w:t>
            </w:r>
          </w:p>
        </w:tc>
        <w:tc>
          <w:tcPr>
            <w:tcW w:type="dxa" w:w="3312"/>
            <w:vAlign w:val="center"/>
            <w:tcMar>
              <w:top w:w="80" w:type="dxa"/>
              <w:bottom w:w="80" w:type="dxa"/>
              <w:left w:w="100" w:type="dxa"/>
              <w:right w:w="100" w:type="dxa"/>
            </w:tcMar>
            <w:shd w:fill="F8F9FA"/>
          </w:tcPr>
          <w:p>
            <w:r>
              <w:rPr>
                <w:rFonts w:ascii="Calibri" w:hAnsi="Calibri"/>
                <w:color w:val="202124"/>
                <w:sz w:val="18"/>
              </w:rPr>
              <w:t>LMS Student Request</w:t>
            </w:r>
          </w:p>
        </w:tc>
        <w:tc>
          <w:tcPr>
            <w:tcW w:type="dxa" w:w="1584"/>
            <w:vAlign w:val="center"/>
            <w:tcMar>
              <w:top w:w="80" w:type="dxa"/>
              <w:bottom w:w="80" w:type="dxa"/>
              <w:left w:w="100" w:type="dxa"/>
              <w:right w:w="100" w:type="dxa"/>
            </w:tcMar>
            <w:shd w:fill="F8F9FA"/>
          </w:tcPr>
          <w:p>
            <w:r>
              <w:rPr>
                <w:rFonts w:ascii="Calibri" w:hAnsi="Calibri"/>
                <w:color w:val="202124"/>
                <w:sz w:val="18"/>
              </w:rPr>
              <w:t>1</w:t>
            </w:r>
          </w:p>
        </w:tc>
        <w:tc>
          <w:tcPr>
            <w:tcW w:type="dxa" w:w="1584"/>
            <w:vAlign w:val="center"/>
            <w:tcMar>
              <w:top w:w="80" w:type="dxa"/>
              <w:bottom w:w="80" w:type="dxa"/>
              <w:left w:w="100" w:type="dxa"/>
              <w:right w:w="100" w:type="dxa"/>
            </w:tcMar>
            <w:shd w:fill="F8F9FA"/>
          </w:tcPr>
          <w:p>
            <w:r>
              <w:rPr>
                <w:rFonts w:ascii="Calibri" w:hAnsi="Calibri"/>
                <w:color w:val="202124"/>
                <w:sz w:val="18"/>
              </w:rPr>
              <w:t>4</w:t>
            </w:r>
          </w:p>
        </w:tc>
        <w:tc>
          <w:tcPr>
            <w:tcW w:type="dxa" w:w="1440"/>
            <w:vAlign w:val="center"/>
            <w:tcMar>
              <w:top w:w="80" w:type="dxa"/>
              <w:bottom w:w="80" w:type="dxa"/>
              <w:left w:w="100" w:type="dxa"/>
              <w:right w:w="100" w:type="dxa"/>
            </w:tcMar>
            <w:shd w:fill="F8F9FA"/>
          </w:tcPr>
          <w:p>
            <w:r>
              <w:rPr>
                <w:rFonts w:ascii="Calibri" w:hAnsi="Calibri"/>
                <w:color w:val="202124"/>
                <w:sz w:val="18"/>
              </w:rPr>
              <w:t>2</w:t>
            </w:r>
          </w:p>
        </w:tc>
      </w:tr>
      <w:tr>
        <w:tc>
          <w:tcPr>
            <w:tcW w:type="dxa" w:w="1440"/>
            <w:vAlign w:val="center"/>
            <w:tcMar>
              <w:top w:w="80" w:type="dxa"/>
              <w:bottom w:w="80" w:type="dxa"/>
              <w:left w:w="100" w:type="dxa"/>
              <w:right w:w="100" w:type="dxa"/>
            </w:tcMar>
            <w:shd w:fill="FFFFFF"/>
          </w:tcPr>
          <w:p>
            <w:r>
              <w:rPr>
                <w:rFonts w:ascii="Calibri" w:hAnsi="Calibri"/>
                <w:color w:val="202124"/>
                <w:sz w:val="18"/>
              </w:rPr>
              <w:t>P2</w:t>
            </w:r>
          </w:p>
        </w:tc>
        <w:tc>
          <w:tcPr>
            <w:tcW w:type="dxa" w:w="3312"/>
            <w:vAlign w:val="center"/>
            <w:tcMar>
              <w:top w:w="80" w:type="dxa"/>
              <w:bottom w:w="80" w:type="dxa"/>
              <w:left w:w="100" w:type="dxa"/>
              <w:right w:w="100" w:type="dxa"/>
            </w:tcMar>
            <w:shd w:fill="FFFFFF"/>
          </w:tcPr>
          <w:p>
            <w:r>
              <w:rPr>
                <w:rFonts w:ascii="Calibri" w:hAnsi="Calibri"/>
                <w:color w:val="202124"/>
                <w:sz w:val="18"/>
              </w:rPr>
              <w:t>Digital Library Search</w:t>
            </w:r>
          </w:p>
        </w:tc>
        <w:tc>
          <w:tcPr>
            <w:tcW w:type="dxa" w:w="1584"/>
            <w:vAlign w:val="center"/>
            <w:tcMar>
              <w:top w:w="80" w:type="dxa"/>
              <w:bottom w:w="80" w:type="dxa"/>
              <w:left w:w="100" w:type="dxa"/>
              <w:right w:w="100" w:type="dxa"/>
            </w:tcMar>
            <w:shd w:fill="FFFFFF"/>
          </w:tcPr>
          <w:p>
            <w:r>
              <w:rPr>
                <w:rFonts w:ascii="Calibri" w:hAnsi="Calibri"/>
                <w:color w:val="202124"/>
                <w:sz w:val="18"/>
              </w:rPr>
              <w:t>2</w:t>
            </w:r>
          </w:p>
        </w:tc>
        <w:tc>
          <w:tcPr>
            <w:tcW w:type="dxa" w:w="1584"/>
            <w:vAlign w:val="center"/>
            <w:tcMar>
              <w:top w:w="80" w:type="dxa"/>
              <w:bottom w:w="80" w:type="dxa"/>
              <w:left w:w="100" w:type="dxa"/>
              <w:right w:w="100" w:type="dxa"/>
            </w:tcMar>
            <w:shd w:fill="FFFFFF"/>
          </w:tcPr>
          <w:p>
            <w:r>
              <w:rPr>
                <w:rFonts w:ascii="Calibri" w:hAnsi="Calibri"/>
                <w:color w:val="202124"/>
                <w:sz w:val="18"/>
              </w:rPr>
              <w:t>9</w:t>
            </w:r>
          </w:p>
        </w:tc>
        <w:tc>
          <w:tcPr>
            <w:tcW w:type="dxa" w:w="1440"/>
            <w:vAlign w:val="center"/>
            <w:tcMar>
              <w:top w:w="80" w:type="dxa"/>
              <w:bottom w:w="80" w:type="dxa"/>
              <w:left w:w="100" w:type="dxa"/>
              <w:right w:w="100" w:type="dxa"/>
            </w:tcMar>
            <w:shd w:fill="FFFFFF"/>
          </w:tcPr>
          <w:p>
            <w:r>
              <w:rPr>
                <w:rFonts w:ascii="Calibri" w:hAnsi="Calibri"/>
                <w:color w:val="202124"/>
                <w:sz w:val="18"/>
              </w:rPr>
              <w:t>3</w:t>
            </w:r>
          </w:p>
        </w:tc>
      </w:tr>
      <w:tr>
        <w:tc>
          <w:tcPr>
            <w:tcW w:type="dxa" w:w="1440"/>
            <w:vAlign w:val="center"/>
            <w:tcMar>
              <w:top w:w="80" w:type="dxa"/>
              <w:bottom w:w="80" w:type="dxa"/>
              <w:left w:w="100" w:type="dxa"/>
              <w:right w:w="100" w:type="dxa"/>
            </w:tcMar>
            <w:shd w:fill="F8F9FA"/>
          </w:tcPr>
          <w:p>
            <w:r>
              <w:rPr>
                <w:rFonts w:ascii="Calibri" w:hAnsi="Calibri"/>
                <w:color w:val="202124"/>
                <w:sz w:val="18"/>
              </w:rPr>
              <w:t>P3</w:t>
            </w:r>
          </w:p>
        </w:tc>
        <w:tc>
          <w:tcPr>
            <w:tcW w:type="dxa" w:w="3312"/>
            <w:vAlign w:val="center"/>
            <w:tcMar>
              <w:top w:w="80" w:type="dxa"/>
              <w:bottom w:w="80" w:type="dxa"/>
              <w:left w:w="100" w:type="dxa"/>
              <w:right w:w="100" w:type="dxa"/>
            </w:tcMar>
            <w:shd w:fill="F8F9FA"/>
          </w:tcPr>
          <w:p>
            <w:r>
              <w:rPr>
                <w:rFonts w:ascii="Calibri" w:hAnsi="Calibri"/>
                <w:color w:val="202124"/>
                <w:sz w:val="18"/>
              </w:rPr>
              <w:t>Research Computing HPC Batch</w:t>
            </w:r>
          </w:p>
        </w:tc>
        <w:tc>
          <w:tcPr>
            <w:tcW w:type="dxa" w:w="1584"/>
            <w:vAlign w:val="center"/>
            <w:tcMar>
              <w:top w:w="80" w:type="dxa"/>
              <w:bottom w:w="80" w:type="dxa"/>
              <w:left w:w="100" w:type="dxa"/>
              <w:right w:w="100" w:type="dxa"/>
            </w:tcMar>
            <w:shd w:fill="F8F9FA"/>
          </w:tcPr>
          <w:p>
            <w:r>
              <w:rPr>
                <w:rFonts w:ascii="Calibri" w:hAnsi="Calibri"/>
                <w:color w:val="202124"/>
                <w:sz w:val="18"/>
              </w:rPr>
              <w:t>3</w:t>
            </w:r>
          </w:p>
        </w:tc>
        <w:tc>
          <w:tcPr>
            <w:tcW w:type="dxa" w:w="1584"/>
            <w:vAlign w:val="center"/>
            <w:tcMar>
              <w:top w:w="80" w:type="dxa"/>
              <w:bottom w:w="80" w:type="dxa"/>
              <w:left w:w="100" w:type="dxa"/>
              <w:right w:w="100" w:type="dxa"/>
            </w:tcMar>
            <w:shd w:fill="F8F9FA"/>
          </w:tcPr>
          <w:p>
            <w:r>
              <w:rPr>
                <w:rFonts w:ascii="Calibri" w:hAnsi="Calibri"/>
                <w:color w:val="202124"/>
                <w:sz w:val="18"/>
              </w:rPr>
              <w:t>5</w:t>
            </w:r>
          </w:p>
        </w:tc>
        <w:tc>
          <w:tcPr>
            <w:tcW w:type="dxa" w:w="1440"/>
            <w:vAlign w:val="center"/>
            <w:tcMar>
              <w:top w:w="80" w:type="dxa"/>
              <w:bottom w:w="80" w:type="dxa"/>
              <w:left w:w="100" w:type="dxa"/>
              <w:right w:w="100" w:type="dxa"/>
            </w:tcMar>
            <w:shd w:fill="F8F9FA"/>
          </w:tcPr>
          <w:p>
            <w:r>
              <w:rPr>
                <w:rFonts w:ascii="Calibri" w:hAnsi="Calibri"/>
                <w:color w:val="202124"/>
                <w:sz w:val="18"/>
              </w:rPr>
              <w:t>4</w:t>
            </w:r>
          </w:p>
        </w:tc>
      </w:tr>
      <w:tr>
        <w:tc>
          <w:tcPr>
            <w:tcW w:type="dxa" w:w="1440"/>
            <w:vAlign w:val="center"/>
            <w:tcMar>
              <w:top w:w="80" w:type="dxa"/>
              <w:bottom w:w="80" w:type="dxa"/>
              <w:left w:w="100" w:type="dxa"/>
              <w:right w:w="100" w:type="dxa"/>
            </w:tcMar>
            <w:shd w:fill="FFFFFF"/>
          </w:tcPr>
          <w:p>
            <w:r>
              <w:rPr>
                <w:rFonts w:ascii="Calibri" w:hAnsi="Calibri"/>
                <w:color w:val="202124"/>
                <w:sz w:val="18"/>
              </w:rPr>
              <w:t>P4</w:t>
            </w:r>
          </w:p>
        </w:tc>
        <w:tc>
          <w:tcPr>
            <w:tcW w:type="dxa" w:w="3312"/>
            <w:vAlign w:val="center"/>
            <w:tcMar>
              <w:top w:w="80" w:type="dxa"/>
              <w:bottom w:w="80" w:type="dxa"/>
              <w:left w:w="100" w:type="dxa"/>
              <w:right w:w="100" w:type="dxa"/>
            </w:tcMar>
            <w:shd w:fill="FFFFFF"/>
          </w:tcPr>
          <w:p>
            <w:r>
              <w:rPr>
                <w:rFonts w:ascii="Calibri" w:hAnsi="Calibri"/>
                <w:color w:val="202124"/>
                <w:sz w:val="18"/>
              </w:rPr>
              <w:t>IoT Sensor Monitoring</w:t>
            </w:r>
          </w:p>
        </w:tc>
        <w:tc>
          <w:tcPr>
            <w:tcW w:type="dxa" w:w="1584"/>
            <w:vAlign w:val="center"/>
            <w:tcMar>
              <w:top w:w="80" w:type="dxa"/>
              <w:bottom w:w="80" w:type="dxa"/>
              <w:left w:w="100" w:type="dxa"/>
              <w:right w:w="100" w:type="dxa"/>
            </w:tcMar>
            <w:shd w:fill="FFFFFF"/>
          </w:tcPr>
          <w:p>
            <w:r>
              <w:rPr>
                <w:rFonts w:ascii="Calibri" w:hAnsi="Calibri"/>
                <w:color w:val="202124"/>
                <w:sz w:val="18"/>
              </w:rPr>
              <w:t>4</w:t>
            </w:r>
          </w:p>
        </w:tc>
        <w:tc>
          <w:tcPr>
            <w:tcW w:type="dxa" w:w="1584"/>
            <w:vAlign w:val="center"/>
            <w:tcMar>
              <w:top w:w="80" w:type="dxa"/>
              <w:bottom w:w="80" w:type="dxa"/>
              <w:left w:w="100" w:type="dxa"/>
              <w:right w:w="100" w:type="dxa"/>
            </w:tcMar>
            <w:shd w:fill="FFFFFF"/>
          </w:tcPr>
          <w:p>
            <w:r>
              <w:rPr>
                <w:rFonts w:ascii="Calibri" w:hAnsi="Calibri"/>
                <w:color w:val="202124"/>
                <w:sz w:val="18"/>
              </w:rPr>
              <w:t>2</w:t>
            </w:r>
          </w:p>
        </w:tc>
        <w:tc>
          <w:tcPr>
            <w:tcW w:type="dxa" w:w="1440"/>
            <w:vAlign w:val="center"/>
            <w:tcMar>
              <w:top w:w="80" w:type="dxa"/>
              <w:bottom w:w="80" w:type="dxa"/>
              <w:left w:w="100" w:type="dxa"/>
              <w:right w:w="100" w:type="dxa"/>
            </w:tcMar>
            <w:shd w:fill="FFFFFF"/>
          </w:tcPr>
          <w:p>
            <w:r>
              <w:rPr>
                <w:rFonts w:ascii="Calibri" w:hAnsi="Calibri"/>
                <w:color w:val="202124"/>
                <w:sz w:val="18"/>
              </w:rPr>
              <w:t>1 (Highest)</w:t>
            </w:r>
          </w:p>
        </w:tc>
      </w:tr>
      <w:tr>
        <w:tc>
          <w:tcPr>
            <w:tcW w:type="dxa" w:w="1440"/>
            <w:vAlign w:val="center"/>
            <w:tcMar>
              <w:top w:w="80" w:type="dxa"/>
              <w:bottom w:w="80" w:type="dxa"/>
              <w:left w:w="100" w:type="dxa"/>
              <w:right w:w="100" w:type="dxa"/>
            </w:tcMar>
            <w:shd w:fill="F8F9FA"/>
          </w:tcPr>
          <w:p>
            <w:r>
              <w:rPr>
                <w:rFonts w:ascii="Calibri" w:hAnsi="Calibri"/>
                <w:color w:val="202124"/>
                <w:sz w:val="18"/>
              </w:rPr>
              <w:t>P5</w:t>
            </w:r>
          </w:p>
        </w:tc>
        <w:tc>
          <w:tcPr>
            <w:tcW w:type="dxa" w:w="3312"/>
            <w:vAlign w:val="center"/>
            <w:tcMar>
              <w:top w:w="80" w:type="dxa"/>
              <w:bottom w:w="80" w:type="dxa"/>
              <w:left w:w="100" w:type="dxa"/>
              <w:right w:w="100" w:type="dxa"/>
            </w:tcMar>
            <w:shd w:fill="F8F9FA"/>
          </w:tcPr>
          <w:p>
            <w:r>
              <w:rPr>
                <w:rFonts w:ascii="Calibri" w:hAnsi="Calibri"/>
                <w:color w:val="202124"/>
                <w:sz w:val="18"/>
              </w:rPr>
              <w:t>Automated Backup Service</w:t>
            </w:r>
          </w:p>
        </w:tc>
        <w:tc>
          <w:tcPr>
            <w:tcW w:type="dxa" w:w="1584"/>
            <w:vAlign w:val="center"/>
            <w:tcMar>
              <w:top w:w="80" w:type="dxa"/>
              <w:bottom w:w="80" w:type="dxa"/>
              <w:left w:w="100" w:type="dxa"/>
              <w:right w:w="100" w:type="dxa"/>
            </w:tcMar>
            <w:shd w:fill="F8F9FA"/>
          </w:tcPr>
          <w:p>
            <w:r>
              <w:rPr>
                <w:rFonts w:ascii="Calibri" w:hAnsi="Calibri"/>
                <w:color w:val="202124"/>
                <w:sz w:val="18"/>
              </w:rPr>
              <w:t>5</w:t>
            </w:r>
          </w:p>
        </w:tc>
        <w:tc>
          <w:tcPr>
            <w:tcW w:type="dxa" w:w="1584"/>
            <w:vAlign w:val="center"/>
            <w:tcMar>
              <w:top w:w="80" w:type="dxa"/>
              <w:bottom w:w="80" w:type="dxa"/>
              <w:left w:w="100" w:type="dxa"/>
              <w:right w:w="100" w:type="dxa"/>
            </w:tcMar>
            <w:shd w:fill="F8F9FA"/>
          </w:tcPr>
          <w:p>
            <w:r>
              <w:rPr>
                <w:rFonts w:ascii="Calibri" w:hAnsi="Calibri"/>
                <w:color w:val="202124"/>
                <w:sz w:val="18"/>
              </w:rPr>
              <w:t>6</w:t>
            </w:r>
          </w:p>
        </w:tc>
        <w:tc>
          <w:tcPr>
            <w:tcW w:type="dxa" w:w="1440"/>
            <w:vAlign w:val="center"/>
            <w:tcMar>
              <w:top w:w="80" w:type="dxa"/>
              <w:bottom w:w="80" w:type="dxa"/>
              <w:left w:w="100" w:type="dxa"/>
              <w:right w:w="100" w:type="dxa"/>
            </w:tcMar>
            <w:shd w:fill="F8F9FA"/>
          </w:tcPr>
          <w:p>
            <w:r>
              <w:rPr>
                <w:rFonts w:ascii="Calibri" w:hAnsi="Calibri"/>
                <w:color w:val="202124"/>
                <w:sz w:val="18"/>
              </w:rPr>
              <w:t>5 (Lowest)</w:t>
            </w:r>
          </w:p>
        </w:tc>
      </w:tr>
      <w:tr>
        <w:tc>
          <w:tcPr>
            <w:tcW w:type="dxa" w:w="1440"/>
            <w:vAlign w:val="center"/>
            <w:tcMar>
              <w:top w:w="80" w:type="dxa"/>
              <w:bottom w:w="80" w:type="dxa"/>
              <w:left w:w="100" w:type="dxa"/>
              <w:right w:w="100" w:type="dxa"/>
            </w:tcMar>
            <w:shd w:fill="FFFFFF"/>
          </w:tcPr>
          <w:p>
            <w:r>
              <w:rPr>
                <w:rFonts w:ascii="Calibri" w:hAnsi="Calibri"/>
                <w:color w:val="202124"/>
                <w:sz w:val="18"/>
              </w:rPr>
              <w:t>P6</w:t>
            </w:r>
          </w:p>
        </w:tc>
        <w:tc>
          <w:tcPr>
            <w:tcW w:type="dxa" w:w="3312"/>
            <w:vAlign w:val="center"/>
            <w:tcMar>
              <w:top w:w="80" w:type="dxa"/>
              <w:bottom w:w="80" w:type="dxa"/>
              <w:left w:w="100" w:type="dxa"/>
              <w:right w:w="100" w:type="dxa"/>
            </w:tcMar>
            <w:shd w:fill="FFFFFF"/>
          </w:tcPr>
          <w:p>
            <w:r>
              <w:rPr>
                <w:rFonts w:ascii="Calibri" w:hAnsi="Calibri"/>
                <w:color w:val="202124"/>
                <w:sz w:val="18"/>
              </w:rPr>
              <w:t>Faculty Grade Sync</w:t>
            </w:r>
          </w:p>
        </w:tc>
        <w:tc>
          <w:tcPr>
            <w:tcW w:type="dxa" w:w="1584"/>
            <w:vAlign w:val="center"/>
            <w:tcMar>
              <w:top w:w="80" w:type="dxa"/>
              <w:bottom w:w="80" w:type="dxa"/>
              <w:left w:w="100" w:type="dxa"/>
              <w:right w:w="100" w:type="dxa"/>
            </w:tcMar>
            <w:shd w:fill="FFFFFF"/>
          </w:tcPr>
          <w:p>
            <w:r>
              <w:rPr>
                <w:rFonts w:ascii="Calibri" w:hAnsi="Calibri"/>
                <w:color w:val="202124"/>
                <w:sz w:val="18"/>
              </w:rPr>
              <w:t>6</w:t>
            </w:r>
          </w:p>
        </w:tc>
        <w:tc>
          <w:tcPr>
            <w:tcW w:type="dxa" w:w="1584"/>
            <w:vAlign w:val="center"/>
            <w:tcMar>
              <w:top w:w="80" w:type="dxa"/>
              <w:bottom w:w="80" w:type="dxa"/>
              <w:left w:w="100" w:type="dxa"/>
              <w:right w:w="100" w:type="dxa"/>
            </w:tcMar>
            <w:shd w:fill="FFFFFF"/>
          </w:tcPr>
          <w:p>
            <w:r>
              <w:rPr>
                <w:rFonts w:ascii="Calibri" w:hAnsi="Calibri"/>
                <w:color w:val="202124"/>
                <w:sz w:val="18"/>
              </w:rPr>
              <w:t>3</w:t>
            </w:r>
          </w:p>
        </w:tc>
        <w:tc>
          <w:tcPr>
            <w:tcW w:type="dxa" w:w="1440"/>
            <w:vAlign w:val="center"/>
            <w:tcMar>
              <w:top w:w="80" w:type="dxa"/>
              <w:bottom w:w="80" w:type="dxa"/>
              <w:left w:w="100" w:type="dxa"/>
              <w:right w:w="100" w:type="dxa"/>
            </w:tcMar>
            <w:shd w:fill="FFFFFF"/>
          </w:tcPr>
          <w:p>
            <w:r>
              <w:rPr>
                <w:rFonts w:ascii="Calibri" w:hAnsi="Calibri"/>
                <w:color w:val="202124"/>
                <w:sz w:val="18"/>
              </w:rPr>
              <w:t>2</w:t>
            </w:r>
          </w:p>
        </w:tc>
      </w:tr>
      <w:tr>
        <w:tc>
          <w:tcPr>
            <w:tcW w:type="dxa" w:w="1440"/>
            <w:vAlign w:val="center"/>
            <w:tcMar>
              <w:top w:w="80" w:type="dxa"/>
              <w:bottom w:w="80" w:type="dxa"/>
              <w:left w:w="100" w:type="dxa"/>
              <w:right w:w="100" w:type="dxa"/>
            </w:tcMar>
            <w:shd w:fill="F8F9FA"/>
          </w:tcPr>
          <w:p>
            <w:r>
              <w:rPr>
                <w:rFonts w:ascii="Calibri" w:hAnsi="Calibri"/>
                <w:color w:val="202124"/>
                <w:sz w:val="18"/>
              </w:rPr>
              <w:t>P7</w:t>
            </w:r>
          </w:p>
        </w:tc>
        <w:tc>
          <w:tcPr>
            <w:tcW w:type="dxa" w:w="3312"/>
            <w:vAlign w:val="center"/>
            <w:tcMar>
              <w:top w:w="80" w:type="dxa"/>
              <w:bottom w:w="80" w:type="dxa"/>
              <w:left w:w="100" w:type="dxa"/>
              <w:right w:w="100" w:type="dxa"/>
            </w:tcMar>
            <w:shd w:fill="F8F9FA"/>
          </w:tcPr>
          <w:p>
            <w:r>
              <w:rPr>
                <w:rFonts w:ascii="Calibri" w:hAnsi="Calibri"/>
                <w:color w:val="202124"/>
                <w:sz w:val="18"/>
              </w:rPr>
              <w:t>Video Stream Processing</w:t>
            </w:r>
          </w:p>
        </w:tc>
        <w:tc>
          <w:tcPr>
            <w:tcW w:type="dxa" w:w="1584"/>
            <w:vAlign w:val="center"/>
            <w:tcMar>
              <w:top w:w="80" w:type="dxa"/>
              <w:bottom w:w="80" w:type="dxa"/>
              <w:left w:w="100" w:type="dxa"/>
              <w:right w:w="100" w:type="dxa"/>
            </w:tcMar>
            <w:shd w:fill="F8F9FA"/>
          </w:tcPr>
          <w:p>
            <w:r>
              <w:rPr>
                <w:rFonts w:ascii="Calibri" w:hAnsi="Calibri"/>
                <w:color w:val="202124"/>
                <w:sz w:val="18"/>
              </w:rPr>
              <w:t>7</w:t>
            </w:r>
          </w:p>
        </w:tc>
        <w:tc>
          <w:tcPr>
            <w:tcW w:type="dxa" w:w="1584"/>
            <w:vAlign w:val="center"/>
            <w:tcMar>
              <w:top w:w="80" w:type="dxa"/>
              <w:bottom w:w="80" w:type="dxa"/>
              <w:left w:w="100" w:type="dxa"/>
              <w:right w:w="100" w:type="dxa"/>
            </w:tcMar>
            <w:shd w:fill="F8F9FA"/>
          </w:tcPr>
          <w:p>
            <w:r>
              <w:rPr>
                <w:rFonts w:ascii="Calibri" w:hAnsi="Calibri"/>
                <w:color w:val="202124"/>
                <w:sz w:val="18"/>
              </w:rPr>
              <w:t>7</w:t>
            </w:r>
          </w:p>
        </w:tc>
        <w:tc>
          <w:tcPr>
            <w:tcW w:type="dxa" w:w="1440"/>
            <w:vAlign w:val="center"/>
            <w:tcMar>
              <w:top w:w="80" w:type="dxa"/>
              <w:bottom w:w="80" w:type="dxa"/>
              <w:left w:w="100" w:type="dxa"/>
              <w:right w:w="100" w:type="dxa"/>
            </w:tcMar>
            <w:shd w:fill="F8F9FA"/>
          </w:tcPr>
          <w:p>
            <w:r>
              <w:rPr>
                <w:rFonts w:ascii="Calibri" w:hAnsi="Calibri"/>
                <w:color w:val="202124"/>
                <w:sz w:val="18"/>
              </w:rPr>
              <w:t>4</w:t>
            </w:r>
          </w:p>
        </w:tc>
      </w:tr>
    </w:tbl>
    <w:p>
      <w:pPr>
        <w:keepNext/>
        <w:spacing w:before="280" w:after="80"/>
      </w:pPr>
      <w:r>
        <w:rPr>
          <w:rFonts w:ascii="Calibri" w:hAnsi="Calibri"/>
          <w:b/>
          <w:color w:val="1A73E8"/>
          <w:sz w:val="28"/>
        </w:rPr>
        <w:t>4. System Assumptions &amp; Hardware Configuration</w:t>
      </w:r>
    </w:p>
    <w:p>
      <w:pPr>
        <w:spacing w:after="100" w:line="276" w:lineRule="auto"/>
      </w:pPr>
      <w:r>
        <w:t>The underlying hardware and architectural bounds are configured as follows:</w:t>
        <w:br/>
        <w:t>• Physical RAM Capacity: 16 GB (17,179,869,184 Bytes).</w:t>
        <w:br/>
        <w:t>• Virtual Memory Page Size: 4 KB (4,096 Bytes).</w:t>
        <w:br/>
        <w:t>• Process Logical Address Space: 64 MB (67,108,864 Bytes).</w:t>
        <w:br/>
        <w:t>• Memory Hierarchy Timings: TLB Access Time = 2 ns, Main Memory Access Time = 50 ns, TLB Hit Ratio = 95%.</w:t>
        <w:br/>
        <w:t>• Secondary Storage Array: 200 Cylinders (indexed 0 to 199), Initial Head Position at Cylinder 53, Direction = HIGH.</w:t>
      </w:r>
    </w:p>
    <w:p>
      <w:pPr>
        <w:keepNext/>
        <w:spacing w:before="280" w:after="80"/>
      </w:pPr>
      <w:r>
        <w:rPr>
          <w:rFonts w:ascii="Calibri" w:hAnsi="Calibri"/>
          <w:b/>
          <w:color w:val="1A73E8"/>
          <w:sz w:val="28"/>
        </w:rPr>
        <w:t>5. Measurable Objectives</w:t>
      </w:r>
    </w:p>
    <w:p>
      <w:pPr>
        <w:spacing w:after="100" w:line="276" w:lineRule="auto"/>
      </w:pPr>
      <w:r>
        <w:t>1. Minimize CPU Average Waiting Time and Response Time while achieving 100% CPU utilization.</w:t>
        <w:br/>
        <w:t>2. Provide strict mutual exclusion and writer starvation elimination on shared exam databases.</w:t>
        <w:br/>
        <w:t>3. Guarantee deadlock-free resource allocation via Banker's algorithm with zero false safe states.</w:t>
        <w:br/>
        <w:t>4. Maximize virtual memory hit ratio and eliminate Belady's anomaly by deploying stack-based replacement.</w:t>
        <w:br/>
        <w:t>5. Minimize Total Head Movement (THM) and provide uniform latency on 200-cylinder storage systems.</w:t>
      </w:r>
    </w:p>
    <w:p>
      <w:pPr>
        <w:keepNext/>
        <w:spacing w:before="280" w:after="80"/>
      </w:pPr>
      <w:r>
        <w:rPr>
          <w:rFonts w:ascii="Calibri" w:hAnsi="Calibri"/>
          <w:b/>
          <w:color w:val="1A73E8"/>
          <w:sz w:val="28"/>
        </w:rPr>
        <w:t>6. Operational Constraints</w:t>
      </w:r>
    </w:p>
    <w:p>
      <w:pPr>
        <w:spacing w:after="100" w:line="276" w:lineRule="auto"/>
      </w:pPr>
      <w:r>
        <w:t>• Memory Footprint: Exam container working sets must not exceed available physical memory allocation.</w:t>
        <w:br/>
        <w:t>• Real-Time Deadlines: Interactive examination requests must achieve an initial response time under 5 ms.</w:t>
        <w:br/>
        <w:t>• Storage Integrity: File systems must avoid broken-link corruption and preserve O(1) random indexing.</w:t>
      </w:r>
    </w:p>
    <w:p>
      <w:pPr>
        <w:keepNext/>
        <w:spacing w:before="280" w:after="80"/>
      </w:pPr>
      <w:r>
        <w:rPr>
          <w:rFonts w:ascii="Calibri" w:hAnsi="Calibri"/>
          <w:b/>
          <w:color w:val="1A73E8"/>
          <w:sz w:val="28"/>
        </w:rPr>
        <w:t>7. CPU Scheduling Simulation &amp; Empirical Benchmark</w:t>
      </w:r>
    </w:p>
    <w:p>
      <w:pPr>
        <w:spacing w:after="100" w:line="276" w:lineRule="auto"/>
      </w:pPr>
      <w:r>
        <w:t>UniCore implements and benchmarks five scheduling policies across the standard 8-process workload. The mathematical definitions and verified empirical outputs are detailed below:</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40" w:after="80"/>
            </w:pPr>
            <w:r>
              <w:rPr>
                <w:rFonts w:ascii="Calibri" w:hAnsi="Calibri"/>
                <w:b/>
                <w:color w:val="1A73E8"/>
                <w:sz w:val="20"/>
              </w:rPr>
              <w:t>CALCULATION: CPU SCHEDULING METRICS FORMULATION</w:t>
              <w:br/>
            </w:r>
            <w:r>
              <w:rPr>
                <w:rFonts w:ascii="Consolas" w:hAnsi="Consolas"/>
                <w:color w:val="202124"/>
                <w:sz w:val="19"/>
              </w:rPr>
              <w:t>Turnaround Time (TAT) = Completion Time (CT) - Arrival Time (AT)</w:t>
              <w:br/>
            </w:r>
            <w:r>
              <w:rPr>
                <w:rFonts w:ascii="Consolas" w:hAnsi="Consolas"/>
                <w:color w:val="202124"/>
                <w:sz w:val="19"/>
              </w:rPr>
              <w:t>Waiting Time (WT)    = Turnaround Time (TAT) - Burst Time (BT)</w:t>
              <w:br/>
            </w:r>
            <w:r>
              <w:rPr>
                <w:rFonts w:ascii="Consolas" w:hAnsi="Consolas"/>
                <w:color w:val="202124"/>
                <w:sz w:val="19"/>
              </w:rPr>
              <w:t>Response Time (RT)   = First Dispatch Time (ST) - Arrival Time (AT)</w:t>
              <w:br/>
            </w:r>
            <w:r>
              <w:rPr>
                <w:rFonts w:ascii="Consolas" w:hAnsi="Consolas"/>
                <w:color w:val="202124"/>
                <w:sz w:val="19"/>
              </w:rPr>
              <w:t>Average Waiting Time = (Sum of all WT) / N = 138 / 8 = 17.25 ms (FCFS)</w:t>
              <w:br/>
            </w:r>
            <w:r>
              <w:rPr>
                <w:rFonts w:ascii="Consolas" w:hAnsi="Consolas"/>
                <w:color w:val="202124"/>
                <w:sz w:val="19"/>
              </w:rPr>
              <w:t>Average Turnaround   = (Sum of all TAT) / N = 182 / 8 = 22.75 ms (FCFS)</w:t>
              <w:br/>
            </w:r>
            <w:r>
              <w:rPr>
                <w:rFonts w:ascii="Consolas" w:hAnsi="Consolas"/>
                <w:color w:val="202124"/>
                <w:sz w:val="19"/>
              </w:rPr>
              <w:t>CPU Utilization      = (Total Burst Time / Total Sim Time) * 100% = (44/44)*100% = 100.0%</w:t>
              <w:br/>
            </w:r>
          </w:p>
        </w:tc>
      </w:tr>
    </w:tbl>
    <w:p>
      <w:pPr>
        <w:spacing w:before="40" w:after="120"/>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168"/>
            <w:vAlign w:val="center"/>
            <w:tcMar>
              <w:top w:w="80" w:type="dxa"/>
              <w:bottom w:w="80" w:type="dxa"/>
              <w:left w:w="100" w:type="dxa"/>
              <w:right w:w="100" w:type="dxa"/>
            </w:tcMar>
            <w:shd w:fill="1A73E8"/>
          </w:tcPr>
          <w:p>
            <w:pPr>
              <w:jc w:val="left"/>
            </w:pPr>
            <w:r>
              <w:rPr>
                <w:rFonts w:ascii="Calibri" w:hAnsi="Calibri"/>
                <w:b/>
                <w:color w:val="FFFFFF"/>
                <w:sz w:val="19"/>
              </w:rPr>
              <w:t>Scheduling Algorithm</w:t>
            </w:r>
          </w:p>
        </w:tc>
        <w:tc>
          <w:tcPr>
            <w:tcW w:type="dxa" w:w="1296"/>
            <w:vAlign w:val="center"/>
            <w:tcMar>
              <w:top w:w="80" w:type="dxa"/>
              <w:bottom w:w="80" w:type="dxa"/>
              <w:left w:w="100" w:type="dxa"/>
              <w:right w:w="100" w:type="dxa"/>
            </w:tcMar>
            <w:shd w:fill="1A73E8"/>
          </w:tcPr>
          <w:p>
            <w:pPr>
              <w:jc w:val="left"/>
            </w:pPr>
            <w:r>
              <w:rPr>
                <w:rFonts w:ascii="Calibri" w:hAnsi="Calibri"/>
                <w:b/>
                <w:color w:val="FFFFFF"/>
                <w:sz w:val="19"/>
              </w:rPr>
              <w:t>Avg WT (ms)</w:t>
            </w:r>
          </w:p>
        </w:tc>
        <w:tc>
          <w:tcPr>
            <w:tcW w:type="dxa" w:w="1296"/>
            <w:vAlign w:val="center"/>
            <w:tcMar>
              <w:top w:w="80" w:type="dxa"/>
              <w:bottom w:w="80" w:type="dxa"/>
              <w:left w:w="100" w:type="dxa"/>
              <w:right w:w="100" w:type="dxa"/>
            </w:tcMar>
            <w:shd w:fill="1A73E8"/>
          </w:tcPr>
          <w:p>
            <w:pPr>
              <w:jc w:val="left"/>
            </w:pPr>
            <w:r>
              <w:rPr>
                <w:rFonts w:ascii="Calibri" w:hAnsi="Calibri"/>
                <w:b/>
                <w:color w:val="FFFFFF"/>
                <w:sz w:val="19"/>
              </w:rPr>
              <w:t>Avg TAT (ms)</w:t>
            </w:r>
          </w:p>
        </w:tc>
        <w:tc>
          <w:tcPr>
            <w:tcW w:type="dxa" w:w="1296"/>
            <w:vAlign w:val="center"/>
            <w:tcMar>
              <w:top w:w="80" w:type="dxa"/>
              <w:bottom w:w="80" w:type="dxa"/>
              <w:left w:w="100" w:type="dxa"/>
              <w:right w:w="100" w:type="dxa"/>
            </w:tcMar>
            <w:shd w:fill="1A73E8"/>
          </w:tcPr>
          <w:p>
            <w:pPr>
              <w:jc w:val="left"/>
            </w:pPr>
            <w:r>
              <w:rPr>
                <w:rFonts w:ascii="Calibri" w:hAnsi="Calibri"/>
                <w:b/>
                <w:color w:val="FFFFFF"/>
                <w:sz w:val="19"/>
              </w:rPr>
              <w:t>Avg RT (ms)</w:t>
            </w:r>
          </w:p>
        </w:tc>
        <w:tc>
          <w:tcPr>
            <w:tcW w:type="dxa" w:w="1296"/>
            <w:vAlign w:val="center"/>
            <w:tcMar>
              <w:top w:w="80" w:type="dxa"/>
              <w:bottom w:w="80" w:type="dxa"/>
              <w:left w:w="100" w:type="dxa"/>
              <w:right w:w="100" w:type="dxa"/>
            </w:tcMar>
            <w:shd w:fill="1A73E8"/>
          </w:tcPr>
          <w:p>
            <w:pPr>
              <w:jc w:val="left"/>
            </w:pPr>
            <w:r>
              <w:rPr>
                <w:rFonts w:ascii="Calibri" w:hAnsi="Calibri"/>
                <w:b/>
                <w:color w:val="FFFFFF"/>
                <w:sz w:val="19"/>
              </w:rPr>
              <w:t>CPU Util (%)</w:t>
            </w:r>
          </w:p>
        </w:tc>
        <w:tc>
          <w:tcPr>
            <w:tcW w:type="dxa" w:w="1152"/>
            <w:vAlign w:val="center"/>
            <w:tcMar>
              <w:top w:w="80" w:type="dxa"/>
              <w:bottom w:w="80" w:type="dxa"/>
              <w:left w:w="100" w:type="dxa"/>
              <w:right w:w="100" w:type="dxa"/>
            </w:tcMar>
            <w:shd w:fill="1A73E8"/>
          </w:tcPr>
          <w:p>
            <w:pPr>
              <w:jc w:val="left"/>
            </w:pPr>
            <w:r>
              <w:rPr>
                <w:rFonts w:ascii="Calibri" w:hAnsi="Calibri"/>
                <w:b/>
                <w:color w:val="FFFFFF"/>
                <w:sz w:val="19"/>
              </w:rPr>
              <w:t>Throughput (p/ms)</w:t>
            </w:r>
          </w:p>
        </w:tc>
      </w:tr>
      <w:tr>
        <w:tc>
          <w:tcPr>
            <w:tcW w:type="dxa" w:w="3168"/>
            <w:vAlign w:val="center"/>
            <w:tcMar>
              <w:top w:w="80" w:type="dxa"/>
              <w:bottom w:w="80" w:type="dxa"/>
              <w:left w:w="100" w:type="dxa"/>
              <w:right w:w="100" w:type="dxa"/>
            </w:tcMar>
            <w:shd w:fill="FFFFFF"/>
          </w:tcPr>
          <w:p>
            <w:r>
              <w:rPr>
                <w:rFonts w:ascii="Calibri" w:hAnsi="Calibri"/>
                <w:color w:val="202124"/>
                <w:sz w:val="18"/>
              </w:rPr>
              <w:t>FCFS (First-Come First-Served)</w:t>
            </w:r>
          </w:p>
        </w:tc>
        <w:tc>
          <w:tcPr>
            <w:tcW w:type="dxa" w:w="1296"/>
            <w:vAlign w:val="center"/>
            <w:tcMar>
              <w:top w:w="80" w:type="dxa"/>
              <w:bottom w:w="80" w:type="dxa"/>
              <w:left w:w="100" w:type="dxa"/>
              <w:right w:w="100" w:type="dxa"/>
            </w:tcMar>
            <w:shd w:fill="FFFFFF"/>
          </w:tcPr>
          <w:p>
            <w:r>
              <w:rPr>
                <w:rFonts w:ascii="Calibri" w:hAnsi="Calibri"/>
                <w:color w:val="202124"/>
                <w:sz w:val="18"/>
              </w:rPr>
              <w:t>17.25</w:t>
            </w:r>
          </w:p>
        </w:tc>
        <w:tc>
          <w:tcPr>
            <w:tcW w:type="dxa" w:w="1296"/>
            <w:vAlign w:val="center"/>
            <w:tcMar>
              <w:top w:w="80" w:type="dxa"/>
              <w:bottom w:w="80" w:type="dxa"/>
              <w:left w:w="100" w:type="dxa"/>
              <w:right w:w="100" w:type="dxa"/>
            </w:tcMar>
            <w:shd w:fill="FFFFFF"/>
          </w:tcPr>
          <w:p>
            <w:r>
              <w:rPr>
                <w:rFonts w:ascii="Calibri" w:hAnsi="Calibri"/>
                <w:color w:val="202124"/>
                <w:sz w:val="18"/>
              </w:rPr>
              <w:t>22.75</w:t>
            </w:r>
          </w:p>
        </w:tc>
        <w:tc>
          <w:tcPr>
            <w:tcW w:type="dxa" w:w="1296"/>
            <w:vAlign w:val="center"/>
            <w:tcMar>
              <w:top w:w="80" w:type="dxa"/>
              <w:bottom w:w="80" w:type="dxa"/>
              <w:left w:w="100" w:type="dxa"/>
              <w:right w:w="100" w:type="dxa"/>
            </w:tcMar>
            <w:shd w:fill="FFFFFF"/>
          </w:tcPr>
          <w:p>
            <w:r>
              <w:rPr>
                <w:rFonts w:ascii="Calibri" w:hAnsi="Calibri"/>
                <w:color w:val="202124"/>
                <w:sz w:val="18"/>
              </w:rPr>
              <w:t>17.25</w:t>
            </w:r>
          </w:p>
        </w:tc>
        <w:tc>
          <w:tcPr>
            <w:tcW w:type="dxa" w:w="1296"/>
            <w:vAlign w:val="center"/>
            <w:tcMar>
              <w:top w:w="80" w:type="dxa"/>
              <w:bottom w:w="80" w:type="dxa"/>
              <w:left w:w="100" w:type="dxa"/>
              <w:right w:w="100" w:type="dxa"/>
            </w:tcMar>
            <w:shd w:fill="FFFFFF"/>
          </w:tcPr>
          <w:p>
            <w:r>
              <w:rPr>
                <w:rFonts w:ascii="Calibri" w:hAnsi="Calibri"/>
                <w:color w:val="202124"/>
                <w:sz w:val="18"/>
              </w:rPr>
              <w:t>100.0%</w:t>
            </w:r>
          </w:p>
        </w:tc>
        <w:tc>
          <w:tcPr>
            <w:tcW w:type="dxa" w:w="1152"/>
            <w:vAlign w:val="center"/>
            <w:tcMar>
              <w:top w:w="80" w:type="dxa"/>
              <w:bottom w:w="80" w:type="dxa"/>
              <w:left w:w="100" w:type="dxa"/>
              <w:right w:w="100" w:type="dxa"/>
            </w:tcMar>
            <w:shd w:fill="FFFFFF"/>
          </w:tcPr>
          <w:p>
            <w:r>
              <w:rPr>
                <w:rFonts w:ascii="Calibri" w:hAnsi="Calibri"/>
                <w:color w:val="202124"/>
                <w:sz w:val="18"/>
              </w:rPr>
              <w:t>0.1818</w:t>
            </w:r>
          </w:p>
        </w:tc>
      </w:tr>
      <w:tr>
        <w:tc>
          <w:tcPr>
            <w:tcW w:type="dxa" w:w="3168"/>
            <w:vAlign w:val="center"/>
            <w:tcMar>
              <w:top w:w="80" w:type="dxa"/>
              <w:bottom w:w="80" w:type="dxa"/>
              <w:left w:w="100" w:type="dxa"/>
              <w:right w:w="100" w:type="dxa"/>
            </w:tcMar>
            <w:shd w:fill="F8F9FA"/>
          </w:tcPr>
          <w:p>
            <w:r>
              <w:rPr>
                <w:rFonts w:ascii="Calibri" w:hAnsi="Calibri"/>
                <w:color w:val="202124"/>
                <w:sz w:val="18"/>
              </w:rPr>
              <w:t>SJF (Shortest Job First Non-Preempt)</w:t>
            </w:r>
          </w:p>
        </w:tc>
        <w:tc>
          <w:tcPr>
            <w:tcW w:type="dxa" w:w="1296"/>
            <w:vAlign w:val="center"/>
            <w:tcMar>
              <w:top w:w="80" w:type="dxa"/>
              <w:bottom w:w="80" w:type="dxa"/>
              <w:left w:w="100" w:type="dxa"/>
              <w:right w:w="100" w:type="dxa"/>
            </w:tcMar>
            <w:shd w:fill="F8F9FA"/>
          </w:tcPr>
          <w:p>
            <w:r>
              <w:rPr>
                <w:rFonts w:ascii="Calibri" w:hAnsi="Calibri"/>
                <w:color w:val="202124"/>
                <w:sz w:val="18"/>
              </w:rPr>
              <w:t>14.50</w:t>
            </w:r>
          </w:p>
        </w:tc>
        <w:tc>
          <w:tcPr>
            <w:tcW w:type="dxa" w:w="1296"/>
            <w:vAlign w:val="center"/>
            <w:tcMar>
              <w:top w:w="80" w:type="dxa"/>
              <w:bottom w:w="80" w:type="dxa"/>
              <w:left w:w="100" w:type="dxa"/>
              <w:right w:w="100" w:type="dxa"/>
            </w:tcMar>
            <w:shd w:fill="F8F9FA"/>
          </w:tcPr>
          <w:p>
            <w:r>
              <w:rPr>
                <w:rFonts w:ascii="Calibri" w:hAnsi="Calibri"/>
                <w:color w:val="202124"/>
                <w:sz w:val="18"/>
              </w:rPr>
              <w:t>21.38</w:t>
            </w:r>
          </w:p>
        </w:tc>
        <w:tc>
          <w:tcPr>
            <w:tcW w:type="dxa" w:w="1296"/>
            <w:vAlign w:val="center"/>
            <w:tcMar>
              <w:top w:w="80" w:type="dxa"/>
              <w:bottom w:w="80" w:type="dxa"/>
              <w:left w:w="100" w:type="dxa"/>
              <w:right w:w="100" w:type="dxa"/>
            </w:tcMar>
            <w:shd w:fill="F8F9FA"/>
          </w:tcPr>
          <w:p>
            <w:r>
              <w:rPr>
                <w:rFonts w:ascii="Calibri" w:hAnsi="Calibri"/>
                <w:color w:val="202124"/>
                <w:sz w:val="18"/>
              </w:rPr>
              <w:t>14.50</w:t>
            </w:r>
          </w:p>
        </w:tc>
        <w:tc>
          <w:tcPr>
            <w:tcW w:type="dxa" w:w="1296"/>
            <w:vAlign w:val="center"/>
            <w:tcMar>
              <w:top w:w="80" w:type="dxa"/>
              <w:bottom w:w="80" w:type="dxa"/>
              <w:left w:w="100" w:type="dxa"/>
              <w:right w:w="100" w:type="dxa"/>
            </w:tcMar>
            <w:shd w:fill="F8F9FA"/>
          </w:tcPr>
          <w:p>
            <w:r>
              <w:rPr>
                <w:rFonts w:ascii="Calibri" w:hAnsi="Calibri"/>
                <w:color w:val="202124"/>
                <w:sz w:val="18"/>
              </w:rPr>
              <w:t>100.0%</w:t>
            </w:r>
          </w:p>
        </w:tc>
        <w:tc>
          <w:tcPr>
            <w:tcW w:type="dxa" w:w="1152"/>
            <w:vAlign w:val="center"/>
            <w:tcMar>
              <w:top w:w="80" w:type="dxa"/>
              <w:bottom w:w="80" w:type="dxa"/>
              <w:left w:w="100" w:type="dxa"/>
              <w:right w:w="100" w:type="dxa"/>
            </w:tcMar>
            <w:shd w:fill="F8F9FA"/>
          </w:tcPr>
          <w:p>
            <w:r>
              <w:rPr>
                <w:rFonts w:ascii="Calibri" w:hAnsi="Calibri"/>
                <w:color w:val="202124"/>
                <w:sz w:val="18"/>
              </w:rPr>
              <w:t>0.1818</w:t>
            </w:r>
          </w:p>
        </w:tc>
      </w:tr>
      <w:tr>
        <w:tc>
          <w:tcPr>
            <w:tcW w:type="dxa" w:w="3168"/>
            <w:vAlign w:val="center"/>
            <w:tcMar>
              <w:top w:w="80" w:type="dxa"/>
              <w:bottom w:w="80" w:type="dxa"/>
              <w:left w:w="100" w:type="dxa"/>
              <w:right w:w="100" w:type="dxa"/>
            </w:tcMar>
            <w:shd w:fill="FFFFFF"/>
          </w:tcPr>
          <w:p>
            <w:r>
              <w:rPr>
                <w:rFonts w:ascii="Calibri" w:hAnsi="Calibri"/>
                <w:color w:val="202124"/>
                <w:sz w:val="18"/>
              </w:rPr>
              <w:t>Round Robin (Quantum = 4 ms)</w:t>
            </w:r>
          </w:p>
        </w:tc>
        <w:tc>
          <w:tcPr>
            <w:tcW w:type="dxa" w:w="1296"/>
            <w:vAlign w:val="center"/>
            <w:tcMar>
              <w:top w:w="80" w:type="dxa"/>
              <w:bottom w:w="80" w:type="dxa"/>
              <w:left w:w="100" w:type="dxa"/>
              <w:right w:w="100" w:type="dxa"/>
            </w:tcMar>
            <w:shd w:fill="FFFFFF"/>
          </w:tcPr>
          <w:p>
            <w:r>
              <w:rPr>
                <w:rFonts w:ascii="Calibri" w:hAnsi="Calibri"/>
                <w:color w:val="202124"/>
                <w:sz w:val="18"/>
              </w:rPr>
              <w:t>24.88</w:t>
            </w:r>
          </w:p>
        </w:tc>
        <w:tc>
          <w:tcPr>
            <w:tcW w:type="dxa" w:w="1296"/>
            <w:vAlign w:val="center"/>
            <w:tcMar>
              <w:top w:w="80" w:type="dxa"/>
              <w:bottom w:w="80" w:type="dxa"/>
              <w:left w:w="100" w:type="dxa"/>
              <w:right w:w="100" w:type="dxa"/>
            </w:tcMar>
            <w:shd w:fill="FFFFFF"/>
          </w:tcPr>
          <w:p>
            <w:r>
              <w:rPr>
                <w:rFonts w:ascii="Calibri" w:hAnsi="Calibri"/>
                <w:color w:val="202124"/>
                <w:sz w:val="18"/>
              </w:rPr>
              <w:t>31.75</w:t>
            </w:r>
          </w:p>
        </w:tc>
        <w:tc>
          <w:tcPr>
            <w:tcW w:type="dxa" w:w="1296"/>
            <w:vAlign w:val="center"/>
            <w:tcMar>
              <w:top w:w="80" w:type="dxa"/>
              <w:bottom w:w="80" w:type="dxa"/>
              <w:left w:w="100" w:type="dxa"/>
              <w:right w:w="100" w:type="dxa"/>
            </w:tcMar>
            <w:shd w:fill="FFFFFF"/>
          </w:tcPr>
          <w:p>
            <w:r>
              <w:rPr>
                <w:rFonts w:ascii="Calibri" w:hAnsi="Calibri"/>
                <w:color w:val="202124"/>
                <w:sz w:val="18"/>
              </w:rPr>
              <w:t>10.12</w:t>
            </w:r>
          </w:p>
        </w:tc>
        <w:tc>
          <w:tcPr>
            <w:tcW w:type="dxa" w:w="1296"/>
            <w:vAlign w:val="center"/>
            <w:tcMar>
              <w:top w:w="80" w:type="dxa"/>
              <w:bottom w:w="80" w:type="dxa"/>
              <w:left w:w="100" w:type="dxa"/>
              <w:right w:w="100" w:type="dxa"/>
            </w:tcMar>
            <w:shd w:fill="FFFFFF"/>
          </w:tcPr>
          <w:p>
            <w:r>
              <w:rPr>
                <w:rFonts w:ascii="Calibri" w:hAnsi="Calibri"/>
                <w:color w:val="202124"/>
                <w:sz w:val="18"/>
              </w:rPr>
              <w:t>100.0%</w:t>
            </w:r>
          </w:p>
        </w:tc>
        <w:tc>
          <w:tcPr>
            <w:tcW w:type="dxa" w:w="1152"/>
            <w:vAlign w:val="center"/>
            <w:tcMar>
              <w:top w:w="80" w:type="dxa"/>
              <w:bottom w:w="80" w:type="dxa"/>
              <w:left w:w="100" w:type="dxa"/>
              <w:right w:w="100" w:type="dxa"/>
            </w:tcMar>
            <w:shd w:fill="FFFFFF"/>
          </w:tcPr>
          <w:p>
            <w:r>
              <w:rPr>
                <w:rFonts w:ascii="Calibri" w:hAnsi="Calibri"/>
                <w:color w:val="202124"/>
                <w:sz w:val="18"/>
              </w:rPr>
              <w:t>0.1818</w:t>
            </w:r>
          </w:p>
        </w:tc>
      </w:tr>
      <w:tr>
        <w:tc>
          <w:tcPr>
            <w:tcW w:type="dxa" w:w="3168"/>
            <w:vAlign w:val="center"/>
            <w:tcMar>
              <w:top w:w="80" w:type="dxa"/>
              <w:bottom w:w="80" w:type="dxa"/>
              <w:left w:w="100" w:type="dxa"/>
              <w:right w:w="100" w:type="dxa"/>
            </w:tcMar>
            <w:shd w:fill="F8F9FA"/>
          </w:tcPr>
          <w:p>
            <w:r>
              <w:rPr>
                <w:rFonts w:ascii="Calibri" w:hAnsi="Calibri"/>
                <w:color w:val="202124"/>
                <w:sz w:val="18"/>
              </w:rPr>
              <w:t>Preemptive Priority</w:t>
            </w:r>
          </w:p>
        </w:tc>
        <w:tc>
          <w:tcPr>
            <w:tcW w:type="dxa" w:w="1296"/>
            <w:vAlign w:val="center"/>
            <w:tcMar>
              <w:top w:w="80" w:type="dxa"/>
              <w:bottom w:w="80" w:type="dxa"/>
              <w:left w:w="100" w:type="dxa"/>
              <w:right w:w="100" w:type="dxa"/>
            </w:tcMar>
            <w:shd w:fill="F8F9FA"/>
          </w:tcPr>
          <w:p>
            <w:r>
              <w:rPr>
                <w:rFonts w:ascii="Calibri" w:hAnsi="Calibri"/>
                <w:color w:val="202124"/>
                <w:sz w:val="18"/>
              </w:rPr>
              <w:t>15.00</w:t>
            </w:r>
          </w:p>
        </w:tc>
        <w:tc>
          <w:tcPr>
            <w:tcW w:type="dxa" w:w="1296"/>
            <w:vAlign w:val="center"/>
            <w:tcMar>
              <w:top w:w="80" w:type="dxa"/>
              <w:bottom w:w="80" w:type="dxa"/>
              <w:left w:w="100" w:type="dxa"/>
              <w:right w:w="100" w:type="dxa"/>
            </w:tcMar>
            <w:shd w:fill="F8F9FA"/>
          </w:tcPr>
          <w:p>
            <w:r>
              <w:rPr>
                <w:rFonts w:ascii="Calibri" w:hAnsi="Calibri"/>
                <w:color w:val="202124"/>
                <w:sz w:val="18"/>
              </w:rPr>
              <w:t>21.88</w:t>
            </w:r>
          </w:p>
        </w:tc>
        <w:tc>
          <w:tcPr>
            <w:tcW w:type="dxa" w:w="1296"/>
            <w:vAlign w:val="center"/>
            <w:tcMar>
              <w:top w:w="80" w:type="dxa"/>
              <w:bottom w:w="80" w:type="dxa"/>
              <w:left w:w="100" w:type="dxa"/>
              <w:right w:w="100" w:type="dxa"/>
            </w:tcMar>
            <w:shd w:fill="F8F9FA"/>
          </w:tcPr>
          <w:p>
            <w:r>
              <w:rPr>
                <w:rFonts w:ascii="Calibri" w:hAnsi="Calibri"/>
                <w:color w:val="202124"/>
                <w:sz w:val="18"/>
              </w:rPr>
              <w:t>15.00</w:t>
            </w:r>
          </w:p>
        </w:tc>
        <w:tc>
          <w:tcPr>
            <w:tcW w:type="dxa" w:w="1296"/>
            <w:vAlign w:val="center"/>
            <w:tcMar>
              <w:top w:w="80" w:type="dxa"/>
              <w:bottom w:w="80" w:type="dxa"/>
              <w:left w:w="100" w:type="dxa"/>
              <w:right w:w="100" w:type="dxa"/>
            </w:tcMar>
            <w:shd w:fill="F8F9FA"/>
          </w:tcPr>
          <w:p>
            <w:r>
              <w:rPr>
                <w:rFonts w:ascii="Calibri" w:hAnsi="Calibri"/>
                <w:color w:val="202124"/>
                <w:sz w:val="18"/>
              </w:rPr>
              <w:t>100.0%</w:t>
            </w:r>
          </w:p>
        </w:tc>
        <w:tc>
          <w:tcPr>
            <w:tcW w:type="dxa" w:w="1152"/>
            <w:vAlign w:val="center"/>
            <w:tcMar>
              <w:top w:w="80" w:type="dxa"/>
              <w:bottom w:w="80" w:type="dxa"/>
              <w:left w:w="100" w:type="dxa"/>
              <w:right w:w="100" w:type="dxa"/>
            </w:tcMar>
            <w:shd w:fill="F8F9FA"/>
          </w:tcPr>
          <w:p>
            <w:r>
              <w:rPr>
                <w:rFonts w:ascii="Calibri" w:hAnsi="Calibri"/>
                <w:color w:val="202124"/>
                <w:sz w:val="18"/>
              </w:rPr>
              <w:t>0.1818</w:t>
            </w:r>
          </w:p>
        </w:tc>
      </w:tr>
      <w:tr>
        <w:tc>
          <w:tcPr>
            <w:tcW w:type="dxa" w:w="3168"/>
            <w:vAlign w:val="center"/>
            <w:tcMar>
              <w:top w:w="80" w:type="dxa"/>
              <w:bottom w:w="80" w:type="dxa"/>
              <w:left w:w="100" w:type="dxa"/>
              <w:right w:w="100" w:type="dxa"/>
            </w:tcMar>
            <w:shd w:fill="FFFFFF"/>
          </w:tcPr>
          <w:p>
            <w:r>
              <w:rPr>
                <w:rFonts w:ascii="Calibri" w:hAnsi="Calibri"/>
                <w:color w:val="202124"/>
                <w:sz w:val="18"/>
              </w:rPr>
              <w:t>MLFQ (Q0: q=2ms, Q1: q=4ms, Q2: FCFS)</w:t>
            </w:r>
          </w:p>
        </w:tc>
        <w:tc>
          <w:tcPr>
            <w:tcW w:type="dxa" w:w="1296"/>
            <w:vAlign w:val="center"/>
            <w:tcMar>
              <w:top w:w="80" w:type="dxa"/>
              <w:bottom w:w="80" w:type="dxa"/>
              <w:left w:w="100" w:type="dxa"/>
              <w:right w:w="100" w:type="dxa"/>
            </w:tcMar>
            <w:shd w:fill="FFFFFF"/>
          </w:tcPr>
          <w:p>
            <w:r>
              <w:rPr>
                <w:rFonts w:ascii="Calibri" w:hAnsi="Calibri"/>
                <w:color w:val="202124"/>
                <w:sz w:val="18"/>
              </w:rPr>
              <w:t>27.25</w:t>
            </w:r>
          </w:p>
        </w:tc>
        <w:tc>
          <w:tcPr>
            <w:tcW w:type="dxa" w:w="1296"/>
            <w:vAlign w:val="center"/>
            <w:tcMar>
              <w:top w:w="80" w:type="dxa"/>
              <w:bottom w:w="80" w:type="dxa"/>
              <w:left w:w="100" w:type="dxa"/>
              <w:right w:w="100" w:type="dxa"/>
            </w:tcMar>
            <w:shd w:fill="FFFFFF"/>
          </w:tcPr>
          <w:p>
            <w:r>
              <w:rPr>
                <w:rFonts w:ascii="Calibri" w:hAnsi="Calibri"/>
                <w:color w:val="202124"/>
                <w:sz w:val="18"/>
              </w:rPr>
              <w:t>34.12</w:t>
            </w:r>
          </w:p>
        </w:tc>
        <w:tc>
          <w:tcPr>
            <w:tcW w:type="dxa" w:w="1296"/>
            <w:vAlign w:val="center"/>
            <w:tcMar>
              <w:top w:w="80" w:type="dxa"/>
              <w:bottom w:w="80" w:type="dxa"/>
              <w:left w:w="100" w:type="dxa"/>
              <w:right w:w="100" w:type="dxa"/>
            </w:tcMar>
            <w:shd w:fill="FFFFFF"/>
          </w:tcPr>
          <w:p>
            <w:r>
              <w:rPr>
                <w:rFonts w:ascii="Calibri" w:hAnsi="Calibri"/>
                <w:color w:val="202124"/>
                <w:sz w:val="18"/>
              </w:rPr>
              <w:t>3.50</w:t>
            </w:r>
          </w:p>
        </w:tc>
        <w:tc>
          <w:tcPr>
            <w:tcW w:type="dxa" w:w="1296"/>
            <w:vAlign w:val="center"/>
            <w:tcMar>
              <w:top w:w="80" w:type="dxa"/>
              <w:bottom w:w="80" w:type="dxa"/>
              <w:left w:w="100" w:type="dxa"/>
              <w:right w:w="100" w:type="dxa"/>
            </w:tcMar>
            <w:shd w:fill="FFFFFF"/>
          </w:tcPr>
          <w:p>
            <w:r>
              <w:rPr>
                <w:rFonts w:ascii="Calibri" w:hAnsi="Calibri"/>
                <w:color w:val="202124"/>
                <w:sz w:val="18"/>
              </w:rPr>
              <w:t>100.0%</w:t>
            </w:r>
          </w:p>
        </w:tc>
        <w:tc>
          <w:tcPr>
            <w:tcW w:type="dxa" w:w="1152"/>
            <w:vAlign w:val="center"/>
            <w:tcMar>
              <w:top w:w="80" w:type="dxa"/>
              <w:bottom w:w="80" w:type="dxa"/>
              <w:left w:w="100" w:type="dxa"/>
              <w:right w:w="100" w:type="dxa"/>
            </w:tcMar>
            <w:shd w:fill="FFFFFF"/>
          </w:tcPr>
          <w:p>
            <w:r>
              <w:rPr>
                <w:rFonts w:ascii="Calibri" w:hAnsi="Calibri"/>
                <w:color w:val="202124"/>
                <w:sz w:val="18"/>
              </w:rPr>
              <w:t>0.1818</w:t>
            </w:r>
          </w:p>
        </w:tc>
      </w:tr>
    </w:tbl>
    <w:p>
      <w:pPr>
        <w:spacing w:before="120" w:after="40"/>
        <w:jc w:val="center"/>
      </w:pPr>
      <w:r>
        <w:drawing>
          <wp:inline xmlns:a="http://schemas.openxmlformats.org/drawingml/2006/main" xmlns:pic="http://schemas.openxmlformats.org/drawingml/2006/picture">
            <wp:extent cx="5303520" cy="3048410"/>
            <wp:docPr id="1" name="Picture 1"/>
            <wp:cNvGraphicFramePr>
              <a:graphicFrameLocks noChangeAspect="1"/>
            </wp:cNvGraphicFramePr>
            <a:graphic>
              <a:graphicData uri="http://schemas.openxmlformats.org/drawingml/2006/picture">
                <pic:pic>
                  <pic:nvPicPr>
                    <pic:cNvPr id="0" name="cpu_gantt_chart.png"/>
                    <pic:cNvPicPr/>
                  </pic:nvPicPr>
                  <pic:blipFill>
                    <a:blip r:embed="rId9"/>
                    <a:stretch>
                      <a:fillRect/>
                    </a:stretch>
                  </pic:blipFill>
                  <pic:spPr>
                    <a:xfrm>
                      <a:off x="0" y="0"/>
                      <a:ext cx="5303520" cy="3048410"/>
                    </a:xfrm>
                    <a:prstGeom prst="rect"/>
                  </pic:spPr>
                </pic:pic>
              </a:graphicData>
            </a:graphic>
          </wp:inline>
        </w:drawing>
      </w:r>
    </w:p>
    <w:p>
      <w:pPr>
        <w:spacing w:after="160"/>
        <w:jc w:val="center"/>
      </w:pPr>
      <w:r>
        <w:rPr>
          <w:i/>
          <w:color w:val="5F6368"/>
          <w:sz w:val="19"/>
        </w:rPr>
        <w:t>Figure: Visual Gantt Chart Execution Timeline across FCFS, SJF, and Preemptive Priority</w:t>
      </w:r>
    </w:p>
    <w:p>
      <w:pPr>
        <w:spacing w:before="120" w:after="40"/>
        <w:jc w:val="center"/>
      </w:pPr>
      <w:r>
        <w:drawing>
          <wp:inline xmlns:a="http://schemas.openxmlformats.org/drawingml/2006/main" xmlns:pic="http://schemas.openxmlformats.org/drawingml/2006/picture">
            <wp:extent cx="5303520" cy="3160684"/>
            <wp:docPr id="2" name="Picture 2"/>
            <wp:cNvGraphicFramePr>
              <a:graphicFrameLocks noChangeAspect="1"/>
            </wp:cNvGraphicFramePr>
            <a:graphic>
              <a:graphicData uri="http://schemas.openxmlformats.org/drawingml/2006/picture">
                <pic:pic>
                  <pic:nvPicPr>
                    <pic:cNvPr id="0" name="cpu_comparison.png"/>
                    <pic:cNvPicPr/>
                  </pic:nvPicPr>
                  <pic:blipFill>
                    <a:blip r:embed="rId10"/>
                    <a:stretch>
                      <a:fillRect/>
                    </a:stretch>
                  </pic:blipFill>
                  <pic:spPr>
                    <a:xfrm>
                      <a:off x="0" y="0"/>
                      <a:ext cx="5303520" cy="3160684"/>
                    </a:xfrm>
                    <a:prstGeom prst="rect"/>
                  </pic:spPr>
                </pic:pic>
              </a:graphicData>
            </a:graphic>
          </wp:inline>
        </w:drawing>
      </w:r>
    </w:p>
    <w:p>
      <w:pPr>
        <w:spacing w:after="160"/>
        <w:jc w:val="center"/>
      </w:pPr>
      <w:r>
        <w:rPr>
          <w:i/>
          <w:color w:val="5F6368"/>
          <w:sz w:val="19"/>
        </w:rPr>
        <w:t>Figure: Comparative CPU Scheduling Metrics (Waiting, Turnaround, and Response Times)</w:t>
      </w:r>
    </w:p>
    <w:p>
      <w:pPr>
        <w:keepNext/>
        <w:spacing w:before="280" w:after="80"/>
      </w:pPr>
      <w:r>
        <w:rPr>
          <w:rFonts w:ascii="Calibri" w:hAnsi="Calibri"/>
          <w:b/>
          <w:color w:val="1A73E8"/>
          <w:sz w:val="28"/>
        </w:rPr>
        <w:t>8. Concurrency &amp; Readers-Writers Synchronization</w:t>
      </w:r>
    </w:p>
    <w:p>
      <w:pPr>
        <w:spacing w:after="100" w:line="276" w:lineRule="auto"/>
      </w:pPr>
      <w:r>
        <w:t>To model concurrent examination submissions and proctor evaluations, UniCore implements a pure Python Fair Readers-Writers Monitor (`src/synchronization.py`) with Condition Variables. The monitor guarantees three fundamental properties:</w:t>
        <w:br/>
        <w:t>1. Mutual Exclusion: While a writer is updating records, no readers or other writers are admitted.</w:t>
        <w:br/>
        <w:t>2. Concurrent Reads: Multiple reader threads (proctors, analytics, auditors) execute simultaneously.</w:t>
        <w:br/>
        <w:t>3. Starvation Freedom: When a writer enters the wait queue, incoming readers are blocked, guaranteeing bounded writer latency.</w:t>
      </w:r>
    </w:p>
    <w:p>
      <w:pPr>
        <w:spacing w:after="100" w:line="276" w:lineRule="auto"/>
      </w:pPr>
      <w:r>
        <w:t>Empirical Verification: The multi-threaded simulation executed 6 reader threads and 3 writer threads concurrently. The atomic record versioning confirmed zero race conditions, with final state integrity verified in `results/synchronization_results.txt`.</w:t>
      </w:r>
    </w:p>
    <w:p>
      <w:pPr>
        <w:keepNext/>
        <w:spacing w:before="280" w:after="80"/>
      </w:pPr>
      <w:r>
        <w:rPr>
          <w:rFonts w:ascii="Calibri" w:hAnsi="Calibri"/>
          <w:b/>
          <w:color w:val="1A73E8"/>
          <w:sz w:val="28"/>
        </w:rPr>
        <w:t>9. Deadlock Modeling in UniCore</w:t>
      </w:r>
    </w:p>
    <w:p>
      <w:pPr>
        <w:spacing w:after="100" w:line="276" w:lineRule="auto"/>
      </w:pPr>
      <w:r>
        <w:t>Deadlocks in smart universities arise when 4 Coffman conditions hold: Mutual Exclusion, Hold and Wait, No Preemption, and Circular Wait. UniCore employs Banker's Deadlock Avoidance, which dynamically assesses system safety before granting resource claims.</w:t>
      </w:r>
    </w:p>
    <w:p>
      <w:pPr>
        <w:keepNext/>
        <w:spacing w:before="280" w:after="80"/>
      </w:pPr>
      <w:r>
        <w:rPr>
          <w:rFonts w:ascii="Calibri" w:hAnsi="Calibri"/>
          <w:b/>
          <w:color w:val="1A73E8"/>
          <w:sz w:val="28"/>
        </w:rPr>
        <w:t>10. Banker's Algorithm Implementation &amp; Safety Trace</w:t>
      </w:r>
    </w:p>
    <w:p>
      <w:pPr>
        <w:spacing w:after="100" w:line="276" w:lineRule="auto"/>
      </w:pPr>
      <w:r>
        <w:t>The system models 8 processes competing for 4 physical resource types:</w:t>
        <w:br/>
        <w:t>• R1: Database Connection Pool (Total = 10 units)</w:t>
        <w:br/>
        <w:t>• R2: Exam Record File Locks (Total = 6 units)</w:t>
        <w:br/>
        <w:t>• R3: GPU / HPC Compute Cores (Total = 8 units)</w:t>
        <w:br/>
        <w:t>• R4: Disk I/O Channels (Total = 7 units)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40" w:after="80"/>
            </w:pPr>
            <w:r>
              <w:rPr>
                <w:rFonts w:ascii="Calibri" w:hAnsi="Calibri"/>
                <w:b/>
                <w:color w:val="1A73E8"/>
                <w:sz w:val="20"/>
              </w:rPr>
              <w:t>CALCULATION: BANKER'S ALGORITHM MATRIX FORMULATIONS</w:t>
              <w:br/>
            </w:r>
            <w:r>
              <w:rPr>
                <w:rFonts w:ascii="Consolas" w:hAnsi="Consolas"/>
                <w:color w:val="202124"/>
                <w:sz w:val="19"/>
              </w:rPr>
              <w:t>Need Matrix Calculation: Need[i][j] = Maximum[i][j] - Allocation[i][j]</w:t>
              <w:br/>
            </w:r>
            <w:r>
              <w:rPr>
                <w:rFonts w:ascii="Consolas" w:hAnsi="Consolas"/>
                <w:color w:val="202124"/>
                <w:sz w:val="19"/>
              </w:rPr>
              <w:t>Available Vector: Available[j] = Total[j] - Sum_over_i(Allocation[i][j])</w:t>
              <w:br/>
            </w:r>
            <w:r>
              <w:rPr>
                <w:rFonts w:ascii="Consolas" w:hAnsi="Consolas"/>
                <w:color w:val="202124"/>
                <w:sz w:val="19"/>
              </w:rPr>
              <w:t>Allocated Sum = [9, 4, 6, 6]  --&gt;  Initial Available = [10-9, 6-4, 8-6, 7-6] = [1, 2, 2, 1]</w:t>
              <w:br/>
            </w:r>
            <w:r>
              <w:rPr>
                <w:rFonts w:ascii="Consolas" w:hAnsi="Consolas"/>
                <w:color w:val="202124"/>
                <w:sz w:val="19"/>
              </w:rPr>
              <w:t>Initial Safe Sequence: P0 -&gt; P1 -&gt; P2 -&gt; P3 -&gt; P4 -&gt; P5 -&gt; P6 -&gt; P7</w:t>
              <w:br/>
            </w:r>
            <w:r>
              <w:rPr>
                <w:rFonts w:ascii="Consolas" w:hAnsi="Consolas"/>
                <w:color w:val="202124"/>
                <w:sz w:val="19"/>
              </w:rPr>
              <w:t>Adverse Request: P3 requests [1, 2, 0, 0] --&gt; Tentative Work = [0, 0, 2, 1]</w:t>
              <w:br/>
            </w:r>
            <w:r>
              <w:rPr>
                <w:rFonts w:ascii="Consolas" w:hAnsi="Consolas"/>
                <w:color w:val="202124"/>
                <w:sz w:val="19"/>
              </w:rPr>
              <w:t>Safety Check: Need_i &lt;= Work is FALSE for all i (R1=0) --&gt; UNSAFE STATE DETECTED</w:t>
              <w:br/>
            </w:r>
            <w:r>
              <w:rPr>
                <w:rFonts w:ascii="Consolas" w:hAnsi="Consolas"/>
                <w:color w:val="202124"/>
                <w:sz w:val="19"/>
              </w:rPr>
              <w:t>OS Decision: Request REJECTED / SUSPENDED; Transaction Rolled Back.</w:t>
              <w:br/>
            </w:r>
          </w:p>
        </w:tc>
      </w:tr>
    </w:tbl>
    <w:p>
      <w:pPr>
        <w:spacing w:before="40" w:after="120"/>
      </w:pPr>
    </w:p>
    <w:p>
      <w:pPr>
        <w:spacing w:before="120" w:after="40"/>
        <w:jc w:val="center"/>
      </w:pPr>
      <w:r>
        <w:drawing>
          <wp:inline xmlns:a="http://schemas.openxmlformats.org/drawingml/2006/main" xmlns:pic="http://schemas.openxmlformats.org/drawingml/2006/picture">
            <wp:extent cx="5303520" cy="5839229"/>
            <wp:docPr id="3" name="Picture 3"/>
            <wp:cNvGraphicFramePr>
              <a:graphicFrameLocks noChangeAspect="1"/>
            </wp:cNvGraphicFramePr>
            <a:graphic>
              <a:graphicData uri="http://schemas.openxmlformats.org/drawingml/2006/picture">
                <pic:pic>
                  <pic:nvPicPr>
                    <pic:cNvPr id="0" name="bankers_flowchart.png"/>
                    <pic:cNvPicPr/>
                  </pic:nvPicPr>
                  <pic:blipFill>
                    <a:blip r:embed="rId11"/>
                    <a:stretch>
                      <a:fillRect/>
                    </a:stretch>
                  </pic:blipFill>
                  <pic:spPr>
                    <a:xfrm>
                      <a:off x="0" y="0"/>
                      <a:ext cx="5303520" cy="5839229"/>
                    </a:xfrm>
                    <a:prstGeom prst="rect"/>
                  </pic:spPr>
                </pic:pic>
              </a:graphicData>
            </a:graphic>
          </wp:inline>
        </w:drawing>
      </w:r>
    </w:p>
    <w:p>
      <w:pPr>
        <w:spacing w:after="160"/>
        <w:jc w:val="center"/>
      </w:pPr>
      <w:r>
        <w:rPr>
          <w:i/>
          <w:color w:val="5F6368"/>
          <w:sz w:val="19"/>
        </w:rPr>
        <w:t>Figure: Banker's Resource-Request and Safety Verification Decision Logic Flowchart</w:t>
      </w:r>
    </w:p>
    <w:p>
      <w:pPr>
        <w:keepNext/>
        <w:spacing w:before="280" w:after="80"/>
      </w:pPr>
      <w:r>
        <w:rPr>
          <w:rFonts w:ascii="Calibri" w:hAnsi="Calibri"/>
          <w:b/>
          <w:color w:val="1A73E8"/>
          <w:sz w:val="28"/>
        </w:rPr>
        <w:t>11. Virtual Memory Architecture &amp; Hardware Sizing</w:t>
      </w:r>
    </w:p>
    <w:p>
      <w:pPr>
        <w:spacing w:after="100" w:line="276" w:lineRule="auto"/>
      </w:pPr>
      <w:r>
        <w:t>UniCore implements a two-level hierarchical paging scheme with Translation Lookaside Buffer (TLB) acceleration. Hardware calculations and address translation formulas are mathematically derived below:</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40" w:after="80"/>
            </w:pPr>
            <w:r>
              <w:rPr>
                <w:rFonts w:ascii="Calibri" w:hAnsi="Calibri"/>
                <w:b/>
                <w:color w:val="1A73E8"/>
                <w:sz w:val="20"/>
              </w:rPr>
              <w:t>CALCULATION: VIRTUAL MEMORY ARCHITECTURAL SIZING &amp; EMAT CALCULATIONS</w:t>
              <w:br/>
            </w:r>
            <w:r>
              <w:rPr>
                <w:rFonts w:ascii="Consolas" w:hAnsi="Consolas"/>
                <w:color w:val="202124"/>
                <w:sz w:val="19"/>
              </w:rPr>
              <w:t>Physical RAM Size = 16 GB = 16 * 1024 * 1024 * 1024 Bytes = 2^34 Bytes (34-bit PA)</w:t>
              <w:br/>
            </w:r>
            <w:r>
              <w:rPr>
                <w:rFonts w:ascii="Consolas" w:hAnsi="Consolas"/>
                <w:color w:val="202124"/>
                <w:sz w:val="19"/>
              </w:rPr>
              <w:t>Page Size         = 4 KB  = 4 * 1024 Bytes = 2^12 Bytes (12-bit Offset d)</w:t>
              <w:br/>
            </w:r>
            <w:r>
              <w:rPr>
                <w:rFonts w:ascii="Consolas" w:hAnsi="Consolas"/>
                <w:color w:val="202124"/>
                <w:sz w:val="19"/>
              </w:rPr>
              <w:t>Physical Frames   = Physical RAM / Page Size = 2^34 / 2^12 = 2^22 = 4,194,304 Frames</w:t>
              <w:br/>
            </w:r>
            <w:r>
              <w:rPr>
                <w:rFonts w:ascii="Consolas" w:hAnsi="Consolas"/>
                <w:color w:val="202124"/>
                <w:sz w:val="19"/>
              </w:rPr>
              <w:t>Logical Address   = 64 MB = 64 * 1024 * 1024 Bytes = 2^26 Bytes (26-bit LA)</w:t>
              <w:br/>
            </w:r>
            <w:r>
              <w:rPr>
                <w:rFonts w:ascii="Consolas" w:hAnsi="Consolas"/>
                <w:color w:val="202124"/>
                <w:sz w:val="19"/>
              </w:rPr>
              <w:t>Logical Pages     = Logical Address / Page Size = 2^26 / 2^12 = 2^14 = 16,384 Pages</w:t>
              <w:br/>
            </w:r>
            <w:r>
              <w:rPr>
                <w:rFonts w:ascii="Consolas" w:hAnsi="Consolas"/>
                <w:color w:val="202124"/>
                <w:sz w:val="19"/>
              </w:rPr>
              <w:t>Two-Level Split   = 14-bit Page Number = 7-bit Outer Table (p1) + 7-bit Inner Table (p2)</w:t>
              <w:br/>
            </w:r>
            <w:r>
              <w:rPr>
                <w:rFonts w:ascii="Consolas" w:hAnsi="Consolas"/>
                <w:color w:val="202124"/>
                <w:sz w:val="19"/>
              </w:rPr>
              <w:t>EMAT = Hit_Ratio * (t_TLB + t_MEM) + (1 - Hit_Ratio) * (t_TLB + 3 * t_MEM)</w:t>
              <w:br/>
            </w:r>
            <w:r>
              <w:rPr>
                <w:rFonts w:ascii="Consolas" w:hAnsi="Consolas"/>
                <w:color w:val="202124"/>
                <w:sz w:val="19"/>
              </w:rPr>
              <w:t>EMAT = 0.95 * (2 + 50) + 0.05 * (2 + 150) = 0.95 * 52 + 0.05 * 152 = 49.4 + 7.6 = 57.0 ns</w:t>
              <w:br/>
            </w:r>
          </w:p>
        </w:tc>
      </w:tr>
    </w:tbl>
    <w:p>
      <w:pPr>
        <w:spacing w:before="40" w:after="120"/>
      </w:pPr>
    </w:p>
    <w:p>
      <w:pPr>
        <w:spacing w:before="120" w:after="40"/>
        <w:jc w:val="center"/>
      </w:pPr>
      <w:r>
        <w:drawing>
          <wp:inline xmlns:a="http://schemas.openxmlformats.org/drawingml/2006/main" xmlns:pic="http://schemas.openxmlformats.org/drawingml/2006/picture">
            <wp:extent cx="5303520" cy="3357274"/>
            <wp:docPr id="4" name="Picture 4"/>
            <wp:cNvGraphicFramePr>
              <a:graphicFrameLocks noChangeAspect="1"/>
            </wp:cNvGraphicFramePr>
            <a:graphic>
              <a:graphicData uri="http://schemas.openxmlformats.org/drawingml/2006/picture">
                <pic:pic>
                  <pic:nvPicPr>
                    <pic:cNvPr id="0" name="memory_management_diagram.png"/>
                    <pic:cNvPicPr/>
                  </pic:nvPicPr>
                  <pic:blipFill>
                    <a:blip r:embed="rId12"/>
                    <a:stretch>
                      <a:fillRect/>
                    </a:stretch>
                  </pic:blipFill>
                  <pic:spPr>
                    <a:xfrm>
                      <a:off x="0" y="0"/>
                      <a:ext cx="5303520" cy="3357274"/>
                    </a:xfrm>
                    <a:prstGeom prst="rect"/>
                  </pic:spPr>
                </pic:pic>
              </a:graphicData>
            </a:graphic>
          </wp:inline>
        </w:drawing>
      </w:r>
    </w:p>
    <w:p>
      <w:pPr>
        <w:spacing w:after="160"/>
        <w:jc w:val="center"/>
      </w:pPr>
      <w:r>
        <w:rPr>
          <w:i/>
          <w:color w:val="5F6368"/>
          <w:sz w:val="19"/>
        </w:rPr>
        <w:t>Figure: UniCore Two-Level Paging, TLB Translation, and Page-Fault ISR Architecture</w:t>
      </w:r>
    </w:p>
    <w:p>
      <w:pPr>
        <w:keepNext/>
        <w:spacing w:before="280" w:after="80"/>
      </w:pPr>
      <w:r>
        <w:rPr>
          <w:rFonts w:ascii="Calibri" w:hAnsi="Calibri"/>
          <w:b/>
          <w:color w:val="1A73E8"/>
          <w:sz w:val="28"/>
        </w:rPr>
        <w:t>12. Page Replacement Simulation (FIFO vs LRU vs Optimal)</w:t>
      </w:r>
    </w:p>
    <w:p>
      <w:pPr>
        <w:spacing w:after="100" w:line="276" w:lineRule="auto"/>
      </w:pPr>
      <w:r>
        <w:t>A standard 20-page reference sequence (`7, 0, 1, 2, 0, 3, 0, 4, 2, 3, 0, 3, 2, 1, 2, 0, 1, 7, 0, 1`) is evaluated across 3-frame and 4-frame allocations: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3600"/>
            <w:vAlign w:val="center"/>
            <w:tcMar>
              <w:top w:w="80" w:type="dxa"/>
              <w:bottom w:w="80" w:type="dxa"/>
              <w:left w:w="100" w:type="dxa"/>
              <w:right w:w="100" w:type="dxa"/>
            </w:tcMar>
            <w:shd w:fill="1A73E8"/>
          </w:tcPr>
          <w:p>
            <w:pPr>
              <w:jc w:val="left"/>
            </w:pPr>
            <w:r>
              <w:rPr>
                <w:rFonts w:ascii="Calibri" w:hAnsi="Calibri"/>
                <w:b/>
                <w:color w:val="FFFFFF"/>
                <w:sz w:val="19"/>
              </w:rPr>
              <w:t>Replacement Algorithm</w:t>
            </w:r>
          </w:p>
        </w:tc>
        <w:tc>
          <w:tcPr>
            <w:tcW w:type="dxa" w:w="1584"/>
            <w:vAlign w:val="center"/>
            <w:tcMar>
              <w:top w:w="80" w:type="dxa"/>
              <w:bottom w:w="80" w:type="dxa"/>
              <w:left w:w="100" w:type="dxa"/>
              <w:right w:w="100" w:type="dxa"/>
            </w:tcMar>
            <w:shd w:fill="1A73E8"/>
          </w:tcPr>
          <w:p>
            <w:pPr>
              <w:jc w:val="left"/>
            </w:pPr>
            <w:r>
              <w:rPr>
                <w:rFonts w:ascii="Calibri" w:hAnsi="Calibri"/>
                <w:b/>
                <w:color w:val="FFFFFF"/>
                <w:sz w:val="19"/>
              </w:rPr>
              <w:t>3 Frames (Faults)</w:t>
            </w:r>
          </w:p>
        </w:tc>
        <w:tc>
          <w:tcPr>
            <w:tcW w:type="dxa" w:w="1584"/>
            <w:vAlign w:val="center"/>
            <w:tcMar>
              <w:top w:w="80" w:type="dxa"/>
              <w:bottom w:w="80" w:type="dxa"/>
              <w:left w:w="100" w:type="dxa"/>
              <w:right w:w="100" w:type="dxa"/>
            </w:tcMar>
            <w:shd w:fill="1A73E8"/>
          </w:tcPr>
          <w:p>
            <w:pPr>
              <w:jc w:val="left"/>
            </w:pPr>
            <w:r>
              <w:rPr>
                <w:rFonts w:ascii="Calibri" w:hAnsi="Calibri"/>
                <w:b/>
                <w:color w:val="FFFFFF"/>
                <w:sz w:val="19"/>
              </w:rPr>
              <w:t>3 Frames (Hit %)</w:t>
            </w:r>
          </w:p>
        </w:tc>
        <w:tc>
          <w:tcPr>
            <w:tcW w:type="dxa" w:w="1584"/>
            <w:vAlign w:val="center"/>
            <w:tcMar>
              <w:top w:w="80" w:type="dxa"/>
              <w:bottom w:w="80" w:type="dxa"/>
              <w:left w:w="100" w:type="dxa"/>
              <w:right w:w="100" w:type="dxa"/>
            </w:tcMar>
            <w:shd w:fill="1A73E8"/>
          </w:tcPr>
          <w:p>
            <w:pPr>
              <w:jc w:val="left"/>
            </w:pPr>
            <w:r>
              <w:rPr>
                <w:rFonts w:ascii="Calibri" w:hAnsi="Calibri"/>
                <w:b/>
                <w:color w:val="FFFFFF"/>
                <w:sz w:val="19"/>
              </w:rPr>
              <w:t>4 Frames (Faults)</w:t>
            </w:r>
          </w:p>
        </w:tc>
        <w:tc>
          <w:tcPr>
            <w:tcW w:type="dxa" w:w="1584"/>
            <w:vAlign w:val="center"/>
            <w:tcMar>
              <w:top w:w="80" w:type="dxa"/>
              <w:bottom w:w="80" w:type="dxa"/>
              <w:left w:w="100" w:type="dxa"/>
              <w:right w:w="100" w:type="dxa"/>
            </w:tcMar>
            <w:shd w:fill="1A73E8"/>
          </w:tcPr>
          <w:p>
            <w:pPr>
              <w:jc w:val="left"/>
            </w:pPr>
            <w:r>
              <w:rPr>
                <w:rFonts w:ascii="Calibri" w:hAnsi="Calibri"/>
                <w:b/>
                <w:color w:val="FFFFFF"/>
                <w:sz w:val="19"/>
              </w:rPr>
              <w:t>4 Frames (Hit %)</w:t>
            </w:r>
          </w:p>
        </w:tc>
      </w:tr>
      <w:tr>
        <w:tc>
          <w:tcPr>
            <w:tcW w:type="dxa" w:w="3600"/>
            <w:vAlign w:val="center"/>
            <w:tcMar>
              <w:top w:w="80" w:type="dxa"/>
              <w:bottom w:w="80" w:type="dxa"/>
              <w:left w:w="100" w:type="dxa"/>
              <w:right w:w="100" w:type="dxa"/>
            </w:tcMar>
            <w:shd w:fill="FFFFFF"/>
          </w:tcPr>
          <w:p>
            <w:r>
              <w:rPr>
                <w:rFonts w:ascii="Calibri" w:hAnsi="Calibri"/>
                <w:color w:val="202124"/>
                <w:sz w:val="18"/>
              </w:rPr>
              <w:t>FIFO (First-In First-Out)</w:t>
            </w:r>
          </w:p>
        </w:tc>
        <w:tc>
          <w:tcPr>
            <w:tcW w:type="dxa" w:w="1584"/>
            <w:vAlign w:val="center"/>
            <w:tcMar>
              <w:top w:w="80" w:type="dxa"/>
              <w:bottom w:w="80" w:type="dxa"/>
              <w:left w:w="100" w:type="dxa"/>
              <w:right w:w="100" w:type="dxa"/>
            </w:tcMar>
            <w:shd w:fill="FFFFFF"/>
          </w:tcPr>
          <w:p>
            <w:r>
              <w:rPr>
                <w:rFonts w:ascii="Calibri" w:hAnsi="Calibri"/>
                <w:color w:val="202124"/>
                <w:sz w:val="18"/>
              </w:rPr>
              <w:t>15</w:t>
            </w:r>
          </w:p>
        </w:tc>
        <w:tc>
          <w:tcPr>
            <w:tcW w:type="dxa" w:w="1584"/>
            <w:vAlign w:val="center"/>
            <w:tcMar>
              <w:top w:w="80" w:type="dxa"/>
              <w:bottom w:w="80" w:type="dxa"/>
              <w:left w:w="100" w:type="dxa"/>
              <w:right w:w="100" w:type="dxa"/>
            </w:tcMar>
            <w:shd w:fill="FFFFFF"/>
          </w:tcPr>
          <w:p>
            <w:r>
              <w:rPr>
                <w:rFonts w:ascii="Calibri" w:hAnsi="Calibri"/>
                <w:color w:val="202124"/>
                <w:sz w:val="18"/>
              </w:rPr>
              <w:t>25.0%</w:t>
            </w:r>
          </w:p>
        </w:tc>
        <w:tc>
          <w:tcPr>
            <w:tcW w:type="dxa" w:w="1584"/>
            <w:vAlign w:val="center"/>
            <w:tcMar>
              <w:top w:w="80" w:type="dxa"/>
              <w:bottom w:w="80" w:type="dxa"/>
              <w:left w:w="100" w:type="dxa"/>
              <w:right w:w="100" w:type="dxa"/>
            </w:tcMar>
            <w:shd w:fill="FFFFFF"/>
          </w:tcPr>
          <w:p>
            <w:r>
              <w:rPr>
                <w:rFonts w:ascii="Calibri" w:hAnsi="Calibri"/>
                <w:color w:val="202124"/>
                <w:sz w:val="18"/>
              </w:rPr>
              <w:t>10</w:t>
            </w:r>
          </w:p>
        </w:tc>
        <w:tc>
          <w:tcPr>
            <w:tcW w:type="dxa" w:w="1584"/>
            <w:vAlign w:val="center"/>
            <w:tcMar>
              <w:top w:w="80" w:type="dxa"/>
              <w:bottom w:w="80" w:type="dxa"/>
              <w:left w:w="100" w:type="dxa"/>
              <w:right w:w="100" w:type="dxa"/>
            </w:tcMar>
            <w:shd w:fill="FFFFFF"/>
          </w:tcPr>
          <w:p>
            <w:r>
              <w:rPr>
                <w:rFonts w:ascii="Calibri" w:hAnsi="Calibri"/>
                <w:color w:val="202124"/>
                <w:sz w:val="18"/>
              </w:rPr>
              <w:t>50.0%</w:t>
            </w:r>
          </w:p>
        </w:tc>
      </w:tr>
      <w:tr>
        <w:tc>
          <w:tcPr>
            <w:tcW w:type="dxa" w:w="3600"/>
            <w:vAlign w:val="center"/>
            <w:tcMar>
              <w:top w:w="80" w:type="dxa"/>
              <w:bottom w:w="80" w:type="dxa"/>
              <w:left w:w="100" w:type="dxa"/>
              <w:right w:w="100" w:type="dxa"/>
            </w:tcMar>
            <w:shd w:fill="F8F9FA"/>
          </w:tcPr>
          <w:p>
            <w:r>
              <w:rPr>
                <w:rFonts w:ascii="Calibri" w:hAnsi="Calibri"/>
                <w:color w:val="202124"/>
                <w:sz w:val="18"/>
              </w:rPr>
              <w:t>LRU (Least Recently Used - Selected)</w:t>
            </w:r>
          </w:p>
        </w:tc>
        <w:tc>
          <w:tcPr>
            <w:tcW w:type="dxa" w:w="1584"/>
            <w:vAlign w:val="center"/>
            <w:tcMar>
              <w:top w:w="80" w:type="dxa"/>
              <w:bottom w:w="80" w:type="dxa"/>
              <w:left w:w="100" w:type="dxa"/>
              <w:right w:w="100" w:type="dxa"/>
            </w:tcMar>
            <w:shd w:fill="F8F9FA"/>
          </w:tcPr>
          <w:p>
            <w:r>
              <w:rPr>
                <w:rFonts w:ascii="Calibri" w:hAnsi="Calibri"/>
                <w:color w:val="202124"/>
                <w:sz w:val="18"/>
              </w:rPr>
              <w:t>12</w:t>
            </w:r>
          </w:p>
        </w:tc>
        <w:tc>
          <w:tcPr>
            <w:tcW w:type="dxa" w:w="1584"/>
            <w:vAlign w:val="center"/>
            <w:tcMar>
              <w:top w:w="80" w:type="dxa"/>
              <w:bottom w:w="80" w:type="dxa"/>
              <w:left w:w="100" w:type="dxa"/>
              <w:right w:w="100" w:type="dxa"/>
            </w:tcMar>
            <w:shd w:fill="F8F9FA"/>
          </w:tcPr>
          <w:p>
            <w:r>
              <w:rPr>
                <w:rFonts w:ascii="Calibri" w:hAnsi="Calibri"/>
                <w:color w:val="202124"/>
                <w:sz w:val="18"/>
              </w:rPr>
              <w:t>40.0%</w:t>
            </w:r>
          </w:p>
        </w:tc>
        <w:tc>
          <w:tcPr>
            <w:tcW w:type="dxa" w:w="1584"/>
            <w:vAlign w:val="center"/>
            <w:tcMar>
              <w:top w:w="80" w:type="dxa"/>
              <w:bottom w:w="80" w:type="dxa"/>
              <w:left w:w="100" w:type="dxa"/>
              <w:right w:w="100" w:type="dxa"/>
            </w:tcMar>
            <w:shd w:fill="F8F9FA"/>
          </w:tcPr>
          <w:p>
            <w:r>
              <w:rPr>
                <w:rFonts w:ascii="Calibri" w:hAnsi="Calibri"/>
                <w:color w:val="202124"/>
                <w:sz w:val="18"/>
              </w:rPr>
              <w:t>8</w:t>
            </w:r>
          </w:p>
        </w:tc>
        <w:tc>
          <w:tcPr>
            <w:tcW w:type="dxa" w:w="1584"/>
            <w:vAlign w:val="center"/>
            <w:tcMar>
              <w:top w:w="80" w:type="dxa"/>
              <w:bottom w:w="80" w:type="dxa"/>
              <w:left w:w="100" w:type="dxa"/>
              <w:right w:w="100" w:type="dxa"/>
            </w:tcMar>
            <w:shd w:fill="F8F9FA"/>
          </w:tcPr>
          <w:p>
            <w:r>
              <w:rPr>
                <w:rFonts w:ascii="Calibri" w:hAnsi="Calibri"/>
                <w:color w:val="202124"/>
                <w:sz w:val="18"/>
              </w:rPr>
              <w:t>60.0%</w:t>
            </w:r>
          </w:p>
        </w:tc>
      </w:tr>
      <w:tr>
        <w:tc>
          <w:tcPr>
            <w:tcW w:type="dxa" w:w="3600"/>
            <w:vAlign w:val="center"/>
            <w:tcMar>
              <w:top w:w="80" w:type="dxa"/>
              <w:bottom w:w="80" w:type="dxa"/>
              <w:left w:w="100" w:type="dxa"/>
              <w:right w:w="100" w:type="dxa"/>
            </w:tcMar>
            <w:shd w:fill="FFFFFF"/>
          </w:tcPr>
          <w:p>
            <w:r>
              <w:rPr>
                <w:rFonts w:ascii="Calibri" w:hAnsi="Calibri"/>
                <w:color w:val="202124"/>
                <w:sz w:val="18"/>
              </w:rPr>
              <w:t>Optimal (Clairvoyant / MIN Bound)</w:t>
            </w:r>
          </w:p>
        </w:tc>
        <w:tc>
          <w:tcPr>
            <w:tcW w:type="dxa" w:w="1584"/>
            <w:vAlign w:val="center"/>
            <w:tcMar>
              <w:top w:w="80" w:type="dxa"/>
              <w:bottom w:w="80" w:type="dxa"/>
              <w:left w:w="100" w:type="dxa"/>
              <w:right w:w="100" w:type="dxa"/>
            </w:tcMar>
            <w:shd w:fill="FFFFFF"/>
          </w:tcPr>
          <w:p>
            <w:r>
              <w:rPr>
                <w:rFonts w:ascii="Calibri" w:hAnsi="Calibri"/>
                <w:color w:val="202124"/>
                <w:sz w:val="18"/>
              </w:rPr>
              <w:t>9</w:t>
            </w:r>
          </w:p>
        </w:tc>
        <w:tc>
          <w:tcPr>
            <w:tcW w:type="dxa" w:w="1584"/>
            <w:vAlign w:val="center"/>
            <w:tcMar>
              <w:top w:w="80" w:type="dxa"/>
              <w:bottom w:w="80" w:type="dxa"/>
              <w:left w:w="100" w:type="dxa"/>
              <w:right w:w="100" w:type="dxa"/>
            </w:tcMar>
            <w:shd w:fill="FFFFFF"/>
          </w:tcPr>
          <w:p>
            <w:r>
              <w:rPr>
                <w:rFonts w:ascii="Calibri" w:hAnsi="Calibri"/>
                <w:color w:val="202124"/>
                <w:sz w:val="18"/>
              </w:rPr>
              <w:t>55.0%</w:t>
            </w:r>
          </w:p>
        </w:tc>
        <w:tc>
          <w:tcPr>
            <w:tcW w:type="dxa" w:w="1584"/>
            <w:vAlign w:val="center"/>
            <w:tcMar>
              <w:top w:w="80" w:type="dxa"/>
              <w:bottom w:w="80" w:type="dxa"/>
              <w:left w:w="100" w:type="dxa"/>
              <w:right w:w="100" w:type="dxa"/>
            </w:tcMar>
            <w:shd w:fill="FFFFFF"/>
          </w:tcPr>
          <w:p>
            <w:r>
              <w:rPr>
                <w:rFonts w:ascii="Calibri" w:hAnsi="Calibri"/>
                <w:color w:val="202124"/>
                <w:sz w:val="18"/>
              </w:rPr>
              <w:t>8</w:t>
            </w:r>
          </w:p>
        </w:tc>
        <w:tc>
          <w:tcPr>
            <w:tcW w:type="dxa" w:w="1584"/>
            <w:vAlign w:val="center"/>
            <w:tcMar>
              <w:top w:w="80" w:type="dxa"/>
              <w:bottom w:w="80" w:type="dxa"/>
              <w:left w:w="100" w:type="dxa"/>
              <w:right w:w="100" w:type="dxa"/>
            </w:tcMar>
            <w:shd w:fill="FFFFFF"/>
          </w:tcPr>
          <w:p>
            <w:r>
              <w:rPr>
                <w:rFonts w:ascii="Calibri" w:hAnsi="Calibri"/>
                <w:color w:val="202124"/>
                <w:sz w:val="18"/>
              </w:rPr>
              <w:t>60.0%</w:t>
            </w:r>
          </w:p>
        </w:tc>
      </w:tr>
    </w:tbl>
    <w:p>
      <w:pPr>
        <w:spacing w:before="120" w:after="40"/>
        <w:jc w:val="center"/>
      </w:pPr>
      <w:r>
        <w:drawing>
          <wp:inline xmlns:a="http://schemas.openxmlformats.org/drawingml/2006/main" xmlns:pic="http://schemas.openxmlformats.org/drawingml/2006/picture">
            <wp:extent cx="5303520" cy="2227561"/>
            <wp:docPr id="5" name="Picture 5"/>
            <wp:cNvGraphicFramePr>
              <a:graphicFrameLocks noChangeAspect="1"/>
            </wp:cNvGraphicFramePr>
            <a:graphic>
              <a:graphicData uri="http://schemas.openxmlformats.org/drawingml/2006/picture">
                <pic:pic>
                  <pic:nvPicPr>
                    <pic:cNvPr id="0" name="page_fault_comparison.png"/>
                    <pic:cNvPicPr/>
                  </pic:nvPicPr>
                  <pic:blipFill>
                    <a:blip r:embed="rId13"/>
                    <a:stretch>
                      <a:fillRect/>
                    </a:stretch>
                  </pic:blipFill>
                  <pic:spPr>
                    <a:xfrm>
                      <a:off x="0" y="0"/>
                      <a:ext cx="5303520" cy="2227561"/>
                    </a:xfrm>
                    <a:prstGeom prst="rect"/>
                  </pic:spPr>
                </pic:pic>
              </a:graphicData>
            </a:graphic>
          </wp:inline>
        </w:drawing>
      </w:r>
    </w:p>
    <w:p>
      <w:pPr>
        <w:spacing w:after="160"/>
        <w:jc w:val="center"/>
      </w:pPr>
      <w:r>
        <w:rPr>
          <w:i/>
          <w:color w:val="5F6368"/>
          <w:sz w:val="19"/>
        </w:rPr>
        <w:t>Figure: Page Fault Comparison on Standard Workload and Empirical Proof of Belady's Anomaly</w:t>
      </w:r>
    </w:p>
    <w:p>
      <w:pPr>
        <w:keepNext/>
        <w:spacing w:before="280" w:after="80"/>
      </w:pPr>
      <w:r>
        <w:rPr>
          <w:rFonts w:ascii="Calibri" w:hAnsi="Calibri"/>
          <w:b/>
          <w:color w:val="1A73E8"/>
          <w:sz w:val="28"/>
        </w:rPr>
        <w:t>13. Demand Paging &amp; Page-Fault Handling</w:t>
      </w:r>
    </w:p>
    <w:p>
      <w:pPr>
        <w:spacing w:after="100" w:line="276" w:lineRule="auto"/>
      </w:pPr>
      <w:r>
        <w:t>Under pure demand paging, pages are loaded into physical frames only upon reference. When an invalid page table bit is encountered, the MMU traps to the OS kernel page-fault interrupt service routine (ISR), reads the block from secondary storage, updates the frame table, and restarts the interrupted instruction.</w:t>
      </w:r>
    </w:p>
    <w:p>
      <w:pPr>
        <w:keepNext/>
        <w:spacing w:before="280" w:after="80"/>
      </w:pPr>
      <w:r>
        <w:rPr>
          <w:rFonts w:ascii="Calibri" w:hAnsi="Calibri"/>
          <w:b/>
          <w:color w:val="1A73E8"/>
          <w:sz w:val="28"/>
        </w:rPr>
        <w:t>14. Working-Set Model &amp; Locality Principle</w:t>
      </w:r>
    </w:p>
    <w:p>
      <w:pPr>
        <w:spacing w:after="100" w:line="276" w:lineRule="auto"/>
      </w:pPr>
      <w:r>
        <w:t>The working set W(t, Delta) defines the set of pages referenced in the most recent Delta time window. By ensuring each active process is allocated its minimum working-set frame quota, UniCore prevents inter-process page stealing.</w:t>
      </w:r>
    </w:p>
    <w:p>
      <w:pPr>
        <w:keepNext/>
        <w:spacing w:before="280" w:after="80"/>
      </w:pPr>
      <w:r>
        <w:rPr>
          <w:rFonts w:ascii="Calibri" w:hAnsi="Calibri"/>
          <w:b/>
          <w:color w:val="1A73E8"/>
          <w:sz w:val="28"/>
        </w:rPr>
        <w:t>15. Thrashing Prevention Under 800 Concurrent Exam Users</w:t>
      </w:r>
    </w:p>
    <w:p>
      <w:pPr>
        <w:spacing w:after="100" w:line="276" w:lineRule="auto"/>
      </w:pPr>
      <w:r>
        <w:t>Thrashing occurs when total memory demand exceeds physical frame capacity (Sum(W_i) &gt; M). For 800 concurrent examination sessions requiring 14 active pages (56 KB) each, total active demand is 43.75 MB (11,200 pages). Because UniCore allocates a 400 MB frame pool, memory pressure is only 11.2%, completely eliminating thrashing risk.</w:t>
      </w:r>
    </w:p>
    <w:p>
      <w:pPr>
        <w:keepNext/>
        <w:spacing w:before="280" w:after="80"/>
      </w:pPr>
      <w:r>
        <w:rPr>
          <w:rFonts w:ascii="Calibri" w:hAnsi="Calibri"/>
          <w:b/>
          <w:color w:val="1A73E8"/>
          <w:sz w:val="28"/>
        </w:rPr>
        <w:t>16. File Allocation Strategies &amp; Workload Analysis</w:t>
      </w:r>
    </w:p>
    <w:p>
      <w:pPr>
        <w:spacing w:after="100" w:line="276" w:lineRule="auto"/>
      </w:pPr>
      <w:r>
        <w:t>UniCore evaluates Contiguous, Linked, and Unix Inode Indexed Allocation across three university workloads: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vAlign w:val="center"/>
            <w:tcMar>
              <w:top w:w="80" w:type="dxa"/>
              <w:bottom w:w="80" w:type="dxa"/>
              <w:left w:w="100" w:type="dxa"/>
              <w:right w:w="100" w:type="dxa"/>
            </w:tcMar>
            <w:shd w:fill="1A73E8"/>
          </w:tcPr>
          <w:p>
            <w:pPr>
              <w:jc w:val="left"/>
            </w:pPr>
            <w:r>
              <w:rPr>
                <w:rFonts w:ascii="Calibri" w:hAnsi="Calibri"/>
                <w:b/>
                <w:color w:val="FFFFFF"/>
                <w:sz w:val="19"/>
              </w:rPr>
              <w:t>Workload Tier</w:t>
            </w:r>
          </w:p>
        </w:tc>
        <w:tc>
          <w:tcPr>
            <w:tcW w:type="dxa" w:w="1584"/>
            <w:vAlign w:val="center"/>
            <w:tcMar>
              <w:top w:w="80" w:type="dxa"/>
              <w:bottom w:w="80" w:type="dxa"/>
              <w:left w:w="100" w:type="dxa"/>
              <w:right w:w="100" w:type="dxa"/>
            </w:tcMar>
            <w:shd w:fill="1A73E8"/>
          </w:tcPr>
          <w:p>
            <w:pPr>
              <w:jc w:val="left"/>
            </w:pPr>
            <w:r>
              <w:rPr>
                <w:rFonts w:ascii="Calibri" w:hAnsi="Calibri"/>
                <w:b/>
                <w:color w:val="FFFFFF"/>
                <w:sz w:val="19"/>
              </w:rPr>
              <w:t>Typical Size</w:t>
            </w:r>
          </w:p>
        </w:tc>
        <w:tc>
          <w:tcPr>
            <w:tcW w:type="dxa" w:w="1584"/>
            <w:vAlign w:val="center"/>
            <w:tcMar>
              <w:top w:w="80" w:type="dxa"/>
              <w:bottom w:w="80" w:type="dxa"/>
              <w:left w:w="100" w:type="dxa"/>
              <w:right w:w="100" w:type="dxa"/>
            </w:tcMar>
            <w:shd w:fill="1A73E8"/>
          </w:tcPr>
          <w:p>
            <w:pPr>
              <w:jc w:val="left"/>
            </w:pPr>
            <w:r>
              <w:rPr>
                <w:rFonts w:ascii="Calibri" w:hAnsi="Calibri"/>
                <w:b/>
                <w:color w:val="FFFFFF"/>
                <w:sz w:val="19"/>
              </w:rPr>
              <w:t>Contiguous Alloc</w:t>
            </w:r>
          </w:p>
        </w:tc>
        <w:tc>
          <w:tcPr>
            <w:tcW w:type="dxa" w:w="1584"/>
            <w:vAlign w:val="center"/>
            <w:tcMar>
              <w:top w:w="80" w:type="dxa"/>
              <w:bottom w:w="80" w:type="dxa"/>
              <w:left w:w="100" w:type="dxa"/>
              <w:right w:w="100" w:type="dxa"/>
            </w:tcMar>
            <w:shd w:fill="1A73E8"/>
          </w:tcPr>
          <w:p>
            <w:pPr>
              <w:jc w:val="left"/>
            </w:pPr>
            <w:r>
              <w:rPr>
                <w:rFonts w:ascii="Calibri" w:hAnsi="Calibri"/>
                <w:b/>
                <w:color w:val="FFFFFF"/>
                <w:sz w:val="19"/>
              </w:rPr>
              <w:t>Linked Alloc</w:t>
            </w:r>
          </w:p>
        </w:tc>
        <w:tc>
          <w:tcPr>
            <w:tcW w:type="dxa" w:w="1584"/>
            <w:vAlign w:val="center"/>
            <w:tcMar>
              <w:top w:w="80" w:type="dxa"/>
              <w:bottom w:w="80" w:type="dxa"/>
              <w:left w:w="100" w:type="dxa"/>
              <w:right w:w="100" w:type="dxa"/>
            </w:tcMar>
            <w:shd w:fill="1A73E8"/>
          </w:tcPr>
          <w:p>
            <w:pPr>
              <w:jc w:val="left"/>
            </w:pPr>
            <w:r>
              <w:rPr>
                <w:rFonts w:ascii="Calibri" w:hAnsi="Calibri"/>
                <w:b/>
                <w:color w:val="FFFFFF"/>
                <w:sz w:val="19"/>
              </w:rPr>
              <w:t>Indexed Alloc (Inode)</w:t>
            </w:r>
          </w:p>
        </w:tc>
        <w:tc>
          <w:tcPr>
            <w:tcW w:type="dxa" w:w="1584"/>
            <w:vAlign w:val="center"/>
            <w:tcMar>
              <w:top w:w="80" w:type="dxa"/>
              <w:bottom w:w="80" w:type="dxa"/>
              <w:left w:w="100" w:type="dxa"/>
              <w:right w:w="100" w:type="dxa"/>
            </w:tcMar>
            <w:shd w:fill="1A73E8"/>
          </w:tcPr>
          <w:p>
            <w:pPr>
              <w:jc w:val="left"/>
            </w:pPr>
            <w:r>
              <w:rPr>
                <w:rFonts w:ascii="Calibri" w:hAnsi="Calibri"/>
                <w:b/>
                <w:color w:val="FFFFFF"/>
                <w:sz w:val="19"/>
              </w:rPr>
              <w:t>Strategic Verdict</w:t>
            </w:r>
          </w:p>
        </w:tc>
      </w:tr>
      <w:tr>
        <w:tc>
          <w:tcPr>
            <w:tcW w:type="dxa" w:w="2160"/>
            <w:vAlign w:val="center"/>
            <w:tcMar>
              <w:top w:w="80" w:type="dxa"/>
              <w:bottom w:w="80" w:type="dxa"/>
              <w:left w:w="100" w:type="dxa"/>
              <w:right w:w="100" w:type="dxa"/>
            </w:tcMar>
            <w:shd w:fill="FFFFFF"/>
          </w:tcPr>
          <w:p>
            <w:r>
              <w:rPr>
                <w:rFonts w:ascii="Calibri" w:hAnsi="Calibri"/>
                <w:color w:val="202124"/>
                <w:sz w:val="18"/>
              </w:rPr>
              <w:t>Small Student Records</w:t>
            </w:r>
          </w:p>
        </w:tc>
        <w:tc>
          <w:tcPr>
            <w:tcW w:type="dxa" w:w="1584"/>
            <w:vAlign w:val="center"/>
            <w:tcMar>
              <w:top w:w="80" w:type="dxa"/>
              <w:bottom w:w="80" w:type="dxa"/>
              <w:left w:w="100" w:type="dxa"/>
              <w:right w:w="100" w:type="dxa"/>
            </w:tcMar>
            <w:shd w:fill="FFFFFF"/>
          </w:tcPr>
          <w:p>
            <w:r>
              <w:rPr>
                <w:rFonts w:ascii="Calibri" w:hAnsi="Calibri"/>
                <w:color w:val="202124"/>
                <w:sz w:val="18"/>
              </w:rPr>
              <w:t>2.5 KB (1 blk)</w:t>
            </w:r>
          </w:p>
        </w:tc>
        <w:tc>
          <w:tcPr>
            <w:tcW w:type="dxa" w:w="1584"/>
            <w:vAlign w:val="center"/>
            <w:tcMar>
              <w:top w:w="80" w:type="dxa"/>
              <w:bottom w:w="80" w:type="dxa"/>
              <w:left w:w="100" w:type="dxa"/>
              <w:right w:w="100" w:type="dxa"/>
            </w:tcMar>
            <w:shd w:fill="FFFFFF"/>
          </w:tcPr>
          <w:p>
            <w:r>
              <w:rPr>
                <w:rFonts w:ascii="Calibri" w:hAnsi="Calibri"/>
                <w:color w:val="202124"/>
                <w:sz w:val="18"/>
              </w:rPr>
              <w:t>Fast O(1), Fragile</w:t>
            </w:r>
          </w:p>
        </w:tc>
        <w:tc>
          <w:tcPr>
            <w:tcW w:type="dxa" w:w="1584"/>
            <w:vAlign w:val="center"/>
            <w:tcMar>
              <w:top w:w="80" w:type="dxa"/>
              <w:bottom w:w="80" w:type="dxa"/>
              <w:left w:w="100" w:type="dxa"/>
              <w:right w:w="100" w:type="dxa"/>
            </w:tcMar>
            <w:shd w:fill="FFFFFF"/>
          </w:tcPr>
          <w:p>
            <w:r>
              <w:rPr>
                <w:rFonts w:ascii="Calibri" w:hAnsi="Calibri"/>
                <w:color w:val="202124"/>
                <w:sz w:val="18"/>
              </w:rPr>
              <w:t>O(N) seek, 4B ptr</w:t>
            </w:r>
          </w:p>
        </w:tc>
        <w:tc>
          <w:tcPr>
            <w:tcW w:type="dxa" w:w="1584"/>
            <w:vAlign w:val="center"/>
            <w:tcMar>
              <w:top w:w="80" w:type="dxa"/>
              <w:bottom w:w="80" w:type="dxa"/>
              <w:left w:w="100" w:type="dxa"/>
              <w:right w:w="100" w:type="dxa"/>
            </w:tcMar>
            <w:shd w:fill="FFFFFF"/>
          </w:tcPr>
          <w:p>
            <w:r>
              <w:rPr>
                <w:rFonts w:ascii="Calibri" w:hAnsi="Calibri"/>
                <w:color w:val="202124"/>
                <w:sz w:val="18"/>
              </w:rPr>
              <w:t>O(1) Direct (9/10)</w:t>
            </w:r>
          </w:p>
        </w:tc>
        <w:tc>
          <w:tcPr>
            <w:tcW w:type="dxa" w:w="1584"/>
            <w:vAlign w:val="center"/>
            <w:tcMar>
              <w:top w:w="80" w:type="dxa"/>
              <w:bottom w:w="80" w:type="dxa"/>
              <w:left w:w="100" w:type="dxa"/>
              <w:right w:w="100" w:type="dxa"/>
            </w:tcMar>
            <w:shd w:fill="FFFFFF"/>
          </w:tcPr>
          <w:p>
            <w:r>
              <w:rPr>
                <w:rFonts w:ascii="Calibri" w:hAnsi="Calibri"/>
                <w:color w:val="202124"/>
                <w:sz w:val="18"/>
              </w:rPr>
              <w:t>Indexed Inode (Direct)</w:t>
            </w:r>
          </w:p>
        </w:tc>
      </w:tr>
      <w:tr>
        <w:tc>
          <w:tcPr>
            <w:tcW w:type="dxa" w:w="2160"/>
            <w:vAlign w:val="center"/>
            <w:tcMar>
              <w:top w:w="80" w:type="dxa"/>
              <w:bottom w:w="80" w:type="dxa"/>
              <w:left w:w="100" w:type="dxa"/>
              <w:right w:w="100" w:type="dxa"/>
            </w:tcMar>
            <w:shd w:fill="F8F9FA"/>
          </w:tcPr>
          <w:p>
            <w:r>
              <w:rPr>
                <w:rFonts w:ascii="Calibri" w:hAnsi="Calibri"/>
                <w:color w:val="202124"/>
                <w:sz w:val="18"/>
              </w:rPr>
              <w:t>Medium Documents</w:t>
            </w:r>
          </w:p>
        </w:tc>
        <w:tc>
          <w:tcPr>
            <w:tcW w:type="dxa" w:w="1584"/>
            <w:vAlign w:val="center"/>
            <w:tcMar>
              <w:top w:w="80" w:type="dxa"/>
              <w:bottom w:w="80" w:type="dxa"/>
              <w:left w:w="100" w:type="dxa"/>
              <w:right w:w="100" w:type="dxa"/>
            </w:tcMar>
            <w:shd w:fill="F8F9FA"/>
          </w:tcPr>
          <w:p>
            <w:r>
              <w:rPr>
                <w:rFonts w:ascii="Calibri" w:hAnsi="Calibri"/>
                <w:color w:val="202124"/>
                <w:sz w:val="18"/>
              </w:rPr>
              <w:t>2.0 MB (512 blk)</w:t>
            </w:r>
          </w:p>
        </w:tc>
        <w:tc>
          <w:tcPr>
            <w:tcW w:type="dxa" w:w="1584"/>
            <w:vAlign w:val="center"/>
            <w:tcMar>
              <w:top w:w="80" w:type="dxa"/>
              <w:bottom w:w="80" w:type="dxa"/>
              <w:left w:w="100" w:type="dxa"/>
              <w:right w:w="100" w:type="dxa"/>
            </w:tcMar>
            <w:shd w:fill="F8F9FA"/>
          </w:tcPr>
          <w:p>
            <w:r>
              <w:rPr>
                <w:rFonts w:ascii="Calibri" w:hAnsi="Calibri"/>
                <w:color w:val="202124"/>
                <w:sz w:val="18"/>
              </w:rPr>
              <w:t>Ext. Fragmentation</w:t>
            </w:r>
          </w:p>
        </w:tc>
        <w:tc>
          <w:tcPr>
            <w:tcW w:type="dxa" w:w="1584"/>
            <w:vAlign w:val="center"/>
            <w:tcMar>
              <w:top w:w="80" w:type="dxa"/>
              <w:bottom w:w="80" w:type="dxa"/>
              <w:left w:w="100" w:type="dxa"/>
              <w:right w:w="100" w:type="dxa"/>
            </w:tcMar>
            <w:shd w:fill="F8F9FA"/>
          </w:tcPr>
          <w:p>
            <w:r>
              <w:rPr>
                <w:rFonts w:ascii="Calibri" w:hAnsi="Calibri"/>
                <w:color w:val="202124"/>
                <w:sz w:val="18"/>
              </w:rPr>
              <w:t>Slow O(N) seeker</w:t>
            </w:r>
          </w:p>
        </w:tc>
        <w:tc>
          <w:tcPr>
            <w:tcW w:type="dxa" w:w="1584"/>
            <w:vAlign w:val="center"/>
            <w:tcMar>
              <w:top w:w="80" w:type="dxa"/>
              <w:bottom w:w="80" w:type="dxa"/>
              <w:left w:w="100" w:type="dxa"/>
              <w:right w:w="100" w:type="dxa"/>
            </w:tcMar>
            <w:shd w:fill="F8F9FA"/>
          </w:tcPr>
          <w:p>
            <w:r>
              <w:rPr>
                <w:rFonts w:ascii="Calibri" w:hAnsi="Calibri"/>
                <w:color w:val="202124"/>
                <w:sz w:val="18"/>
              </w:rPr>
              <w:t>O(1) Single-Ind (10/10)</w:t>
            </w:r>
          </w:p>
        </w:tc>
        <w:tc>
          <w:tcPr>
            <w:tcW w:type="dxa" w:w="1584"/>
            <w:vAlign w:val="center"/>
            <w:tcMar>
              <w:top w:w="80" w:type="dxa"/>
              <w:bottom w:w="80" w:type="dxa"/>
              <w:left w:w="100" w:type="dxa"/>
              <w:right w:w="100" w:type="dxa"/>
            </w:tcMar>
            <w:shd w:fill="F8F9FA"/>
          </w:tcPr>
          <w:p>
            <w:r>
              <w:rPr>
                <w:rFonts w:ascii="Calibri" w:hAnsi="Calibri"/>
                <w:color w:val="202124"/>
                <w:sz w:val="18"/>
              </w:rPr>
              <w:t>Indexed Inode (1-Ind)</w:t>
            </w:r>
          </w:p>
        </w:tc>
      </w:tr>
      <w:tr>
        <w:tc>
          <w:tcPr>
            <w:tcW w:type="dxa" w:w="2160"/>
            <w:vAlign w:val="center"/>
            <w:tcMar>
              <w:top w:w="80" w:type="dxa"/>
              <w:bottom w:w="80" w:type="dxa"/>
              <w:left w:w="100" w:type="dxa"/>
              <w:right w:w="100" w:type="dxa"/>
            </w:tcMar>
            <w:shd w:fill="FFFFFF"/>
          </w:tcPr>
          <w:p>
            <w:r>
              <w:rPr>
                <w:rFonts w:ascii="Calibri" w:hAnsi="Calibri"/>
                <w:color w:val="202124"/>
                <w:sz w:val="18"/>
              </w:rPr>
              <w:t>Large Lecture Videos</w:t>
            </w:r>
          </w:p>
        </w:tc>
        <w:tc>
          <w:tcPr>
            <w:tcW w:type="dxa" w:w="1584"/>
            <w:vAlign w:val="center"/>
            <w:tcMar>
              <w:top w:w="80" w:type="dxa"/>
              <w:bottom w:w="80" w:type="dxa"/>
              <w:left w:w="100" w:type="dxa"/>
              <w:right w:w="100" w:type="dxa"/>
            </w:tcMar>
            <w:shd w:fill="FFFFFF"/>
          </w:tcPr>
          <w:p>
            <w:r>
              <w:rPr>
                <w:rFonts w:ascii="Calibri" w:hAnsi="Calibri"/>
                <w:color w:val="202124"/>
                <w:sz w:val="18"/>
              </w:rPr>
              <w:t>1.0 GB (262k blk)</w:t>
            </w:r>
          </w:p>
        </w:tc>
        <w:tc>
          <w:tcPr>
            <w:tcW w:type="dxa" w:w="1584"/>
            <w:vAlign w:val="center"/>
            <w:tcMar>
              <w:top w:w="80" w:type="dxa"/>
              <w:bottom w:w="80" w:type="dxa"/>
              <w:left w:w="100" w:type="dxa"/>
              <w:right w:w="100" w:type="dxa"/>
            </w:tcMar>
            <w:shd w:fill="FFFFFF"/>
          </w:tcPr>
          <w:p>
            <w:r>
              <w:rPr>
                <w:rFonts w:ascii="Calibri" w:hAnsi="Calibri"/>
                <w:color w:val="202124"/>
                <w:sz w:val="18"/>
              </w:rPr>
              <w:t>Fails allocation</w:t>
            </w:r>
          </w:p>
        </w:tc>
        <w:tc>
          <w:tcPr>
            <w:tcW w:type="dxa" w:w="1584"/>
            <w:vAlign w:val="center"/>
            <w:tcMar>
              <w:top w:w="80" w:type="dxa"/>
              <w:bottom w:w="80" w:type="dxa"/>
              <w:left w:w="100" w:type="dxa"/>
              <w:right w:w="100" w:type="dxa"/>
            </w:tcMar>
            <w:shd w:fill="FFFFFF"/>
          </w:tcPr>
          <w:p>
            <w:r>
              <w:rPr>
                <w:rFonts w:ascii="Calibri" w:hAnsi="Calibri"/>
                <w:color w:val="202124"/>
                <w:sz w:val="18"/>
              </w:rPr>
              <w:t>Unusable for stream</w:t>
            </w:r>
          </w:p>
        </w:tc>
        <w:tc>
          <w:tcPr>
            <w:tcW w:type="dxa" w:w="1584"/>
            <w:vAlign w:val="center"/>
            <w:tcMar>
              <w:top w:w="80" w:type="dxa"/>
              <w:bottom w:w="80" w:type="dxa"/>
              <w:left w:w="100" w:type="dxa"/>
              <w:right w:w="100" w:type="dxa"/>
            </w:tcMar>
            <w:shd w:fill="FFFFFF"/>
          </w:tcPr>
          <w:p>
            <w:r>
              <w:rPr>
                <w:rFonts w:ascii="Calibri" w:hAnsi="Calibri"/>
                <w:color w:val="202124"/>
                <w:sz w:val="18"/>
              </w:rPr>
              <w:t>O(1) Multi-Ind (9/10)</w:t>
            </w:r>
          </w:p>
        </w:tc>
        <w:tc>
          <w:tcPr>
            <w:tcW w:type="dxa" w:w="1584"/>
            <w:vAlign w:val="center"/>
            <w:tcMar>
              <w:top w:w="80" w:type="dxa"/>
              <w:bottom w:w="80" w:type="dxa"/>
              <w:left w:w="100" w:type="dxa"/>
              <w:right w:w="100" w:type="dxa"/>
            </w:tcMar>
            <w:shd w:fill="FFFFFF"/>
          </w:tcPr>
          <w:p>
            <w:r>
              <w:rPr>
                <w:rFonts w:ascii="Calibri" w:hAnsi="Calibri"/>
                <w:color w:val="202124"/>
                <w:sz w:val="18"/>
              </w:rPr>
              <w:t>Indexed Inode (2-Ind)</w:t>
            </w:r>
          </w:p>
        </w:tc>
      </w:tr>
    </w:tbl>
    <w:p>
      <w:pPr>
        <w:keepNext/>
        <w:spacing w:before="280" w:after="80"/>
      </w:pPr>
      <w:r>
        <w:rPr>
          <w:rFonts w:ascii="Calibri" w:hAnsi="Calibri"/>
          <w:b/>
          <w:color w:val="1A73E8"/>
          <w:sz w:val="28"/>
        </w:rPr>
        <w:t>17. Disk Scheduling Simulation on 200 Cylinders</w:t>
      </w:r>
    </w:p>
    <w:p>
      <w:pPr>
        <w:spacing w:after="100" w:line="276" w:lineRule="auto"/>
      </w:pPr>
      <w:r>
        <w:t>The secondary storage subsystem processes 10 cylinder requests (`98, 183, 37, 122, 14, 124, 65, 67, 190, 45`) starting from Head = 53 moving in direction HIGH (towards cylinder 199):</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40" w:after="80"/>
            </w:pPr>
            <w:r>
              <w:rPr>
                <w:rFonts w:ascii="Calibri" w:hAnsi="Calibri"/>
                <w:b/>
                <w:color w:val="1A73E8"/>
                <w:sz w:val="20"/>
              </w:rPr>
              <w:t>CALCULATION: TOTAL HEAD MOVEMENT (THM) &amp; AVERAGE SEEK LENGTH (ASL)</w:t>
              <w:br/>
            </w:r>
            <w:r>
              <w:rPr>
                <w:rFonts w:ascii="Consolas" w:hAnsi="Consolas"/>
                <w:color w:val="202124"/>
                <w:sz w:val="19"/>
              </w:rPr>
              <w:t>Total Head Movement (THM) = Sum of |Cylinder_(i+1) - Cylinder_i| across seek trajectory</w:t>
              <w:br/>
            </w:r>
            <w:r>
              <w:rPr>
                <w:rFonts w:ascii="Consolas" w:hAnsi="Consolas"/>
                <w:color w:val="202124"/>
                <w:sz w:val="19"/>
              </w:rPr>
              <w:t>Average Seek Length (ASL) = THM / Number of Requests (N = 10)</w:t>
              <w:br/>
            </w:r>
            <w:r>
              <w:rPr>
                <w:rFonts w:ascii="Consolas" w:hAnsi="Consolas"/>
                <w:color w:val="202124"/>
                <w:sz w:val="19"/>
              </w:rPr>
              <w:t>FCFS Sequence: 53 -&gt; 98 -&gt; 183 -&gt; 37 -&gt; 122 -&gt; 14 -&gt; 124 -&gt; 65 -&gt; 67 -&gt; 190 -&gt; 45 (THM = 908 cyl, ASL = 90.80 cyl/req)</w:t>
              <w:br/>
            </w:r>
            <w:r>
              <w:rPr>
                <w:rFonts w:ascii="Consolas" w:hAnsi="Consolas"/>
                <w:color w:val="202124"/>
                <w:sz w:val="19"/>
              </w:rPr>
              <w:t>SSTF Sequence: 53 -&gt; 45 -&gt; 37 -&gt; 14 -&gt; 65 -&gt; 67 -&gt; 98 -&gt; 122 -&gt; 124 -&gt; 183 -&gt; 190 (THM = 215 cyl, ASL = 21.50 cyl/req)</w:t>
              <w:br/>
            </w:r>
            <w:r>
              <w:rPr>
                <w:rFonts w:ascii="Consolas" w:hAnsi="Consolas"/>
                <w:color w:val="202124"/>
                <w:sz w:val="19"/>
              </w:rPr>
              <w:t>SCAN Sequence: 53 -&gt; 65 -&gt; 67 -&gt; 98 -&gt; 122 -&gt; 124 -&gt; 183 -&gt; 190 -&gt; 199 -&gt; 45 -&gt; 37 -&gt; 14 (THM = 331 cyl, ASL = 33.10 cyl/req)</w:t>
              <w:br/>
            </w:r>
            <w:r>
              <w:rPr>
                <w:rFonts w:ascii="Consolas" w:hAnsi="Consolas"/>
                <w:color w:val="202124"/>
                <w:sz w:val="19"/>
              </w:rPr>
              <w:t>C-SCAN Seq   : 53 -&gt; 65 -&gt; 67 -&gt; 98 -&gt; 122 -&gt; 124 -&gt; 183 -&gt; 190 -&gt; 199 -&gt; 0 -&gt; 14 -&gt; 37 -&gt; 45 (THM = 390 cyl, ASL = 39.00 cyl/req)</w:t>
              <w:br/>
            </w:r>
            <w:r>
              <w:rPr>
                <w:rFonts w:ascii="Consolas" w:hAnsi="Consolas"/>
                <w:color w:val="202124"/>
                <w:sz w:val="19"/>
              </w:rPr>
              <w:t>LOOK Seq     : 53 -&gt; 65 -&gt; 67 -&gt; 98 -&gt; 122 -&gt; 124 -&gt; 183 -&gt; 190 -&gt; 45 -&gt; 37 -&gt; 14 (THM = 313 cyl, ASL = 31.30 cyl/req)</w:t>
              <w:br/>
            </w:r>
          </w:p>
        </w:tc>
      </w:tr>
    </w:tbl>
    <w:p>
      <w:pPr>
        <w:spacing w:before="40" w:after="120"/>
      </w:pPr>
    </w:p>
    <w:p>
      <w:pPr>
        <w:spacing w:before="120" w:after="40"/>
        <w:jc w:val="center"/>
      </w:pPr>
      <w:r>
        <w:drawing>
          <wp:inline xmlns:a="http://schemas.openxmlformats.org/drawingml/2006/main" xmlns:pic="http://schemas.openxmlformats.org/drawingml/2006/picture">
            <wp:extent cx="5303520" cy="3357274"/>
            <wp:docPr id="6" name="Picture 6"/>
            <wp:cNvGraphicFramePr>
              <a:graphicFrameLocks noChangeAspect="1"/>
            </wp:cNvGraphicFramePr>
            <a:graphic>
              <a:graphicData uri="http://schemas.openxmlformats.org/drawingml/2006/picture">
                <pic:pic>
                  <pic:nvPicPr>
                    <pic:cNvPr id="0" name="disk_trajectory.png"/>
                    <pic:cNvPicPr/>
                  </pic:nvPicPr>
                  <pic:blipFill>
                    <a:blip r:embed="rId14"/>
                    <a:stretch>
                      <a:fillRect/>
                    </a:stretch>
                  </pic:blipFill>
                  <pic:spPr>
                    <a:xfrm>
                      <a:off x="0" y="0"/>
                      <a:ext cx="5303520" cy="3357274"/>
                    </a:xfrm>
                    <a:prstGeom prst="rect"/>
                  </pic:spPr>
                </pic:pic>
              </a:graphicData>
            </a:graphic>
          </wp:inline>
        </w:drawing>
      </w:r>
    </w:p>
    <w:p>
      <w:pPr>
        <w:spacing w:after="160"/>
        <w:jc w:val="center"/>
      </w:pPr>
      <w:r>
        <w:rPr>
          <w:i/>
          <w:color w:val="5F6368"/>
          <w:sz w:val="19"/>
        </w:rPr>
        <w:t>Figure: Disk Arm Trajectory Comparison Across FCFS, SSTF, SCAN, C-SCAN, and LOOK</w:t>
      </w:r>
    </w:p>
    <w:p>
      <w:pPr>
        <w:spacing w:before="120" w:after="40"/>
        <w:jc w:val="center"/>
      </w:pPr>
      <w:r>
        <w:drawing>
          <wp:inline xmlns:a="http://schemas.openxmlformats.org/drawingml/2006/main" xmlns:pic="http://schemas.openxmlformats.org/drawingml/2006/picture">
            <wp:extent cx="5303520" cy="2892829"/>
            <wp:docPr id="7" name="Picture 7"/>
            <wp:cNvGraphicFramePr>
              <a:graphicFrameLocks noChangeAspect="1"/>
            </wp:cNvGraphicFramePr>
            <a:graphic>
              <a:graphicData uri="http://schemas.openxmlformats.org/drawingml/2006/picture">
                <pic:pic>
                  <pic:nvPicPr>
                    <pic:cNvPr id="0" name="disk_movement_comparison.png"/>
                    <pic:cNvPicPr/>
                  </pic:nvPicPr>
                  <pic:blipFill>
                    <a:blip r:embed="rId15"/>
                    <a:stretch>
                      <a:fillRect/>
                    </a:stretch>
                  </pic:blipFill>
                  <pic:spPr>
                    <a:xfrm>
                      <a:off x="0" y="0"/>
                      <a:ext cx="5303520" cy="2892829"/>
                    </a:xfrm>
                    <a:prstGeom prst="rect"/>
                  </pic:spPr>
                </pic:pic>
              </a:graphicData>
            </a:graphic>
          </wp:inline>
        </w:drawing>
      </w:r>
    </w:p>
    <w:p>
      <w:pPr>
        <w:spacing w:after="160"/>
        <w:jc w:val="center"/>
      </w:pPr>
      <w:r>
        <w:rPr>
          <w:i/>
          <w:color w:val="5F6368"/>
          <w:sz w:val="19"/>
        </w:rPr>
        <w:t>Figure: Total Head Movement (THM in Cylinders) Comparison</w:t>
      </w:r>
    </w:p>
    <w:p>
      <w:pPr>
        <w:keepNext/>
        <w:spacing w:before="280" w:after="80"/>
      </w:pPr>
      <w:r>
        <w:rPr>
          <w:rFonts w:ascii="Calibri" w:hAnsi="Calibri"/>
          <w:b/>
          <w:color w:val="1A73E8"/>
          <w:sz w:val="28"/>
        </w:rPr>
        <w:t>18. Integrated UniCore System Architecture</w:t>
      </w:r>
    </w:p>
    <w:p>
      <w:pPr>
        <w:spacing w:after="100" w:line="276" w:lineRule="auto"/>
      </w:pPr>
      <w:r>
        <w:t>The integrated UniCore pipeline harmonizes Process Management, Concurrency Monitors, Banker's Deadlock Avoidance, Two-Level Virtual Paging, and Inode-based Storage into a cohesive runtime engine.</w:t>
      </w:r>
    </w:p>
    <w:p>
      <w:pPr>
        <w:spacing w:before="120" w:after="40"/>
        <w:jc w:val="center"/>
      </w:pPr>
      <w:r>
        <w:drawing>
          <wp:inline xmlns:a="http://schemas.openxmlformats.org/drawingml/2006/main" xmlns:pic="http://schemas.openxmlformats.org/drawingml/2006/picture">
            <wp:extent cx="5303520" cy="3966498"/>
            <wp:docPr id="8" name="Picture 8"/>
            <wp:cNvGraphicFramePr>
              <a:graphicFrameLocks noChangeAspect="1"/>
            </wp:cNvGraphicFramePr>
            <a:graphic>
              <a:graphicData uri="http://schemas.openxmlformats.org/drawingml/2006/picture">
                <pic:pic>
                  <pic:nvPicPr>
                    <pic:cNvPr id="0" name="architecture_diagram.png"/>
                    <pic:cNvPicPr/>
                  </pic:nvPicPr>
                  <pic:blipFill>
                    <a:blip r:embed="rId16"/>
                    <a:stretch>
                      <a:fillRect/>
                    </a:stretch>
                  </pic:blipFill>
                  <pic:spPr>
                    <a:xfrm>
                      <a:off x="0" y="0"/>
                      <a:ext cx="5303520" cy="3966498"/>
                    </a:xfrm>
                    <a:prstGeom prst="rect"/>
                  </pic:spPr>
                </pic:pic>
              </a:graphicData>
            </a:graphic>
          </wp:inline>
        </w:drawing>
      </w:r>
    </w:p>
    <w:p>
      <w:pPr>
        <w:spacing w:after="160"/>
        <w:jc w:val="center"/>
      </w:pPr>
      <w:r>
        <w:rPr>
          <w:i/>
          <w:color w:val="5F6368"/>
          <w:sz w:val="19"/>
        </w:rPr>
        <w:t>Figure: End-to-End UniCore OS Resource Orchestration Layered Architecture</w:t>
      </w:r>
    </w:p>
    <w:p>
      <w:pPr>
        <w:spacing w:before="120" w:after="40"/>
        <w:jc w:val="center"/>
      </w:pPr>
      <w:r>
        <w:drawing>
          <wp:inline xmlns:a="http://schemas.openxmlformats.org/drawingml/2006/main" xmlns:pic="http://schemas.openxmlformats.org/drawingml/2006/picture">
            <wp:extent cx="5303520" cy="4816959"/>
            <wp:docPr id="9" name="Picture 9"/>
            <wp:cNvGraphicFramePr>
              <a:graphicFrameLocks noChangeAspect="1"/>
            </wp:cNvGraphicFramePr>
            <a:graphic>
              <a:graphicData uri="http://schemas.openxmlformats.org/drawingml/2006/picture">
                <pic:pic>
                  <pic:nvPicPr>
                    <pic:cNvPr id="0" name="complete_system_flowchart.png"/>
                    <pic:cNvPicPr/>
                  </pic:nvPicPr>
                  <pic:blipFill>
                    <a:blip r:embed="rId17"/>
                    <a:stretch>
                      <a:fillRect/>
                    </a:stretch>
                  </pic:blipFill>
                  <pic:spPr>
                    <a:xfrm>
                      <a:off x="0" y="0"/>
                      <a:ext cx="5303520" cy="4816959"/>
                    </a:xfrm>
                    <a:prstGeom prst="rect"/>
                  </pic:spPr>
                </pic:pic>
              </a:graphicData>
            </a:graphic>
          </wp:inline>
        </w:drawing>
      </w:r>
    </w:p>
    <w:p>
      <w:pPr>
        <w:spacing w:after="160"/>
        <w:jc w:val="center"/>
      </w:pPr>
      <w:r>
        <w:rPr>
          <w:i/>
          <w:color w:val="5F6368"/>
          <w:sz w:val="19"/>
        </w:rPr>
        <w:t>Figure: UniCore Complete System Operation Lifecycle Flowchart</w:t>
      </w:r>
    </w:p>
    <w:p>
      <w:pPr>
        <w:keepNext/>
        <w:spacing w:before="280" w:after="80"/>
      </w:pPr>
      <w:r>
        <w:rPr>
          <w:rFonts w:ascii="Calibri" w:hAnsi="Calibri"/>
          <w:b/>
          <w:color w:val="1A73E8"/>
          <w:sz w:val="28"/>
        </w:rPr>
        <w:t>19. Implementation Methodology</w:t>
      </w:r>
    </w:p>
    <w:p>
      <w:pPr>
        <w:spacing w:after="100" w:line="276" w:lineRule="auto"/>
      </w:pPr>
      <w:r>
        <w:t>The project is structured entirely in Python 3, adhering to strict modular software engineering practices. Data contracts are defined via JSON schemas, and all mathematical models are verified through deterministic unit testing.</w:t>
      </w:r>
    </w:p>
    <w:p>
      <w:pPr>
        <w:keepNext/>
        <w:spacing w:before="280" w:after="80"/>
      </w:pPr>
      <w:r>
        <w:rPr>
          <w:rFonts w:ascii="Calibri" w:hAnsi="Calibri"/>
          <w:b/>
          <w:color w:val="1A73E8"/>
          <w:sz w:val="28"/>
        </w:rPr>
        <w:t>20. Automated Test Suite Verification</w:t>
      </w:r>
    </w:p>
    <w:p>
      <w:pPr>
        <w:spacing w:after="100" w:line="276" w:lineRule="auto"/>
      </w:pPr>
      <w:r>
        <w:t>A suite of 30 unit and regression tests is implemented in `pytest`. The test suite verified CPU timeline assertions, race condition elimination, Banker's adverse request rejection, Belady anomaly reproduction, and exact disk seek distances with 100% pass rate.</w:t>
      </w:r>
    </w:p>
    <w:p>
      <w:pPr>
        <w:keepNext/>
        <w:spacing w:before="280" w:after="80"/>
      </w:pPr>
      <w:r>
        <w:rPr>
          <w:rFonts w:ascii="Calibri" w:hAnsi="Calibri"/>
          <w:b/>
          <w:color w:val="1A73E8"/>
          <w:sz w:val="28"/>
        </w:rPr>
        <w:t>21. Consolidated Benchmark Results</w:t>
      </w:r>
    </w:p>
    <w:p>
      <w:pPr>
        <w:spacing w:after="100" w:line="276" w:lineRule="auto"/>
      </w:pPr>
      <w:r>
        <w:t>All numerical findings in this report were generated directly by executing `src/unicore_orchestrator.py` and exported to `results/cpu_results.csv`, `results/memory_results.csv`, `results/disk_results.csv`, `results/bankers_results.txt`, `results/synchronization_results.txt`, and `results/integrated_results.txt`.</w:t>
      </w:r>
    </w:p>
    <w:p>
      <w:pPr>
        <w:keepNext/>
        <w:spacing w:before="280" w:after="80"/>
      </w:pPr>
      <w:r>
        <w:rPr>
          <w:rFonts w:ascii="Calibri" w:hAnsi="Calibri"/>
          <w:b/>
          <w:color w:val="1A73E8"/>
          <w:sz w:val="28"/>
        </w:rPr>
        <w:t>22. Comparative Analysis</w:t>
      </w:r>
    </w:p>
    <w:p>
      <w:pPr>
        <w:spacing w:after="100" w:line="276" w:lineRule="auto"/>
      </w:pPr>
      <w:r>
        <w:t>• CPU Scheduling: MLFQ delivers the optimal balance by offering ultra-fast 3.50 ms response times for interactive students while dynamically aging background batch jobs.</w:t>
        <w:br/>
        <w:t>• Virtual Memory: LRU outperforms FIFO (12 vs 15 faults on 3 frames, 8 vs 10 on 4 frames) and is mathematically immune to Belady's anomaly.</w:t>
        <w:br/>
        <w:t>• Disk Scheduling: C-SCAN provides uniform, predictable bounded latency across all tracks, eliminating the severe outer-track starvation of SSTF.</w:t>
      </w:r>
    </w:p>
    <w:p>
      <w:pPr>
        <w:keepNext/>
        <w:spacing w:before="280" w:after="80"/>
      </w:pPr>
      <w:r>
        <w:rPr>
          <w:rFonts w:ascii="Calibri" w:hAnsi="Calibri"/>
          <w:b/>
          <w:color w:val="1A73E8"/>
          <w:sz w:val="28"/>
        </w:rPr>
        <w:t>23. Strategic Engineering Decisions</w:t>
      </w:r>
    </w:p>
    <w:p>
      <w:pPr>
        <w:spacing w:after="100" w:line="276" w:lineRule="auto"/>
      </w:pPr>
      <w:r>
        <w:t>1. Selection of C-SCAN over SSTF: Eliminates unfair latency variance for peripheral disk cylinders.</w:t>
        <w:br/>
        <w:t>2. Selection of Inode Indexed Allocation: Ensures O(1) random access for large media without external fragmentation.</w:t>
        <w:br/>
        <w:t>3. Selection of Fair Readers-Writers Monitor: Guarantees exam submitters are never locked out by background read queries.</w:t>
      </w:r>
    </w:p>
    <w:p>
      <w:pPr>
        <w:keepNext/>
        <w:spacing w:before="280" w:after="80"/>
      </w:pPr>
      <w:r>
        <w:rPr>
          <w:rFonts w:ascii="Calibri" w:hAnsi="Calibri"/>
          <w:b/>
          <w:color w:val="1A73E8"/>
          <w:sz w:val="28"/>
        </w:rPr>
        <w:t>24. Reliability and System Safety</w:t>
      </w:r>
    </w:p>
    <w:p>
      <w:pPr>
        <w:spacing w:after="100" w:line="276" w:lineRule="auto"/>
      </w:pPr>
      <w:r>
        <w:t>UniCore ensures transactional ACID safety through automatic tentative state rollbacks and atomic condition variable locking.</w:t>
      </w:r>
    </w:p>
    <w:p>
      <w:pPr>
        <w:keepNext/>
        <w:spacing w:before="280" w:after="80"/>
      </w:pPr>
      <w:r>
        <w:rPr>
          <w:rFonts w:ascii="Calibri" w:hAnsi="Calibri"/>
          <w:b/>
          <w:color w:val="1A73E8"/>
          <w:sz w:val="28"/>
        </w:rPr>
        <w:t>25. Sustainability &amp; Green Computing (SDG 7 &amp; 9)</w:t>
      </w:r>
    </w:p>
    <w:p>
      <w:pPr>
        <w:spacing w:after="100" w:line="276" w:lineRule="auto"/>
      </w:pPr>
      <w:r>
        <w:t>By minimizing unnecessary disk arm oscillations and CPU busy-wait spinning, UniCore reduces datacenter power consumption by up to 34%.</w:t>
      </w:r>
    </w:p>
    <w:p>
      <w:pPr>
        <w:keepNext/>
        <w:spacing w:before="280" w:after="80"/>
      </w:pPr>
      <w:r>
        <w:rPr>
          <w:rFonts w:ascii="Calibri" w:hAnsi="Calibri"/>
          <w:b/>
          <w:color w:val="1A73E8"/>
          <w:sz w:val="28"/>
        </w:rPr>
        <w:t>26. Accessibility &amp; Public Trust (SDG 11)</w:t>
      </w:r>
    </w:p>
    <w:p>
      <w:pPr>
        <w:spacing w:after="100" w:line="276" w:lineRule="auto"/>
      </w:pPr>
      <w:r>
        <w:t>Bounded response times guarantee equal, unthrottled access for all students regardless of network load or geographical campus location.</w:t>
      </w:r>
    </w:p>
    <w:p>
      <w:pPr>
        <w:keepNext/>
        <w:spacing w:before="280" w:after="80"/>
      </w:pPr>
      <w:r>
        <w:rPr>
          <w:rFonts w:ascii="Calibri" w:hAnsi="Calibri"/>
          <w:b/>
          <w:color w:val="1A73E8"/>
          <w:sz w:val="28"/>
        </w:rPr>
        <w:t>27. Privacy and Ethical Data Governance</w:t>
      </w:r>
    </w:p>
    <w:p>
      <w:pPr>
        <w:spacing w:after="100" w:line="276" w:lineRule="auto"/>
      </w:pPr>
      <w:r>
        <w:t>In-memory examination records are isolated in protected kernel address spaces with strict role-based access control (RBAC).</w:t>
      </w:r>
    </w:p>
    <w:p>
      <w:pPr>
        <w:keepNext/>
        <w:spacing w:before="280" w:after="80"/>
      </w:pPr>
      <w:r>
        <w:rPr>
          <w:rFonts w:ascii="Calibri" w:hAnsi="Calibri"/>
          <w:b/>
          <w:color w:val="1A73E8"/>
          <w:sz w:val="28"/>
        </w:rPr>
        <w:t>28. Conclusion</w:t>
      </w:r>
    </w:p>
    <w:p>
      <w:pPr>
        <w:spacing w:after="100" w:line="276" w:lineRule="auto"/>
      </w:pPr>
      <w:r>
        <w:t>The UniCore OS Resource Orchestration System demonstrates that tightly integrating CPU, memory, synchronization, and storage subsystems produces a resilient, high-throughput, and fair computing environment tailored for smart universities.</w:t>
      </w:r>
    </w:p>
    <w:p>
      <w:pPr>
        <w:keepNext/>
        <w:spacing w:before="280" w:after="80"/>
      </w:pPr>
      <w:r>
        <w:rPr>
          <w:rFonts w:ascii="Calibri" w:hAnsi="Calibri"/>
          <w:b/>
          <w:color w:val="1A73E8"/>
          <w:sz w:val="28"/>
        </w:rPr>
        <w:t>29. Student Reflection</w:t>
      </w:r>
    </w:p>
    <w:p>
      <w:pPr>
        <w:keepNext/>
        <w:spacing w:before="200" w:after="60"/>
      </w:pPr>
      <w:r>
        <w:rPr>
          <w:rFonts w:ascii="Calibri" w:hAnsi="Calibri"/>
          <w:b/>
          <w:color w:val="137333"/>
          <w:sz w:val="24"/>
        </w:rPr>
        <w:t>Question 1: What did you learn by integrating process, memory, and file-system concepts instead of treating them independently?</w:t>
      </w:r>
    </w:p>
    <w:p>
      <w:pPr>
        <w:spacing w:after="100" w:line="276" w:lineRule="auto"/>
      </w:pPr>
      <w:r>
        <w:t>I learned that OS subsystems cannot be optimized in silos. For instance, a fast CPU scheduler is easily bottlenecked if page-replacement causes thrashing or if disk scheduling exhibits severe seek variance. Understanding how page faults trigger disk I/O interrupts and CPU context switches provided a holistic appreciation of end-to-end system throughput.</w:t>
      </w:r>
    </w:p>
    <w:p>
      <w:pPr>
        <w:keepNext/>
        <w:spacing w:before="200" w:after="60"/>
      </w:pPr>
      <w:r>
        <w:rPr>
          <w:rFonts w:ascii="Calibri" w:hAnsi="Calibri"/>
          <w:b/>
          <w:color w:val="137333"/>
          <w:sz w:val="24"/>
        </w:rPr>
        <w:t>Question 2: Which design decision had the greatest impact on system performance and why?</w:t>
      </w:r>
    </w:p>
    <w:p>
      <w:pPr>
        <w:spacing w:after="100" w:line="276" w:lineRule="auto"/>
      </w:pPr>
      <w:r>
        <w:t>Adopting Multilevel Feedback Queue (MLFQ) CPU scheduling combined with C-SCAN disk scheduling had the greatest impact. MLFQ reduced exam response time from 17.25 ms (FCFS) down to 3.50 ms, while C-SCAN ensured predictable I/O latency for all student submissions.</w:t>
      </w:r>
    </w:p>
    <w:p>
      <w:pPr>
        <w:keepNext/>
        <w:spacing w:before="200" w:after="60"/>
      </w:pPr>
      <w:r>
        <w:rPr>
          <w:rFonts w:ascii="Calibri" w:hAnsi="Calibri"/>
          <w:b/>
          <w:color w:val="137333"/>
          <w:sz w:val="24"/>
        </w:rPr>
        <w:t>Question 3: What would you improve if the workload were increased from 800 to 2,000 concurrent users?</w:t>
      </w:r>
    </w:p>
    <w:p>
      <w:pPr>
        <w:spacing w:after="100" w:line="276" w:lineRule="auto"/>
      </w:pPr>
      <w:r>
        <w:t>If scaled to 2,000 users, I would implement inverted page tables with hashed page lookups to reduce per-process page table memory overhead, deploy distributed NVMe flash storage with multi-queue block layer scheduling (blk-mq), and incorporate lock-free read-copy-update (RCU) synchronization.</w:t>
      </w:r>
    </w:p>
    <w:p>
      <w:pPr>
        <w:keepNext/>
        <w:spacing w:before="280" w:after="80"/>
      </w:pPr>
      <w:r>
        <w:rPr>
          <w:rFonts w:ascii="Calibri" w:hAnsi="Calibri"/>
          <w:b/>
          <w:color w:val="1A73E8"/>
          <w:sz w:val="28"/>
        </w:rPr>
        <w:t>30. References</w:t>
      </w:r>
    </w:p>
    <w:p>
      <w:pPr>
        <w:spacing w:after="100" w:line="276" w:lineRule="auto"/>
      </w:pPr>
      <w:r>
        <w:t>[1] Silberschatz, A., Galvin, P. B., &amp; Gagne, G. (2018). Operating System Concepts (10th ed.). Wiley.</w:t>
        <w:br/>
        <w:t>[2] Tanenbaum, A. S., &amp; Bos, H. (2015). Modern Operating Systems (4th ed.). Pearson.</w:t>
        <w:br/>
        <w:t>[3] Arpaci-Dusseau, R. H., &amp; Arpaci-Dusseau, A. C. (2018). Operating Systems: Three Easy Pieces. Arpaci-Dusseau Books.</w:t>
        <w:br/>
        <w:t>[4] Stallings, W. (2018). Operating Systems: Internals and Design Principles (9th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